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SAP SE</w:t>
      </w:r>
    </w:p>
    <w:p>
      <w:pPr>
        <w:spacing w:after="60"/>
        <w:rPr>
          <w:color w:val="52514E"/>
          <w:sz w:val="22"/>
          <w:szCs w:val="22"/>
        </w:rPr>
      </w:pPr>
      <w:r>
        <w:rPr>
          <w:color w:val="52514E"/>
          <w:sz w:val="22"/>
          <w:szCs w:val="22"/>
        </w:rPr>
        <w:t xml:space="preserve">SAP · Xetra (Fráncfort); ADR en NYSE (SAP) · ISIN DE0007164600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208,65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256,54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+24,2 % (base +28,6 %)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196,43 EUR · mercado 237,07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240.427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SAP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SAP / DE0007164600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ADR en NYSE (SAP)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Walldorf (Alemania)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109.211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www.sap.com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208,65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127,50 – 244,30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240.427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235.349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441 M EUR/día (3 meses; 2,48 M acciones/día en Xetra según Yahoo)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256,54 EUR</w:t>
      </w:r>
      <w:r>
        <w:t xml:space="preserve"> frente a 208,65 · Rentabilidad a 12 meses </w:t>
      </w:r>
      <w:r>
        <w:rPr>
          <w:b/>
          <w:bCs/>
        </w:rPr>
        <w:t xml:space="preserve">+24,2 % (base +28,6 %)</w:t>
      </w:r>
      <w:r>
        <w:t xml:space="preserve"> · Valor intrínseco 196,43 EUR · con la prima implícita del mercado: 237,07 (+13,6 %) · Alcista / bajista +20,8 % / -39,2 %</w:t>
      </w:r>
    </w:p>
    <w:p>
      <w:pPr>
        <w:spacing w:after="100"/>
      </w:pPr>
      <w:r>
        <w:rPr>
          <w:b/>
        </w:rPr>
        <w:t xml:space="preserve">La recomendación y por qué.</w:t>
      </w:r>
      <w:r>
        <w:t xml:space="preserve"> Mantener, con convicción media. A 12 meses, con nuestra regla de múltiplos, el objetivo es de 256,54 EUR: +24,2 % ponderado y +28,6 % en el caso base, con dividendo, sobre el cierre de 208,65 EUR del 21-oct (antes de los resultados). Pero el valor intrínseco (síntesis del DCF, los escenarios y los comparables) es de 196,43 EUR, un 5,9 % por debajo del precio: la regla pide las dos cosas para comprar, y para mantener basta con la primera. La convicción es media: la robustez sale sólida (con el BPA un 10 % más bajo la rentabilidad sigue en el 11,9 %), pero la acción ha subido un 56 % en tres meses.</w:t>
      </w:r>
    </w:p>
    <w:p>
      <w:pPr>
        <w:spacing w:after="100"/>
      </w:pPr>
      <w:r>
        <w:rPr>
          <w:b/>
        </w:rPr>
        <w:t xml:space="preserve">Qué ha cambiado con el 3T26 (21-oct, tras el cierre).</w:t>
      </w:r>
      <w:r>
        <w:t xml:space="preserve"> Buen trimestre: ingresos de 10.270 M (+13 %; +12 % a divisa constante), nube de 6.668 M (+26 %) y current cloud backlog de 24.144 M (+26 % a divisa constante), que no frena como temía el mercado [14]. Beneficio operativo no NIIF de 3.030 M (+18 %, margen del 29,5 %) y flujo libre de 7.968 M en nueve meses. SAP lleva la nube y «nube y software» a la parte alta de su guía y mantiene el resto; para 2027 repite que los ingresos acelerarán. Dos matices: parte de la nube es una recuperación puntual de ingresos atrasados sin cuantificar, y el 3T25 comparaba con ≈200 M de cargos extraordinarios [14]. El ADR subía un 4 % fuera de hora [57]. Subimos 2026e del +9 % al +10 %.</w:t>
      </w:r>
    </w:p>
    <w:p>
      <w:pPr>
        <w:spacing w:after="100"/>
      </w:pPr>
      <w:r>
        <w:rPr>
          <w:b/>
        </w:rPr>
        <w:t xml:space="preserve">El negocio.</w:t>
      </w:r>
      <w:r>
        <w:t xml:space="preserve"> SAP es el ERP de las grandes empresas: 36.800 M de ingresos en 2025, un 86 % recurrentes, con un ROIC del 15,5 %, 6 puntos por encima del WACC [1]. Su calidad sostiene el crecimiento del caso base (8,3 % anual): no necesita capital y el foso es de costes de cambio. El riesgo es de modelo: que los agentes de IA desplacen el cobro por usuario.</w:t>
      </w:r>
    </w:p>
    <w:p>
      <w:pPr>
        <w:spacing w:after="100"/>
      </w:pPr>
      <w:r>
        <w:rPr>
          <w:b/>
        </w:rPr>
        <w:t xml:space="preserve">Finanzas.</w:t>
      </w:r>
      <w:r>
        <w:t xml:space="preserve"> Caja de 9.364 M y deuda de unos 8.630 M a septiembre, tras recomprar ≈4.200 M de su programa de 10.000 M a 164,79 EUR de media [14]. Altman 7,69 y Piotroski 8.</w:t>
      </w:r>
    </w:p>
    <w:p>
      <w:pPr>
        <w:spacing w:after="100"/>
      </w:pPr>
      <w:r>
        <w:rPr>
          <w:b/>
        </w:rPr>
        <w:t xml:space="preserve">Valoración.</w:t>
      </w:r>
      <w:r>
        <w:t xml:space="preserve"> El DCF da 196,64 EUR y el DCF inverso dice que el precio pide un crecimiento del 9,1 % anual hasta 2035, frente al 8,3 % de nuestro base. Cotiza a 25,5 veces nuestro BPA de 2027e, por debajo de su mediana adelantada (31,3 veces) y por encima de los comparables (23,3). Nuestro BPA coincide con el consenso; con la prima de riesgo del mercado el DCF sube a 248,17 EUR.</w:t>
      </w:r>
    </w:p>
    <w:p>
      <w:pPr>
        <w:spacing w:after="100"/>
      </w:pPr>
      <w:r>
        <w:rPr>
          <w:b/>
        </w:rPr>
        <w:t xml:space="preserve">Riesgos y catalizadores.</w:t>
      </w:r>
      <w:r>
        <w:t xml:space="preserve"> El primero es la IA: en el bajista (126,87 EUR) el backlog frena y el margen se queda bajo. El segundo, el margen bruto de la nube, que baja por tercer trimestre. Catalizadores: la sesión del 22-oct, la guía de 2027 a finales de enero y el fin del mantenimiento de ECC en diciembre de 2027.</w:t>
      </w:r>
    </w:p>
    <w:p>
      <w:pPr>
        <w:spacing w:after="100"/>
      </w:pPr>
      <w:r>
        <w:rPr>
          <w:b/>
        </w:rPr>
        <w:t xml:space="preserve">Qué cambiaría la decisión.</w:t>
      </w:r>
      <w:r>
        <w:t xml:space="preserve"> Compraríamos por debajo de 196,43 EUR y venderíamos por encima de 287,82 EUR; seguir en cartera exige un precio por debajo de 231,09 EUR (filtro de mantener). Un backlog por debajo del +20 % a divisa constante nos llevaría hacia el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256,54 EUR</w:t>
      </w:r>
      <w:r>
        <w:t xml:space="preserve"> (rentabilidad +24,2 % (base +28,6 %)) · Valor intrínseco: 196,43 EUR (-5,9 % sobre 208,65) · con la prima implícita del mercado: 237,07 (+13,6 %)</w:t>
      </w:r>
    </w:p>
    <w:p>
      <w:pPr>
        <w:spacing w:after="100"/>
      </w:pPr>
      <w:r>
        <w:t xml:space="preserve">SAP es el sistema de gestión (ERP) de la mayoría de las grandes empresas del mundo y está a mitad de su paso a la nube: la nube crece un 25 % en nueve meses y el current cloud backlog (24.144 M, +26 % a divisa constante) cubre el año próximo [14]. El 86 % de los ingresos es recurrente y el margen sube.</w:t>
      </w:r>
    </w:p>
    <w:p>
      <w:pPr>
        <w:spacing w:after="100"/>
      </w:pPr>
      <w:r>
        <w:t xml:space="preserve">Tras el rebote del 56 % desde julio, el precio (208,65 EUR) descuenta un crecimiento del 9,1 % anual hasta 2035, algo más que nuestro base (8,3 %). A 12 meses la regla da +24,2 % porque el PER (25,5 veces) está por debajo de su historia, pero el valor intrínseco queda un 5,9 % por debajo.</w:t>
      </w:r>
    </w:p>
    <w:p>
      <w:pPr>
        <w:spacing w:after="100"/>
      </w:pPr>
      <w:r>
        <w:t xml:space="preserve">Para comprar más hay que creer que la IA amplía el ERP en vez de abaratarlo; para mantener basta con que el backlog siga por encima del 20 %.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7,92 = 177,41 · 28,1x × 9,46 = 265,83 · 31,3x × 10,54 = 329,90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 / 28,6 %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215,76 (nuestro base +23,2 %)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 / -39,2 %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9,2 %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196,43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196,43 y 287,82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287,82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196,43 EUR, pasaríamos a Comprar.</w:t>
      </w:r>
    </w:p>
    <w:p>
      <w:pPr>
        <w:pStyle w:val="ListParagraph"/>
        <w:numPr>
          <w:ilvl w:val="0"/>
          <w:numId w:val="2"/>
        </w:numPr>
        <w:spacing w:after="60"/>
      </w:pPr>
      <w:r>
        <w:t xml:space="preserve">Si el precio supera 287,82 EUR, pasaríamos a Vender.</w:t>
      </w:r>
    </w:p>
    <w:p>
      <w:pPr>
        <w:pStyle w:val="ListParagraph"/>
        <w:numPr>
          <w:ilvl w:val="0"/>
          <w:numId w:val="2"/>
        </w:numPr>
        <w:spacing w:after="60"/>
      </w:pPr>
      <w:r>
        <w:t xml:space="preserve">Si el current cloud backlog crece menos de un 20 % a divisa constante, revisaríamos el caso base hacia el bajista.</w:t>
      </w:r>
    </w:p>
    <w:p>
      <w:pPr>
        <w:pStyle w:val="ListParagraph"/>
        <w:numPr>
          <w:ilvl w:val="0"/>
          <w:numId w:val="2"/>
        </w:numPr>
        <w:spacing w:after="60"/>
      </w:pPr>
      <w:r>
        <w:t xml:space="preserve">Si la guía de 2027 da ingresos por encima del +12 % a divisa constante y gastos al 80 % del crecimiento,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9,1 % anual hasta 2035 o un margen EBITDA del 38,1 %; el objetivo medio de los analistas (215,76 EUR, antes de los resultados) queda solo un 3 % por encima del precio [62].</w:t>
      </w:r>
    </w:p>
    <w:p>
      <w:pPr>
        <w:keepNext/>
        <w:spacing w:after="100"/>
      </w:pPr>
      <w:r>
        <w:rPr>
          <w:b/>
          <w:bCs/>
        </w:rPr>
        <w:t xml:space="preserve">Lo que creemos nosotros.</w:t>
      </w:r>
    </w:p>
    <w:p>
      <w:pPr>
        <w:spacing w:after="100"/>
      </w:pPr>
      <w:r>
        <w:t xml:space="preserve">Crecimiento del 8,3 % y margen del 36 %, con el BPA del consenso. Somos más prudentes con el riesgo de la IA (el bajista pierde un 39,2 %) y con el coste de capital (WACC del 9,24 % frente al 7,87 % que implica la prima del mercado).</w:t>
      </w:r>
    </w:p>
    <w:p>
      <w:pPr>
        <w:keepNext/>
        <w:spacing w:after="100"/>
      </w:pPr>
      <w:r>
        <w:rPr>
          <w:b/>
          <w:bCs/>
        </w:rPr>
        <w:t xml:space="preserve">Por qué podemos tener razón.</w:t>
      </w:r>
    </w:p>
    <w:p>
      <w:pPr>
        <w:spacing w:after="100"/>
      </w:pPr>
      <w:r>
        <w:t xml:space="preserve">La diferencia está en la tasa de descuento, no en las cifras: nuestro BPA queda a menos de un 1,5 % del consenso de 2026-2028 [61].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08,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Backlog que no frena</w:t>
      </w:r>
      <w:r>
        <w:t xml:space="preserve">: 24.144 M, +26 % a divisa constante en el 3T26 [14].</w:t>
      </w:r>
    </w:p>
    <w:p>
      <w:pPr>
        <w:pStyle w:val="ListParagraph"/>
        <w:numPr>
          <w:ilvl w:val="0"/>
          <w:numId w:val="2"/>
        </w:numPr>
        <w:spacing w:after="60"/>
      </w:pPr>
      <w:r>
        <w:rPr>
          <w:b/>
        </w:rPr>
        <w:t xml:space="preserve">Guía al alza</w:t>
      </w:r>
      <w:r>
        <w:t xml:space="preserve">: nube y «nube y software» a la parte alta del rango [14].</w:t>
      </w:r>
    </w:p>
    <w:p>
      <w:pPr>
        <w:pStyle w:val="ListParagraph"/>
        <w:numPr>
          <w:ilvl w:val="0"/>
          <w:numId w:val="2"/>
        </w:numPr>
        <w:spacing w:after="60"/>
      </w:pPr>
      <w:r>
        <w:rPr>
          <w:b/>
        </w:rPr>
        <w:t xml:space="preserve">Recompras</w:t>
      </w:r>
      <w:r>
        <w:t xml:space="preserve">: ≈5.800 M pendientes hasta 2027 [14].</w:t>
      </w:r>
    </w:p>
    <w:p>
      <w:pPr>
        <w:pStyle w:val="ListParagraph"/>
        <w:numPr>
          <w:ilvl w:val="0"/>
          <w:numId w:val="2"/>
        </w:numPr>
        <w:spacing w:after="60"/>
      </w:pPr>
      <w:r>
        <w:rPr>
          <w:b/>
        </w:rPr>
        <w:t xml:space="preserve">Migración forzada</w:t>
      </w:r>
      <w:r>
        <w:t xml:space="preserve">: el mantenimiento estándar de ECC termina en diciembre de 2027 [28].</w:t>
      </w:r>
    </w:p>
    <w:p>
      <w:pPr>
        <w:pStyle w:val="Heading2"/>
      </w:pPr>
      <w:r>
        <w:t xml:space="preserve">En contra</w:t>
      </w:r>
    </w:p>
    <w:p>
      <w:pPr>
        <w:pStyle w:val="ListParagraph"/>
        <w:numPr>
          <w:ilvl w:val="0"/>
          <w:numId w:val="2"/>
        </w:numPr>
        <w:spacing w:after="60"/>
      </w:pPr>
      <w:r>
        <w:rPr>
          <w:b/>
        </w:rPr>
        <w:t xml:space="preserve">Valor intrínseco un 5,9 % bajo el precio</w:t>
      </w:r>
      <w:r>
        <w:t xml:space="preserve">: el DCF inverso pide un 9,1 % anual.</w:t>
      </w:r>
    </w:p>
    <w:p>
      <w:pPr>
        <w:pStyle w:val="ListParagraph"/>
        <w:numPr>
          <w:ilvl w:val="0"/>
          <w:numId w:val="2"/>
        </w:numPr>
        <w:spacing w:after="60"/>
      </w:pPr>
      <w:r>
        <w:rPr>
          <w:b/>
        </w:rPr>
        <w:t xml:space="preserve">Rebote del 56 % en tres meses</w:t>
      </w:r>
      <w:r>
        <w:t xml:space="preserve"> [57].</w:t>
      </w:r>
    </w:p>
    <w:p>
      <w:pPr>
        <w:pStyle w:val="ListParagraph"/>
        <w:numPr>
          <w:ilvl w:val="0"/>
          <w:numId w:val="2"/>
        </w:numPr>
        <w:spacing w:after="60"/>
      </w:pPr>
      <w:r>
        <w:rPr>
          <w:b/>
        </w:rPr>
        <w:t xml:space="preserve">Calidad del trimestre</w:t>
      </w:r>
      <w:r>
        <w:t xml:space="preserve">: parte de la nube es una recuperación puntual y el margen bruto de nube baja [14].</w:t>
      </w:r>
    </w:p>
    <w:p>
      <w:pPr>
        <w:pStyle w:val="ListParagraph"/>
        <w:numPr>
          <w:ilvl w:val="0"/>
          <w:numId w:val="2"/>
        </w:numPr>
        <w:spacing w:after="60"/>
      </w:pPr>
      <w:r>
        <w:rPr>
          <w:b/>
        </w:rPr>
        <w:t xml:space="preserve">Riesgo de la IA</w:t>
      </w:r>
      <w:r>
        <w:t xml:space="preserve">: el bajista vale 126,87 EUR (−39,2 %).</w:t>
      </w:r>
    </w:p>
    <w:p>
      <w:pPr>
        <w:pStyle w:val="Heading2"/>
      </w:pPr>
      <w:r>
        <w:t xml:space="preserve">Qué tiene que pasar para que la tesis funcione</w:t>
      </w:r>
    </w:p>
    <w:p>
      <w:pPr>
        <w:spacing w:after="100"/>
      </w:pPr>
      <w:r>
        <w:t xml:space="preserve">La tesis depende de que el backlog de nube siga creciendo por encima del 20 % a divisa constante después de la ola de migraciones de ECC y de que los gastos crezcan al 80-90 % de los ingresos en 2027. La señal de que no ocurre sería un backlog por debajo del +20 % o un margen bruto de nube por debajo del 73 %.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Current cloud backlog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24.144 M, +26 %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 nube de los próximos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la Cloud ERP Suite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migración de ECC.</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nube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no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11.800-12.200 M (mantenida el 21-oct)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rebaja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expansión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soporte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de más del 10 % sin nube que la compense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conversión a la nube debe sumar, no restar.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19,1x / 16,4x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30,2x / 26,5x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(2017-2025)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SAP nació el 1 de abril de 1972, cuando cinco antiguos empleados de IBM (Dietmar Hopp, Hasso Plattner, Claus Wellenreuther, Klaus Tschira y Hans-Werner Hector) fundaron SystemAnalyse Programmentwicklung para crear software empresarial estándar que integrara todos los procesos en tiempo real [31]. Su segunda generación (R/2, desde 1979) la hizo grande en Alemania; salió a bolsa en 1988 y la tercera (R/3, cliente-servidor, 1992) la convirtió en un actor mundial [31]. Desde finales de los años 2000 compró su entrada en bases de datos, movilidad y nube (Business Objects, Sybase, SuccessFactors, Ariba, Fieldglass, Concur) [31]. Con la base de datos en memoria HANA (2011) y S/4HANA (2015) renovó el núcleo [31]; desde 2020, con Christian Klein como único consejero delegado, la estrategia es pasar la base instalada a la nube (RISE with SAP, 2021) [3], tras vender Qualtrics en 2023 [36] y reestructurar la plantilla en 2024 [1]. En 2026 compró Reltio, Dremio y Prior Labs para su capa de datos e IA y en el 3T26 superó por primera vez los 10.000 M EUR de ingresos trimestrales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antiguos empleados de IBM fundan SystemAnalyse Programmentwicklung; en 1975 ya tenía contabilidad financiera, verificación de facturas y gestión de inventarios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desarrollar R/2, su segunda generación de software; en 1980 sus unos 80 empleados se trasladan a su primera sede propia en Walldorf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R/3, cliente-servidor, que la convierte en un actor mundial con filiales y centros de desarrollo en todo el mundo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clientes de la base de datos en memoria SAP HANA, tras las compras de Business Objects y Sybase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S/4HANA, la generación actual de su ERP, que funciona solo sobre HANA [31]; en 2020 fija el mantenimiento de S/4HANA hasta 2040 y el de ECC hasta 2027 (2030 con prima)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Qualtrics (experiencia de cliente), que consolida desde el 23 de enero de 2019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Klein, en SAP desde 1999, pasa a consejero delegado único el 20 de abril de 2020, tras unos meses como codirector con Jennifer Morgan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RISE with SAP, la oferta de transformación como servicio para migrar a la nube [3]; Qualtrics sale a bolsa en el Nasdaq con un 12 % del capital (1.847 M EUR de entrada de caja)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sus 423 millones de acciones de Qualtrics a Silver Lake y CPP Investments a 18,15 USD por acción; la venta se cierra el 28 de junio de 2023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reestructuración que afecta a unos 10.000 puestos y cuesta 3.144 M EUR, para reorientar recursos a la IA [1]; acuerdo global con la SEC (más de 98 M USD) y el DOJ (multa penal de 118,8 M USD) por sobornos en siete países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el litigio con Teradata con un pago de 480 M USD (408 M EUR) [5] y la Comisión Europea acepta sus compromisos sobre el mantenimiento del ERP instalado, sin multa [29].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SAP, fundada en 1972 y con sede en Walldorf (Alemania), vende software de aplicaciones empresariales: el ERP (finanzas, compras, cadena de suministro, fabricación), recursos humanos (SuccessFactors, SmartRecruiters), compras y gastos (Ariba, Concur), experiencia de cliente, procesos (Signavio, LeanIX, WalkMe), plataforma (SAP BTP), datos (SAP Business Data Cloud) e IA (Joule y los agentes de Joule) [1]. El producto central es SAP Business Suite, al que se llega por dos vías: RISE with SAP, para migrar a la nube a la base instalada, y SAP GROW, para clientes nuevos de entre menos de 50 M y más de 1.000 M EUR de facturación [1]. Vende directamente y con un ecosistema de socios (integradores como Accenture) que implanta y extiende las soluciones [1]. En 2025 facturó 36.800 M EUR: el 46 % en EMEA (Alemania, 5.828 M), el 39 % en América (EE. UU., 11.537 M) y el 14 % en Asia-Pacífico y Japón [1]. En los nueve primeros meses de 2026 facturó 29.703 M EUR (+10 %; +12 % a tipo constante), el 64 % en la nube [14]. Tenía 216 sociedades a cierre de 2025 [1] y 113.076 empleados a tiempo completo equivalentes el 30 de septiembre de 2026 [14].</w:t>
      </w:r>
    </w:p>
    <w:p>
      <w:pPr>
        <w:pStyle w:val="Heading2"/>
      </w:pPr>
      <w:r>
        <w:t xml:space="preserve">Cómo gana dinero</w:t>
      </w:r>
    </w:p>
    <w:p>
      <w:pPr>
        <w:spacing w:after="100"/>
      </w:pPr>
      <w:r>
        <w:t xml:space="preserve">Cobra sobre todo suscripciones a la nube (21.023 M EUR en 2025, el 57 % de los ingresos, +23 %; de ellos, Cloud ERP Suite 18.119 M, +28 %) y mantenimiento de las licencias instaladas (10.525 M, −7 %, porque los clientes migran a la nube) [1]. Las licencias nuevas ya son marginales (990 M) y los servicios suman 4.262 M [1]. Nube más mantenimiento son ingresos «más previsibles»: el 83 % en 2024 [1] y un 85,7 % en 2025 (estimación propia: (21.023 + 10.525) / 36.800). El margen bruto de la nube subió de 72,8 % a 73,9 % en 2025 [1]. La cartera de nube contratada para los próximos 12 meses (current cloud backlog) era de 21.050 M EUR a cierre de 2025 (+16 %; +25 % a tipo constante) y la total, de 77.290 M (+22 %) [1]; en el 2T26 la primera llegó a 22.900 M (+27 %) [4] y en el 3T26 a 24.144 M (+28 %; +26 % a tipo constante) [14]. En el 3T26 la nube creció un 26 % (Cloud ERP Suite, +29 %) y el mantenimiento cayó un 5 %, pero el margen bruto de la nube bajó al 73,9 % (74,6 % un año antes); parte del crecimiento de la nube fueron cobros atrasados de clientes que salían de dificultades financieras, que SAP no cuantifica [14]. SAP prevé que la caída del mantenimiento se acelere en los próximos años, a medida que más clientes pasen a la nube [14]. La estacionalidad desaparece a medida que caen las licencias [1]. El coste principal es de personal: el I+D supuso el 18,0 % de los ingresos en 2025, con 37.965 empleados de desarrollo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Applications, Technology &amp; Support (ATS)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 (corporativo, pagos en acciones, reestructuración, amortización de adquisiciones)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Applications, Technology &amp; Support (ATS)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 (corporativo, pagos en acciones, reestructuración, amortización de adquisiciones)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SAP no publica el número de clientes ni su concentración en el 20-F de 2025; el informe tampoco recoge ningún cliente con peso relevante, y la cartera abarca desde grandes multinacionales hasta empresas de menos de 50 M EUR de facturación [1]. Los contratos de nube son plurianuales: la cartera total contratada (77.290 M EUR) multiplica por 3,7 la cartera de los 12 meses siguientes (21.050 M) [1]. Los clientes que usan más de cuatro soluciones de SAP se han más que duplicado desde 2021 y superan el 20 % de la base [1]. La satisfacción empeora: el Net Promoter Score de clientes bajó de 12 a 9 en 2025, por debajo del objetivo de 12-16, y desde 2026 se sustituye por la satisfacción de clientes de la nube (Cloud CSAT), del 75 % en 2025, con un objetivo del 75-76 % para 2026 [1, 14]. SAP no publica tasas de renovación o de bajas de la nube. El poder de precios se ve en el mantenimiento: la extensión del soporte de ECC entre 2028 y 2030 cuesta 2 puntos porcentuales más sobre la base de mantenimiento [28].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Current cloud backlog (cartera de nube a 12 meses,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18.839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21.052 (dic-25); 24.144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interanual a sep-26 (+26 %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mantiene que el crecimiento a divisa constante de 2026 se moderará ligeramente frente al 25 % de 2025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 cloud backlog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(+30 %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aumento procede de grandes contratos con rampas de ingresos en años lejanos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nube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15.413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21.023 (2025); 18.911 en 9M26; 6.668 en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en 9M26 (+25 % a divisa constante); +26 % en 3T26 (+25 %)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«hacia la parte alta» de 25.800-26.200 M a divisa constante. El 3T26 lleva una recuperación de ingresos de varios trimestres de clientes que salen de dificultades financieras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Cloud ERP Suite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13.258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18.119 (2025); 16.662 en 9M26; 5.924 en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en 9M26 (+28 % a divisa constante); +29 % en 3T26 (+28 %)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88 % de los ingresos de nube en 9M26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ingresos más previsibles (nube + soporte,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SAP: ingresos de nube más soporte de software entre ingresos totales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soporte de software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7.969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10.525 (2025); 7.342 en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9M26 (-6 % a divisa constante); -5 % en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prevé que la caída se acelere en los próximos años por la migración a la nube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nube NIIF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(2025); 73,9 en 3T26; 74,3 en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 interanual en 3T26; -0,4 pp en 9M26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trimestre seguido de caída interanual [4,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pedidos de nube &gt; 5 M EUR (% de la contratación de nube)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(2025); 71 en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concentración en grandes contratos de transformación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110.730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113.076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(805 por compras)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+2,2 %, ventas y marketing +2,3 %; sin compras, +1,4 %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aplicaciones ERP (planificación de recursos empresariales: finanzas, compras, cadena de suministro, fabricación, activos y gestión de servicios), en la nube y en instalación local, en todo el mundo. Se usa la medición de Apps Run The World (ARTW), que estima los ingresos de ERP de cada proveedor y suma 145.582 M USD en 2025 [17]. Statista usa un perímetro mucho más estrecho (solo software ERP en sentido estricto): 59.340 M USD estimados para 2026 [19]. La diferencia (más del doble) muestra lo que depende del perímetro; ARTW se prefiere porque publica la cuota de cada proveedor con la misma base. SAP es más amplio que el ERP: también compite en recursos humanos, compras, experiencia de cliente, plataforma y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145.582 M USD en 2025 según Apps Run The World (≈128.800 M EUR al tipo medio del BCE de 2025, 1,1300 USD/EUR) [17, 30]; Statista estima 59.340 M USD para 2026 con un perímetro más estrecho [19]. El gasto mundial en software (todas las categorías) fue de 1.249.509 M USD en 2025 según Gartner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Apps Run The Worl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mantenimiento de ECC (SAP Business Suite 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da mantenimiento estándar a Business Suite 7 hasta finales de 2027 y opcional hasta 2030 con una prima de 2 puntos sobre la base de mantenimiento; S/4HANA tiene mantenimiento hasta 2040 [28]. Empuja a la base instalada a migrar: Cloud ERP Suite creció un 28 % en 2025, hasta 18.119 M EUR [1], y un 29 % en el 3T26, hasta 5.924 M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(RISE with SAP y GROW)</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pasó del 50 % de los ingresos en 2024 (17.141 M) al 57 % en 2025 (21.023 M EUR); el mantenimiento cayó un 7 % por la conversión [1]. La cartera de nube a 12 meses creció un 27 % en el 2T26 [4] y un 28 % en el 3T26, hasta 24.144 M EUR; en 2026 la nube supone el 64 % de los ingresos de enero a septiembre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integrados en el ERP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IDC, citada por SAP, el 44 % de las organizaciones prevé invertir en ERP con IA y el 22 % cambiaría de aplicaciones si la siguiente versión no incluye IA generativa [1]. El gasto en modelos de IA generativa crecerá un 80,8 % en 2026 según Gartner [20]; parte de ese presupuesto puede desviarse del software por asientos.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mundial en TI y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prevé que el gasto en software crezca un 14,7 % en 2026, hasta 1.433.633 M USD, tras un 11,5 % en 2025; el gasto total en TI, un 10,8 % (6.155.493 M USD)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Soberanía de datos y nube soberana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lanzó EU AI Cloud en noviembre de 2025 y acuerdos de nube soberana con AWS, Mistral AI, Bleu y Capgemini; la soberanía pasa a ser un criterio de compra en sector público y regulados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divisa e incertidumbre macro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cita la volatilidad comercial y arancelaria de 2025 como fuente de incertidumbre [1]; en los nueve primeros meses de 2026 los ingresos crecieron un 10 % en euros frente a un 12 % a tipo constante por el dólar, y la previsión de cartera de nube supone un entorno macro estable en el 4T26 [14].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primeros (Oracle 6,7 % y SAP 6,6 % del ERP mundial en 2025) se reparten la gran empresa; en el mercado medio compiten Microsoft Dynamics, Sage, Infor, Workday y NetSuite, y los diez primeros solo suman el 31,9 % [17]. La competencia se centra en la migración de la base instalada a la nube.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ERP es crítico y caro de cambiar; los clientes pueden alargar o retrasar la migración, y en 2026 la Comisión Europea hizo vinculantes compromisos que les permiten dividir el soporte de SAP o pasarse a terceros [29]. El NPS de clientes de SAP bajó a 9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de SAP se apoya en los hiperescaladores (AWS, Microsoft Azure, Google Cloud, Alibaba), que además compiten en datos e IA [1]; el talento de desarrollo es el otro gran insumo (37.965 empleados de I+D) [1]. Los modelos de IA vienen de terceros (OpenAI, Mistral, Perplexity)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un ERP con localizaciones legales y fiscales en decenas de países lleva décadas; las entradas recientes llegan por capas (procesos con Celonis, datos con Databricks y Snowflake, agentes de IA) más que por el núcleo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pueden desplazar la interfaz y el cobro por usuario hacia una capa que no controla el proveedor del ERP; SAP admite que la ejecución de procesos se desplaza de las aplicaciones a una capa de IA agéntica [1]. El soporte de terceros sustituye al mantenimiento de SAP en sistemas antiguos, y los compromisos con la Comisión Europea lo facilitan durante diez años [29].</w:t>
            </w:r>
          </w:p>
        </w:tc>
      </w:tr>
    </w:tbl>
    <w:p>
      <w:pPr>
        <w:spacing w:after="160" w:before="0"/>
      </w:pPr>
    </w:p>
    <w:p>
      <w:pPr>
        <w:pStyle w:val="Heading2"/>
      </w:pPr>
      <w:r>
        <w:t xml:space="preserve">Ciclo</w:t>
      </w:r>
    </w:p>
    <w:p>
      <w:pPr>
        <w:spacing w:after="100"/>
      </w:pPr>
      <w:r>
        <w:t xml:space="preserve">Gartner prevé un gasto en software un 14,7 % mayor en 2026 tras un 11,5 % en 2025, y el ERP creció un 11 % en 2025 según ARTW, por encima del 6,5 % de 2024 [17, 18, 20]. La demanda está en un superciclo de migración forzado por el fin del soporte de ECC en 2027-2030 [28], no por la coyuntura. El software de aplicaciones es poco cíclico: en 2008-09 las ventas de licencias se hundieron pero el mantenimiento aguantó; en 2020 la pandemia retrasó proyectos y aceleró la nube; en 2022 la subida de tipos castigó las valoraciones más que los ingresos.</w:t>
      </w:r>
    </w:p>
    <w:p>
      <w:pPr>
        <w:pStyle w:val="Heading2"/>
      </w:pPr>
      <w:r>
        <w:t xml:space="preserve">Regulación</w:t>
      </w:r>
    </w:p>
    <w:p>
      <w:pPr>
        <w:spacing w:after="100"/>
      </w:pPr>
      <w:r>
        <w:t xml:space="preserve">La Comisión Europea abrió en septiembre de 2025 una investigación formal por abuso de posición dominante (artículo 102) sobre el mantenimiento y soporte del ERP instalado de SAP; SAP ofreció compromisos que se sometieron a prueba de mercado en 2025 [1] y la Comisión los aceptó el 9 de julio de 2026: permitir dividir el parque y elegir soporte distinto (incluido de terceros) para cada parte, rescindir licencias en ciertos casos, contratos de métrica única y supresión de las cuotas de reincorporación, con vigencia mundial de diez años y un supervisor [29]. No afecta a la nube y SAP no espera impacto material [1]. La Ley de IA de la UE es aplicable desde el 2 de agosto de 2026; las obligaciones de los modelos de propósito general rigen desde agosto de 2025 y las de los usos de alto riesgo en ámbitos sensibles se aplazaron al 2 de diciembre de 2027 [35]. La soberanía de datos se ha vuelto un criterio de compra en sector público y sectores regulados [1].</w:t>
      </w:r>
    </w:p>
    <w:p>
      <w:pPr>
        <w:pStyle w:val="Heading2"/>
      </w:pPr>
      <w:r>
        <w:t xml:space="preserve">Tendencias y disrupción</w:t>
      </w:r>
    </w:p>
    <w:p>
      <w:pPr>
        <w:spacing w:after="100"/>
      </w:pPr>
      <w:r>
        <w:t xml:space="preserve">La IA agéntica es la tendencia central: SAP sostiene que la ejecución de procesos pasa de aplicaciones individuales a una capa de agentes que se convierte en la nueva interfaz, y responde con Joule, los agentes de Joule y Business Data Cloud [1]. El riesgo es que los agentes reduzcan el número de usuarios que pagan licencia y que el valor se desplace a quien controla los datos y los modelos; SAP intenta retener ese valor con datos semánticos propios y alianzas con Databricks, Snowflake, Google, OpenAI y Mistral [1]. En SAP Connect (6 de octubre de 2026) presentó la «empresa autónoma» con Joule Work y Joule Assistants y acordó comprar TechWolf, cuyo grafo de tareas y habilidades alimentará los agentes de SuccessFactors [14, 37]; antes, en 2026, compró Reltio, Dremio y Prior Labs para su capa de datos e IA [14]. La segunda tendencia es la nube soberana en Europa [1]. Oracle pasó a SAP como primer proveedor de ERP en 2024 gracias a Fusion y NetSuite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proveedor mundial de software ERP en 2025 (6,6 %, 9.610 M USD de ingresos de ERP estimados), a una décima de Oracle (6,7 %) según Apps Run The World; fue el primero hasta 2023 [17, 18]. En software de aplicaciones empresariales en sentido amplio, con 36.800 M EUR de ingresos, solo lo superan Microsoft y Oracle [1, 21,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(Fusion Cloud ERP, NetSuite)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mayo de 2026: 67.357 M USD de ingresos y 20.606 M USD de beneficio de explotación [21]. N.º 1 en ERP desde 2024 [18]; ataca la gran empresa con Fusion y el mercado medio con NetSuite, y su crecimiento lo tira la infraestructura de nube.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(Dynamics 365)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Dynamics de 9.006 M USD en el ejercicio a junio de 2026 (+15 %; Dynamics 365, +18 %) [22]; el margen es el del grupo (155.237 / 331.839 M USD), sin desglose para Dynamics [22]. Fuerte en el mercado medio y con la ventaja de Azure, Office y Copilot.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41.525 M USD y 8.331 M USD de beneficio de explotación [23]. Compite en experiencia de cliente (CRM) y en agentes de IA (Agentforce), no en el núcleo del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9.552 M USD y 721 M USD de beneficio de explotación [24]. Rival directo de SuccessFactors en recursos humanos y de S/4HANA en finanzas de empresas de servicios.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13.278 M USD y 1.824 M USD de beneficio de explotación [25]. Plataforma de flujos de trabajo que se posiciona como capa de agentes por encima de los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Koch Industries, no publica cuentas; ingresos de ERP estimados por ARTW en 1.900 M USD en 2025 [17]. ERP vertical (fabricación, distribución, sanidad).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(NIIF): 6.235,8 M EUR de ingresos y 1.354,3 M EUR de beneficio de explotación; margen no NIIF del 32,0 % [26]. Compite en diseño y gestión del ciclo de vida del producto (PLM) y en fabricación, no en finanzas.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a septiembre de 2025: 2.513 M GBP de ingresos y 530 M GBP de beneficio de explotación estatutario [27]. Contabilidad y ERP para pymes (Sage Intacct, X3), donde SAP entra con GROW.</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ecosistema más que de red: socios integradores (Accenture, Capgemini), consultores certificados y la red de compras de Ariba conectan a empresas entre sí [1]. Más de un 20 % de los clientes usa más de cuatro soluciones de SAP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ERP soporta finanzas, cadena de suministro y nómina: SAP mantuvo una base de mantenimiento estable durante años (11.496 M EUR en 2023, 11.290 M en 2024) y la cae solo por conversión a su propia nube [1] (−5 % en el 3T26, con la nube al +26 %) [25]; SAP puede cobrar 2 puntos más de mantenimiento a quien quiera seguir en ECC entre 2028 y 2030 [13]. La Comisión Europea concluyó de forma preliminar que sus reglas de soporte podían restringir la competencia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13.000 patentes validadas y 50 años de procesos estándar y localizaciones legales [1]; la capitalización (256.000 M EUR) multiplicaba por más de cinco el patrimonio contable (45.100 M) a cierre de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la nube del 73,9 % en 2025 [1] y también en el 3T26, por debajo del 74,6 % del 3T25 [25], por debajo del de proveedores nativos de nube; la infraestructura depende de hiperescaladores que son también competidores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36.800 M EUR de ingresos y 37.965 personas en I+D [1], SAP amortiza el coste de mantener un ERP global en decenas de países; solo Oracle tiene una escala comparable en ERP (6,7 % frente a 6,6 %) [2].</w:t>
            </w:r>
          </w:p>
        </w:tc>
      </w:tr>
    </w:tbl>
    <w:p>
      <w:pPr>
        <w:spacing w:after="160" w:before="0"/>
      </w:pPr>
    </w:p>
    <w:p>
      <w:pPr>
        <w:pStyle w:val="Heading2"/>
      </w:pPr>
      <w:r>
        <w:t xml:space="preserve">Amenazas</w:t>
      </w:r>
    </w:p>
    <w:p>
      <w:pPr>
        <w:spacing w:after="100"/>
      </w:pPr>
      <w:r>
        <w:t xml:space="preserve">Las amenazas son tres. La primera, que los agentes de IA desplacen la interfaz y el cobro por usuario hacia una capa que controlen otros (Microsoft, Salesforce, ServiceNow o los proveedores de modelos), y que el ERP quede como un sistema de registro con menos valor; SAP lo reconoce [1] y su respuesta (Joule, Business Data Cloud) aún no tiene cifras propias; las compras de 2026 para reforzarla (Reltio, Dremio, Prior Labs) restaron 39 M EUR al beneficio operativo no NIIF del 3T26 [14]. La segunda, que Oracle siga ganando cuota con Fusion y NetSuite: ya es primero en ERP [17, 18]. La tercera, regulatoria: los compromisos con la Comisión Europea abren el soporte del ERP instalado a terceros durante diez años [29], aunque SAP no espera impacto material [1]. Probabilidad: media para la primera, media para la segunda, baja para la tercera.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2017-2025: ingresos </w:t>
      </w:r>
      <w:r>
        <w:rPr>
          <w:b/>
          <w:bCs/>
        </w:rPr>
        <w:t xml:space="preserve">5,8 %</w:t>
      </w:r>
      <w:r>
        <w:t xml:space="preserve">, EBITDA </w:t>
      </w:r>
      <w:r>
        <w:rPr>
          <w:b/>
          <w:bCs/>
        </w:rPr>
        <w:t xml:space="preserve">7,9 %</w:t>
      </w:r>
      <w:r>
        <w:t xml:space="preserve">, BPA </w:t>
      </w:r>
      <w:r>
        <w:rPr>
          <w:b/>
          <w:bCs/>
        </w:rPr>
        <w:t xml:space="preserve">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23.461 M en 2017 a 36.800 M en 2025, con un cambio de perímetro: desde 2021 las cifras excluyen Qualtrics (actividad interrumpida, vendida en 2023), de modo que 2017-2020 no son comparables con 2021-2025 [1, 2]. El crecimiento es casi todo orgánico: las compras de 2021-2025 (Signavio, Taulia, LeanIX, WalkMe, SmartRecruiters) suman unos 4.800 M de caja frente a 9.800 M de ingresos nuevos. A divisa constante los ingresos crecieron un 11 % en 2025 [7]. El margen operativo NIIF fue del 26,1 % en 2025 frente al 13,6 % de 2024, año con 3.144 M de reestructuración; sin ella, 2024 habría tenido un 22,8 %. En 2025 el margen sube además por menos pagos en acciones (1.695 M frente a 2.385 M) y por la nube con mayor margen bruto [1, 2, 7]. 2025 incluye una provisión de 387 M por el litigio de Teradata, registrada después del avance de resultados del 29-ene-26 [1]. En los nueve meses de 2026 los ingresos crecieron un 10 % (12 % a divisa constante) hasta 29.703 M y el beneficio operativo NIIF un 14 %, hasta 8.313 M (margen del 28,0 %, +1,2 pp); las compras de 2026 aportaron 49 M de ingresos en el 3T26 [14]. Los últimos doce meses a septiembre suman 39.387 M de ingresos y 10.654 M de beneficio operativo (estimación propia: 2025 más 9M26 menos 9M25).</w:t>
      </w:r>
    </w:p>
    <w:p>
      <w:pPr>
        <w:pStyle w:val="Heading2"/>
      </w:pPr>
      <w:r>
        <w:t xml:space="preserve">Ajustes y partidas no recurrentes</w:t>
      </w:r>
    </w:p>
    <w:p>
      <w:pPr>
        <w:spacing w:after="100"/>
      </w:pPr>
      <w:r>
        <w:t xml:space="preserve">SAP guía y comunica en beneficio operativo no NIIF, que excluye pagos en acciones, reestructuración, gastos de adquisición, el litigio de Teradata (desde 2025) y ganancias o pérdidas de participaciones: 10.419 M en 2025 frente a 9.617 M NIIF [1, 7]. Aquí se usan cifras NIIF. Partidas no recurrentes anotadas: reestructuración de 1.130 M en 2019 y 3.144 M en 2024, y en 2025 la provisión de Teradata (387 M) más 3 M de reestructuración. La reestructuración aparece casi todos los años (entre 3 y 215 M) y en esos años no se ajusta. Los pagos en acciones (1.695 M en 2025) son recurrentes y quedan dentro del EBITDA. El LTM a septiembre de 2026 lleva como no recurrentes 416 M del litigio de Teradata: la provisión de 387 M del 4T25 y el gasto adicional de 29 M del 1T26 por el acuerdo (la nota del 11-oct solo llevaba los 387 M) [14]. El 3T25 incluía unos 100 M por un cambio de jurisprudencia fiscal y otros 100 M de transformación de plantilla que salen del LTM al comparar [14]. Desde 2027 SAP sacará del beneficio no NIIF los efectos de divisa y los intereses de impuestos (NIIF 18) [14].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(23-jul-26).</w:t>
      </w:r>
      <w:r>
        <w:t xml:space="preserve"> La nube creció un 24 % a divisa constante (+22 % en euros) y el beneficio operativo no NIIF un 9 %. SAP rebajó la guía de beneficio no NIIF a 11.800-12.200 M por la dilución de Dremio y Prior Labs (más de 100 M) [4]. Los analistas preguntaron sobre todo por márgenes y costes: la caída del margen de nube, I+D +14 % con plantilla +3 % (UBS, Bank of America, JPMorgan, Morgan Stanley), la desaceleración de la nube en el segundo semestre (BNP Paribas), la rentabilidad de Dremio y Prior Labs (Evercore, Jefferies) y el impacto del caso europeo de mantenimiento [13]. La dirección atribuyó el alza de costes a «tokens» de IA y a gastos puntuales, prometió no aumentar plantilla en 12 meses y negó un cambio estructural, sin cuantificar los costes puntuales ni la aportación de las compras [13].</w:t>
      </w:r>
    </w:p>
    <w:p>
      <w:pPr>
        <w:spacing w:after="100"/>
      </w:pPr>
      <w:r>
        <w:rPr>
          <w:b/>
        </w:rPr>
        <w:t xml:space="preserve">3T26 (21-oct-26, tras el cierre de Xetra).</w:t>
      </w:r>
      <w:r>
        <w:t xml:space="preserve"> El discurso vuelve al crecimiento: primer trimestre por encima de 10.000 M de ingresos (+13 %; +12 % a divisa constante) y de 3.000 M de beneficio operativo no NIIF (+18 %, margen del 29,5 %), current cloud backlog de 24.144 M (+26 % a divisa constante) y nube +25 % [14, 15]. SAP sube la guía de nube y de nube y software «hacia la parte alta» de sus rangos y mantiene la de beneficio (11.800-12.200 M) y la de flujo libre (unos 10.000 M); para 2027 espera que el crecimiento de los ingresos se acelere y que los gastos no NIIF crezcan al 80-90 % del ritmo de los ingresos [14]. Dos matices del propio comunicado: la nube se benefició de una recuperación puntual de ingresos de varios trimestres de clientes que salieron de dificultades financieras, y el beneficio compara con un 3T25 lastrado por unos 200 M de efectos extraordinarios [14]. El margen bruto de nube volvió a caer (-0,7 pp). La conferencia empezó a las 23:00 del 21-oct y no hay transcripción a la fecha de corte. El ADR, que cerró en 232,73 USD, cotizaba a 242,15 USD (+4,0 %) en la negociación posterior al cierre hacia las 22:35 de Madrid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Qualtrics (vendida en jun-23) se presenta como actividad interrumpida desde 2021 en las cifras reexpresadas: ingresos, EBIT, BAI e impuestos de 2021-2023 son de actividades continuadas; 2017-2020 incluyen Qualtrics; 2019: Compra de Qualtrics (cerrada en ene-19): salida de caja por combinaciones de negocio de 6.215 M en 2019; 2024: WalkMe, consolidada desde el 12-sep-24 (contraprestación 1.329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SAP tiene caja neta: 3.381 M a dic-25 (1.697 M contando los arrendamientos) y 2.856 M a jun-26, tras 2.600 M de recompras, 2.883 M de dividendo y 991 M por Reltio en el semestre [1, 5]. La deuda financiera bajó de 13.668 M en 2019 (compra de Qualtrics) a 6.150 M en 2025 y volvió a 8.550 M en jun-26 con la emisión de 3.500 M para financiar Dremio y Prior Labs [2, 4, 5]. El circulante es estructuralmente negativo por los cobros anticipados: los pasivos por contrato (6.725 M a dic-25) superan con holgura a los clientes netos (6.675 M) [2]. El fondo de comercio (29.014 M) equivale al 65 % del patrimonio atribuido [1]. En el 3T26 la caja bajó de 10.511 M a 9.364 M por 1.524 M de recompras y unos 840 M de compras (Dremio y Prior Labs); los pasivos por contrato corrientes suben a 8.158 M en sep-26 [5, 14]. El fondo de comercio llega a 31.216 M (68 % del patrimonio atribuido de 45.948 M) tras las tres compras de 2026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2017-2025: FCF </w:t>
      </w:r>
      <w:r>
        <w:rPr>
          <w:b/>
          <w:bCs/>
        </w:rPr>
        <w:t xml:space="preserve">40.129</w:t>
      </w:r>
      <w:r>
        <w:t xml:space="preserve">, conversión </w:t>
      </w:r>
      <w:r>
        <w:rPr>
          <w:b/>
          <w:bCs/>
        </w:rPr>
        <w:t xml:space="preserve">100 %</w:t>
      </w:r>
      <w:r>
        <w:t xml:space="preserve"> del beneficio neto; adquisiciones 14.009, dividendos 19.820, recompras 8.484.</w:t>
      </w:r>
    </w:p>
    <w:p>
      <w:pPr>
        <w:spacing w:after="100"/>
      </w:pPr>
      <w:r>
        <w:t xml:space="preserve">El flujo operativo fue de 9.156 M en 2025 frente a 5.207 M en 2024, cuando se pagaron 2.500 M de reestructuración [1]. Desde 2025 los intereses pagados (574 M) van en financiación, y 2023-2024 se reexpresaron; 2017-2022 los incluyen en el flujo operativo [1, 3]. El capex es bajo y estable (739 M en 2025, el 2 % de las ventas) porque la infraestructura de nube se contrata en gran parte a hiperescaladores y se registra como coste [2]. SAP no separa capex de mantenimiento y de crecimiento. La conversión de beneficio en caja se apoya en la facturación anticipada (los pasivos por contrato crecieron en 1.336 M en 2025) y en que los pagos en acciones no consumen caja salvo la parte liquidada en efectivo [2]. Años anómalos: 2019 (impuestos de 2.329 M y compra de Qualtrics), 2023 (venta de Qualtrics) y 2024 (reestructuración) [1, 3]. En 9M26 el flujo operativo fue de 8.586 M (+9 %) pese a pagar 2.063 M de impuestos frente a 1.280 M, y el flujo libre según SAP de 7.968 M (+11 %; 1.718 M en el 3T26, +36 %); SAP mantiene unos 10.000 M de flujo libre para 2026 [14]. El capex de 9M26 (521 M) sigue por debajo del 2 % de las ventas [14]. El FCF del LTM a sep-26 tras intereses y arrendamientos es de 8.394 M (estimación propia, misma definición que la serie: flujo operativo menos capex, arrendamientos e intereses pagados; según la definición de SAP serían 9.003 M).</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BDO AG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BDO audita desde 2023, tras KPMG; la opinión de 2025 es favorable y BDO emitió también su informe sobre el control interno [1]. La I+D se registra como gasto (6.633 M en 2025) y no se ha localizado en el 20-F desarrollo capitalizado relevante; SAP sí capitaliza comisiones de venta, con un activo de 5.094 M a dic-25 frente a 696 M en 2017 [1, 2]. Los pagos en acciones son altos: 1.695 M en 2025 (24 % del beneficio atribuido) y 2.385 M en 2024 (76 %) [2]. Las cifras no NIIF excluyen cada año más partidas: en 2025 se añadió el litigio de Teradata, también para el bonus de la dirección [1]. El beneficio NIIF de 2025 se rebajó entre el avance (9.830 M de beneficio operativo) y el 20-F (9.617 M) por la provisión de Teradata registrada con información posterior al cierre [1, 7]. El cambio de clasificación de intereses en 2025 mejora el flujo operativo frente a la serie histórica [1]. Los estados del 3T26 no están auditados [14].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2025 corregido entre el avance y las cuentas auditadas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9.830 M en el avance del 29-ene-26 y de 9.617 M en el 20-F por la provisión de Teradata (387 M) registrada después del avance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1.695 M en 2025 (4,6 % de las ventas) y 2.385 M en 2024; 1.227 M en 9M26 frente a 1.379 M, una bajada que SAP atribuye a la caída de unos 25 EUR de la acción y que mejora el beneficio NIIF [2, 7,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Perímetro de ajustes no NIIF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añadió el litigio de Teradata, aplicado también a la retribución variable de la dirección [1]; desde 2027 se excluirán además los efectos de divisa y los intereses de impuestos, con la entrada de la NIIF 18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Reclasificación de intereses en el estado de flujos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2025 los intereses pagados (574 M) salen del flujo operativo; mejora el flujo operativo y el FCF según SAP frente a los años anteriores a 2023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venta capitalizadas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por costes de obtención de contratos pasó de 696 M (2017) a 5.094 M (2025), en línea con la venta de nube plurianual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nube del 3T26 con efecto puntual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declara que la nube del 3T26 se benefició de una recuperación de ingresos de varios trimestres de clientes que salieron de dificultades financieras, sin cuantificarla [14].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29.014 M en 2025 (el 66 % del capital invertido medio); ha subido más de un 5 % en 5 de 8 años: comprador en serie. ROIC publicado 15,5 %; sin fondo de comercio, 45,0 %.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9,2 %.</w:t>
      </w:r>
    </w:p>
    <w:p>
      <w:pPr>
        <w:spacing w:after="100"/>
      </w:pPr>
      <w:r>
        <w:rPr>
          <w:b/>
        </w:rPr>
        <w:t xml:space="preserve">SAP crea valor, pero menos de lo que sugiere su marca.</w:t>
      </w:r>
      <w:r>
        <w:t xml:space="preserve"> El ROIC después de impuestos fue del 15,5 % en 2025, 6,2 puntos por encima del WACC del 9,30 %; en 2022-2023 cayó al 8,4-8,5 %, por debajo de su coste de capital, por los costes de la transición a la nube y la carga de Qualtrics [1]. El ROIC lo frena la rotación (0,51 veces): el fondo de comercio de 29.014 M es el 63 % del capital invertido, fruto de compras como SuccessFactors, Ariba, Concur y Qualtrics [1]. El margen mueve el resto: el EBIT pasó del 18,6 % de 2023 al 27,2 % de 2025 (sin la reestructuración y el litigio). El ROIC incremental de la década, del 17,6 %, dice que el crecimiento reciente es de calidad. Oracle (30,6 % de margen EBIT) y Microsoft (46,8 %) siguen siendo más rentables [21, 22].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Dic-25: caja 8.220 M + depósitos y valores a corto 1.311 M = liquidez del grupo 9.531 M, frente a deuda financiera nominal de 6.150 M (caja neta 3.381 M; 1.697 M incluyendo arrendamientos de 1.684 M); línea de crédito sindicada comprometida de 3.000 M sin disponer y sin covenants financieros, hasta mar-2030 [1]. Jun-26: liquidez 11.407 M (caja 10.511 + inversiones a corto 896) y deuda 8.550 M; caja neta 2.856 M [5]. Sep-26: caja 9.364 M y otros activos financieros corrientes 1.633 M; deuda financiera estimada en unos 8.535 M (estimación propia: dic-25 más 4.663 M dispuestos y menos 2.278 M devueltos en 9M26; en el 3T26 se dispusieron 177 M y se devolvieron 178 M), lo que deja una caja neta de unos 800 M contando solo la caja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A+ (estable); Moody's A1 (estable) [1,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casi cubiertas: obligación de 2.358 M frente a 2.181 M de activos del plan (pasivo neto 230 M a dic-25) [1]. Sin covenants financieros en la línea sindicada de 3.000 M ni en los bonos [1]. Provisiones: 537 M corrientes a dic-25, sobre todo reestructuración y litigios, entre ellos 387 M por Teradata, pagados en el 1T26 (408 M) [1, 6]; bajan a 119 M en jun-26 y a 108 M en sep-26 [4, 14]. Los pasivos por pagos en acciones liquidados en efectivo bajan de 1.735 M (2019) a 235 M (2025) al pasar los planes a liquidarse en acciones [2]. Compromisos de compra: 8.644 M a dic-25 (144 M en 2022) [2]. Hay inspecciones fiscales abiertas sobre la deducibilidad de cánones intragrupo [1].</w:t>
      </w:r>
    </w:p>
    <w:p>
      <w:pPr>
        <w:pStyle w:val="Heading1"/>
      </w:pPr>
      <w:r>
        <w:t xml:space="preserve">12. Asignación de capital</w:t>
      </w:r>
    </w:p>
    <w:p>
      <w:pPr>
        <w:pStyle w:val="Confianza"/>
        <w:spacing w:after="100"/>
      </w:pPr>
      <w:r>
        <w:t xml:space="preserve">Confianza: Alta</w:t>
      </w:r>
    </w:p>
    <w:p>
      <w:pPr>
        <w:spacing w:after="100"/>
      </w:pPr>
      <w:r>
        <w:t xml:space="preserve">Dividendo de al menos el 40 % del beneficio después de impuestos no NIIF de actividades continuadas; 2,50 EUR por acción con cargo a 2025 (2.883 M pagados en mayo de 2026) [1, 4]. Recompras: el programa de 5.000 M de 2023 terminó en agosto de 2025 (26,0 M de acciones a 188,24 EUR de media); el nuevo, de hasta 10.000 M hasta fin de 2027, llevaba unos 4.200 M a 30-sep-26 (25,2 M de acciones a 164,79 EUR de media), así que quedan unos 5.800 M para quince meses [1, 14]. La caja también se usa en compras de tamaño medio en IA y datos: Reltio (1.076 M), Dremio (unos 515 M) y Prior Labs (unos 518 M) en 2026, financiadas en parte con eurobonos por 3.500 M, y el acuerdo para comprar TechWolf, sin importe publicado [4, 5,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Qualtrics International (gestión de la experiencia),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Qualtrics en 2021 (entrada de 2.828 M); pérdidas de actividades interrumpidas de 1.447 M (2021) y 1.359 M (2022); venta de la participación (423 M de acciones) a Silver Lake y CPP Investments por unos 7.700 M USD en jun-23, con beneficio de actividades interrumpidas de 2.363 M en 2023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Emarsys (marketing omnicanal), principalmente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cartera de experiencia del cliente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Signavio (gestión de procesos) y Clarabridge (vía Qualtrics)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Signavio 766 M; base de la oferta de Business Process Intelligence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Combinaciones de negocio del año (Taulia,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neta según el estado de flujos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LeanIX (gestión de arquitectura empresarial)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7-nov-23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WalkMe (plataforma de adopción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préstamo a corto de 1.250 M (devuelto en mar-25)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12-sep-24; con WalkMe todo el año, los ingresos pro forma de 2024 habrían sido 34.328 M (+152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SmartRecruiters (selección de personal)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sep-25; fondo de comercio provisional 523 M; se integra en SuccessFactors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Reltio (gestión de datos maestros)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7-may-26; en 9M26 aportó unos 64 M de ingresos y -30 M al beneficio operativo NIIF (-17 M no NIIF)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Dremio (data lakehouse) y Prior Labs (modelos fundacionales tabulares)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eurobonos de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Cerradas el 6 y 16-jul-26 (contraprestación provisional de unos 515 M y 518 M; la nota del 11-oct daba unos 400 M para Prior Labs). En el 3T26 Dremio aportó 9 M de ingresos y -18 M al beneficio operativo NIIF y Prior Labs menos de 1 M y -24 M [14]</w:t>
            </w:r>
          </w:p>
        </w:tc>
      </w:tr>
    </w:tbl>
    <w:p>
      <w:pPr>
        <w:spacing w:after="160" w:before="0"/>
      </w:pPr>
    </w:p>
    <w:p>
      <w:pPr>
        <w:spacing w:after="100"/>
      </w:pPr>
      <w:r>
        <w:t xml:space="preserve">De 2017 a 2025 SAP generó 52.517 M de flujo operativo y destinó 19.820 M a dividendos, 8.484 M a recompras y unos 14.000 M a adquisiciones [2, 3]. La gran operación de la década, Qualtrics, se compró en 2019 (salida de caja de 6.215 M ese año), salió a bolsa en 2021 (2.828 M) y se vendió en 2023 por unos 7.700 M USD; entre medias dejó pérdidas de actividades interrumpidas de 2.806 M en 2021-2022 [1, 2, 3]. Las compras posteriores son de menor tamaño y están ligadas al núcleo (procesos, datos, IA). El número de acciones diluidas bajó de 1.198 M en 2017 a 1.163 M en el 1S26 [2, 4]. Las recompras del programa de 2023 se hicieron a 188,24 EUR de media y las de 2026, hasta septiembre, a 164,79 EUR, por debajo del precio actual [1, 14]. Las acciones diluidas medias bajaron a 1.157 M en el 3T26 (1.172 M un año antes) [14]. Las tres compras de 2026 (unos 2.100 M) restaron 59 M al beneficio operativo NIIF del 3T26 por 49 M de ingresos: su rentabilidad está por demostrar [14].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Klein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(Vorstandsvorsitzender)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1999; miembro del Executive Board desde 2018, co-CEO con Jennifer Morgan desde octubre de 2019 y CEO único desde abril de 2020; mandato renovado hasta 2030 [1]. Con él al frente, los ingresos de nube pasaron de 8.090 M EUR en 2020 a 21.023 M EUR en 2025 y el beneficio operativo no NIIF a 10.420 M EUR [1, 3]. Desde julio de 2026 asume de forma interina parte de Product &amp; Engineering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Dominik Asam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marzo de 2023, mandato hasta 2028; antes CFO de Airbus (2019-2023) e Infineon (desde 2011) [1]. En su etapa el flujo de caja libre pasó de 5.080 M EUR (2023) a 8.240 M EUR (2025) y se lanzó la recompra de hasta 10.000 M EUR para 2026-2027 [1,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Saueressig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Customer Officer, Customer Value Group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2004 y en el Executive Board desde 2019, mandato hasta 2028 [1]. Desde abril de 2026 dirige la nueva Customer Value Group (Customer Success más Customer Services &amp; Delivery)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Muhammad Alam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Executive Board, SAP Product &amp; Engineering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2022 desde Microsoft (17 años en Business Applications) y entró en el Executive Board en abril de 2024 [1]. El 2 de marzo de 2026 SAP anunció que no renovará su contrato por motivos personales (seguirá hasta 2027) y desde julio de 2026 parte de su área pasó a Klein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Sebastian Steinhaeuser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Strategy &amp; Operations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2020; en el Executive Board desde el 1 de febrero de 2025 como COO (estrategia, operaciones, marketing y socios), mandato hasta 2028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Pekka Ala-Pietilä</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 desde la junta del 15 de mayo de 2024, en sustitución de Hasso Plattner; preside también Sanoma y HERE Technologies [1, 39]. Reelegido el 5 de mayo de 2026 con el 88,48 % de los votos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2020: nube no NIIF 8.300-8.700 M EUR, ingresos totales 27.800-28.500 M EUR, beneficio operativo no NIIF 8.100-8.700 M EUR; en octubre se rebajó a nube 8.000-8.200 M EUR, ingresos 27.200-27.800 M EUR y beneficio 8.100-8.500 M EUR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8.240 M EUR, ingresos 27.900 M EUR y beneficio operativo 8.500 M EUR, a tipo constante [42]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2021: nube 9.200-9.500 M EUR y nube y software 23.400-23.800 M EUR; elevada en julio y octubre a nube 9.400-9.600 M EUR, nube y software 23.800-24.200 M EUR y beneficio operativo 8.100-8.300 M EUR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9.590 M EUR, nube y software 24.410 M EUR y beneficio operativo 8.410 M EUR, a tipo constante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11.550-11.850 M EUR, nube y software 25.000-25.500 M EUR, beneficio operativo no NIIF 7.800-8.250 M EUR; en julio, por Ucrania, beneficio rebajado a 7.600-7.900 M EUR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11.680 M EUR, nube y software 25.020 M EUR y beneficio operativo 7.680 M EUR, a tipo constante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Qualtrics (abril): nube 14.000-14.400 M EUR, nube y software 26.900-27.400 M EUR, beneficio operativo 8.600-8.900 M EUR, flujo libre ≈4.900 M EUR; en julio, nube 14.000-14.200 M EUR y beneficio 8.650-8.950 M EUR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14.060 M EUR, nube y software 27.640 M EUR y beneficio operativo 9.040 M EUR, a tipo constante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17.000-17.300 M EUR, nube y software 29.000-29.500 M EUR, beneficio operativo no NIIF 7.600-7.900 M EUR, flujo libre ≈3.500 M EUR; en octubre se elevaron nube y software (29.500-29.800), beneficio (7.800-8.000) y flujo libre (3.500-4.000)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17.210 M EUR, nube y software 29.960 M EUR, beneficio operativo 8.230 M EUR (tipo constante) y flujo libre 4.220 M EUR [40]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21.600-21.900 M EUR (en octubre, en la parte baja), nube y software 33.100-33.600 M EUR, beneficio operativo no NIIF 10.300-10.600 M EUR, flujo libre ≈8.000 M EUR, cartera de nube a corto plazo con ligera desaceleración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21.660 M EUR, nube y software 33.440 M EUR, beneficio operativo 10.660 M EUR (tipo constante), flujo libre 8.240 M EUR; la cartera a corto plazo frenó del 29 % al 25 %, más de lo previsto, y el NPS fue 9 frente a 12-16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Ambición 2025 (fijada en oct. 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más de 22.000 M EUR, ingresos totales más de 36.000 M EUR y beneficio operativo no NIIF más de 11.500 M EUR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21.023 M EUR, ingresos 36.800 M EUR, beneficio operativo no NIIF 10.420 M EUR (2025, a tipo real) [1]; la ambición se rehízo en 2023-2024 por la venta de Qualtrics y el cambio de definición no NIIF [36, 40]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Ambición 2025 (revisada, ene.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más de 21.500 M EUR, ingresos totales más de 37.500 M EUR, beneficio operativo no NIIF ≈10.000 M EUR, flujo libre ≈8.000 M EUR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tipo constante: nube 21.660 M EUR, ingresos 37.800 M EUR, beneficio 10.660 M EUR; a tipo real: 21.023, 36.800 y 10.420 M EUR; flujo libre 8.240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 nube 25.800-26.200 M EUR (+23-25 % a tipo constante), nube y software 36.300-36.800 M EUR, beneficio operativo no NIIF 11.900-12.300 M EUR, flujo libre ≈10.000 M EUR y ligera desaceleración de la cartera de nube a corto plazo; en julio el beneficio se rebajó a 11.800-12.200 M EUR por Dremio y Prior Labs [1, 4]. El 21-oct, nube y nube y software «hacia la parte alta» de sus horquillas; beneficio, flujo libre (≈10.000 M EUR) y tipo fiscal no NIIF (≈29 %) se mantienen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Nueve meses: nube 18.911 M EUR (+23 %; +25 % a tipo constante), ingresos 29.703 M EUR, beneficio operativo no NIIF 8.639 M EUR (+14 %; +17 % a tipo constante) y flujo libre 7.968 M EUR; cartera de nube a corto plazo 24.144 M EUR (+26 % a tipo constante, por encima del +25 % de 2025 pese a la guía de ligera desaceleración) [14]. La nube del 3T (+25 % a tipo constante) llevó efectos puntuales, sobre todo cobros atrasados de clientes que salen de dificultades financieras [14]. Para 2027 reitera la aceleración de ingresos y gastos operativos al 80-90 % de su crecimiento [14,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Klein lleva seis años como CEO único y su mandato llega a 2030. Entre 2020 y 2025 SAP cumplió o superó la guía de nube y de beneficio en cuatro de seis años; las excepciones fueron 2020 (rebaja de octubre por la pandemia) y 2022 (beneficio rebajado en julio por Ucrania), y en 2025 la nube quedó en la parte baja y la cartera de nube frenó más de lo previsto [1, 41, 42]. En 2026 va mejor: el 21-oct subió nube y nube y software a la parte alta de las horquillas y la cartera de nube no frena, aunque el beneficio ya se había rebajado en julio por adquisiciones [4, 14]. La ambición 2025 original de 2020 no se alcanzó y se rehízo dos veces [36, 42]. El Executive Board ha rotado mucho: salieron Russell, White y Müller (2024), entró Steinhaeuser (2025) y Alam se irá en 2027, con Klein asumiendo parte de producto y sin sucesor anunciado a 21-oct [5, 14, 40]. CFO estable desde 2023. No hay un sucesor del CEO identificado públicamente.</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Pekka Ala-Pietilä</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Gobierno, Nombramientos,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Lamadé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Gobierno, Seguridad Gubernamental; empleado de SAP</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Aicha Evans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Herbrich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Producto y Tecnología; profesor del Hasso Plattner Institute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Jennifer Xin-Zhe 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presidenta de Auditoría y Cumplimiento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(presidenta, experta financiera),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 Lu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Friederike Rotsch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Auditoría y Cumplimiento, Nombramientos,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Rouven Westphal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Finanzas e Inversiones, Nombramientos; consejero de la Hasso Plattner Foundation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René Obermann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Gregoire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Jakub Černý</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(desde 2026),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Demat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Marielle Ehrmann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Andreas Hahn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(presidente del comité de empresa europeo)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César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Nicolas Sabatier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(sindicato CFE-CGC)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Eberhard Schick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(presidente del comité de empresa de SAP SE)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Nina Strassner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Personal y Gobierno, Seguridad Gubernamental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Lars Lamadé</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3,24 / ventas 0,39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(6,66 % en acciones y 0,09 % en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6,55 % al 6,75 % al cruzar umbrales el 29-may-2026; en febrero de 2026 comunicaba el 6,49 %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Hasso Plattner Foundation (Hasso Plattner y sociedades HPC)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del cofundador; un consejero dominical (Westphal)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Última notificación localizada: 6,60 % a 17-jun-2022, al pasar el control a la fundación; sin avisos posteriores encontrados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Dietmar Hopp (conjuntamente)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62,5 M de acciones según su Schedule 13G de febrero de 2022; sin cambios significativos en tres años según SAP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 (estimación propia a 30-sep-2026)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74,3 M de acciones a 30-jun-2026 (6,05 %) [5]; en el 3T se compraron otros 8,9 M (25,21 M en total bajo el programa de hasta 10.000 M EUR, a 164,79 EUR de media, unos 4.200 M EUR) [14]. Estimación propia: 74,3 + 8,9 = 83,2 M sobre 1.229 M emitidas, ≈6,8 %, como máximo, porque no resta las entregas a empleados; el saldo contable de acciones propias pasó de 6.948 a 10.593 M EUR en nueve meses [14]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Executive Board y Supervisory Board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83.326 acciones entre los 24 miembros a 5-feb-2026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Gerhard Oswald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Dominik Asam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 venta para pagar impuestos de acciones recibidas en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 venta para pagar impuestos de acciones recibidas en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Klein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Dominik Asam (CFO), compra de un derivado sobre SAP (10.000 títulos a 97,24 EUR, fuera de mercado)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Gina Vargiu-Breuer (Chief People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Saueressig (Chief Customer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Klein devengó 16,24 M EUR en 2025 (18,98 M EUR en 2024): 1,58 M EUR fijos, 3,69 M EUR de variable anual (STI) y 10,98 M EUR del tramo 2022 del plan a largo plazo LTI 2020 [1]. El STI pesa un 80 % en métricas financieras (flujo libre, cartera de nube a corto plazo y crecimiento de nube y software, no NIIF a tipo constante) y un 20 % en NPS de clientes y compromiso de empleados; en 2025 el factor fue 0,990 [1]. El LTI 2024 es todo variable: PSU financieras (30 % ingresos totales y 20 % beneficio operativo no NIIF acumulados a tres años), PSU de mercado (TSR relativo frente al NASDAQ-100) y PSU ESG, con pago máximo del 300 % de la concesión [1]. El consejo excluyó del cálculo el efecto de SmartRecruiters y los 387 M EUR del litigio con Teradata [1]. Hay cláusula de recuperación (clawback) desde 2023 e indemnización limitada a dos años de retribución [1]. La ratio de 111 veces es estimación propia: 16.244 miles de EUR entre los 146 miles de EUR de coste medio por empleado de 2025 [1].</w:t>
      </w:r>
    </w:p>
    <w:p>
      <w:pPr>
        <w:pStyle w:val="Heading2"/>
      </w:pPr>
      <w:r>
        <w:t xml:space="preserve">Operaciones vinculadas, estructura de control y defensas</w:t>
      </w:r>
    </w:p>
    <w:p>
      <w:pPr>
        <w:spacing w:after="100"/>
      </w:pPr>
      <w:r>
        <w:t xml:space="preserve">SAP SE no tiene accionista de control: los mayores son BlackRock (6,75 %), la Hasso Plattner Foundation (6,60 % en su último aviso de 2022) y Dietmar Hopp (5,1 %), y en las juntas votan en torno al 68-73 % del capital [1, 38, 39, 53, 55]. Hay una sola clase de acciones al portador, sin derechos especiales de voto ni límites estatutarios [1]. Sistema dual alemán: el Supervisory Board de 18 miembros tiene 9 representantes de los accionistas, que SAP considera todos independientes, y 9 de los empleados europeos por cogestión [1]. La fundación de Plattner conserva un consejero (Westphal), y otro (Herbrich) es profesor del Hasso Plattner Institute [1]. Las operaciones vinculadas con entidades de consejeros son de curso ordinario e inmateriales [1]. La junta aprobó en 2025 capital autorizado con exclusión del derecho de suscripción (92-93 % a favor) y en 2026 la emisión de convertibles (92,74 %) [38, 39].</w:t>
      </w:r>
    </w:p>
    <w:p>
      <w:pPr>
        <w:pStyle w:val="Heading2"/>
      </w:pPr>
      <w:r>
        <w:t xml:space="preserve">Señales de alerta</w:t>
      </w:r>
    </w:p>
    <w:p>
      <w:pPr>
        <w:pStyle w:val="ListParagraph"/>
        <w:numPr>
          <w:ilvl w:val="0"/>
          <w:numId w:val="2"/>
        </w:numPr>
        <w:spacing w:after="60"/>
      </w:pPr>
      <w:r>
        <w:t xml:space="preserve">Enero de 2024: acuerdo con la SEC, el DOJ y autoridades de Sudáfrica para cerrar las investigaciones por sobornos en el sector público (FCPA), con pagos de 207 M EUR [40].</w:t>
      </w:r>
    </w:p>
    <w:p>
      <w:pPr>
        <w:pStyle w:val="ListParagraph"/>
        <w:numPr>
          <w:ilvl w:val="0"/>
          <w:numId w:val="2"/>
        </w:numPr>
        <w:spacing w:after="60"/>
      </w:pPr>
      <w:r>
        <w:t xml:space="preserve">Septiembre de 2025: la Comisión Europea abrió un procedimiento por las políticas de mantenimiento y soporte de ERP en local; el 9-jul-2026 hizo vinculantes los compromisos de SAP y cerró la investigación, sin multa, con tres meses para aplicarlos [1, 5].</w:t>
      </w:r>
    </w:p>
    <w:p>
      <w:pPr>
        <w:pStyle w:val="ListParagraph"/>
        <w:numPr>
          <w:ilvl w:val="0"/>
          <w:numId w:val="2"/>
        </w:numPr>
        <w:spacing w:after="60"/>
      </w:pPr>
      <w:r>
        <w:t xml:space="preserve">Litigio con Teradata (secretos comerciales y antimonopolio en EE. UU.): provisión de 387 M EUR en 2025 y acuerdo de febrero de 2026 por 480 M USD (408 M EUR), pagado en marzo, con 29 M EUR de gasto adicional [1, 5, 14].</w:t>
      </w:r>
    </w:p>
    <w:p>
      <w:pPr>
        <w:pStyle w:val="ListParagraph"/>
        <w:numPr>
          <w:ilvl w:val="0"/>
          <w:numId w:val="2"/>
        </w:numPr>
        <w:spacing w:after="60"/>
      </w:pPr>
      <w:r>
        <w:t xml:space="preserve">Celonis demanda a SAP en EE. UU. (antimonopolio y, desde 2026, secretos comerciales; pide unos 70 M USD) y ante la Oficina Federal de Cárteles alemana; juicio previsto el 13-sep-2027 [5].</w:t>
      </w:r>
    </w:p>
    <w:p>
      <w:pPr>
        <w:pStyle w:val="ListParagraph"/>
        <w:numPr>
          <w:ilvl w:val="0"/>
          <w:numId w:val="2"/>
        </w:numPr>
        <w:spacing w:after="60"/>
      </w:pPr>
      <w:r>
        <w:t xml:space="preserve">Rotación en el Executive Board: salieron Scott Russell y Julia White (agosto de 2024) y Jürgen Müller (septiembre de 2024); Muhammad Alam no renovará y se irá en 2027 [5, 40].</w:t>
      </w:r>
    </w:p>
    <w:p>
      <w:pPr>
        <w:pStyle w:val="ListParagraph"/>
        <w:numPr>
          <w:ilvl w:val="0"/>
          <w:numId w:val="2"/>
        </w:numPr>
        <w:spacing w:after="60"/>
      </w:pPr>
      <w:r>
        <w:t xml:space="preserve">La presidencia del consejo tuvo el apoyo más bajo de la junta de 2026: 88,48 % a favor de la reelección de Ala-Pietilä [38].</w:t>
      </w:r>
    </w:p>
    <w:p>
      <w:pPr>
        <w:pStyle w:val="ListParagraph"/>
        <w:numPr>
          <w:ilvl w:val="0"/>
          <w:numId w:val="2"/>
        </w:numPr>
        <w:spacing w:after="60"/>
      </w:pPr>
      <w:r>
        <w:t xml:space="preserve">Auditor BDO desde el ejercicio 2023, tras la rotación obligatoria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actualizada el 21-oct-2026 con el 3T26 (tipos constantes, 1,13 USD/EUR de media): ingresos de nube </w:t>
      </w:r>
      <w:r>
        <w:rPr>
          <w:b/>
        </w:rPr>
        <w:t xml:space="preserve">en la parte alta</w:t>
      </w:r>
      <w:r>
        <w:t xml:space="preserve"> del rango de 25.800-26.200 M EUR (+23 % a +25 %; 2025: 21.020 M) y de nube y software en la parte alta de 36.300-36.800 M (+12 % a +13 %; 2025: 32.540 M). Se mantienen: resultado de explotación no NIIF de 11.800-12.200 M (+13 % a +17 %; rebajado el 23-jul por las compras de Dremio y Prior Labs), flujo libre de unos 10.000 M a tipos reales (2025: 8.240 M), tipo impositivo no NIIF de en torno al 29 % y ligera desaceleración del current cloud backlog (2025: +25 %). Ingresos totales 2026 a ritmo parecido al de 2025 (10,6 %) y acelerando en 2027; gastos operativos no NIIF 2027 al 80-90 % del crecimiento de los ingresos; el soporte caerá más deprisa por el paso a la nube. Efecto divisa a tipos de 30-sep para el año: −1,5 puntos en nube y −2,0 en resultado no NIIF [14]. No hay guía nueva de 2027-2028 en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28 analistas, 21-oct-2026, antes de los resultados del 3T26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28 analistas, 21-oct-2026, antes de los resultados del 3T26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28 analistas, 21-oct-2026, antes de los resultados del 3T26 [61]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50.411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290,00</w:t>
            </w:r>
          </w:p>
        </w:tc>
      </w:tr>
    </w:tbl>
    <w:p>
      <w:pPr>
        <w:spacing w:after="160" w:before="0"/>
      </w:pPr>
    </w:p>
    <w:p>
      <w:pPr>
        <w:pStyle w:val="Heading2"/>
      </w:pPr>
      <w:r>
        <w:t xml:space="preserve">Revisiones de estimaciones</w:t>
      </w:r>
    </w:p>
    <w:p>
      <w:pPr>
        <w:spacing w:after="100"/>
      </w:pPr>
      <w:r>
        <w:t xml:space="preserve">Consenso a 21-oct-2026, </w:t>
      </w:r>
      <w:r>
        <w:rPr>
          <w:b/>
        </w:rPr>
        <w:t xml:space="preserve">anterior a los resultados del 3T26</w:t>
      </w:r>
      <w:r>
        <w:t xml:space="preserve"> (publicados tras el cierre; ningún proveedor gratuito los había incorporado al cerrar esta nota). Frente al 9-oct: BPA 2026e de 7,07 a 7,03 EUR (−0,5 %), 2027e de 8,14 a 8,07 (−0,9 %) y 2028e de 9,58 a 9,49 (−0,9 %); ingresos y EBITDA casi iguales (+0,1-0,3 %) [61]. El precio objetivo medio sube de 210,39 a 215,76 EUR (máximo 290, mínimo 160), un 3,4 % sobre el cierre de 208,65 EUR [62]. Investing: «compra fuerte», 23 comprar, 5 mantener y 0 vender en tres meses (el 9-oct eran 24 y 4: una rebaja a mantener), mismo objetivo medio, lo que sugiere un origen común; última acción listada, Citi, comprar con 215 EUR (22-sep) [79]. Solo MarketScreener da estimaciones completas a tres años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SAP ha rentado un −15,5 % en un año, frente al +3,0 % del DAX y el +28,0 % del sector tecnológico europeo, que tira de los semiconductores [57]. Dos sesiones lo explican: el −16,1 % del 29-ene-2026, cuando la guía anticipó que el backlog de nube frenaría, y el mínimo de 127,50 EUR del 23-jul-2026, en plena venta de software de aplicaciones por la IA [7, 57]. Desde julio ha subido un 50 %, con compras de la dirección a 133,56-179,15 EUR [49, 51]. A cinco años rinde un 12,2 % anual, por encima del DAX (9,9 %). La beta es de 1,15 y la volatilidad del 41,6 %, alta para su historia.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 / +48,8 % / +40,1 % / -11,9 %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 / +62,6 %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ServiceNow perdió un 17 % tras una guía débil y arrastró a casi todo el software europeo; SAP había publicado su 1T26 dos días antes [57, 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30-jun (−6,5 % el 11-jun y −4,5 % el 18-jun) dentro de la venta de todo el software de aplicaciones por el temor a que los agentes de IA canibalicen las licencias por usuario; no se encontró una causa propia de SAP (búsquedas de prensa alemana y de las fechas concretas) [57].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24-jul a 21-ago-2026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el mínimo de 127,50 EUR del 23-jul: resultados del 2T26 por encima de lo que se temía (current cloud backlog +27 % hasta 22.900 M EUR), +9,3 % el 24-jul, y arranque del segundo tramo de la recompra (2.600 M EUR) el 27-jul, +7,9 % ese día y +5,3 % el 28-jul [4, 57, 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 ingresos 10.270 M EUR (+13 %; +12 % a tipos constantes), nube +26 % (+25 %), current cloud backlog 24.144 M (+28 %; +26 %), resultado no NIIF 3.030 M (+18 %, margen 29,5 %), flujo libre de nueve meses 7.968 M (+11 %); la guía de nube pasa a la parte alta del rango. Parte del crecimiento de la nube viene de cobros atrasados de clientes que salen de dificultades financieras (efecto del trimestre). El ADR sube un 4 % fuera de horario [14, 15, 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antes de los resultados: 23 comprar, 5 mantener y 0 vender (24/4/0 el 9-oct: una rebaja a mantener por precio); objetivo medio 215,76 EUR, un 3,4 % sobre el cierre [62, 79]. Tras un rebote del 63 % el objetivo medio queda casi en el precio: hay riesgo de más rebajas por valoración aunque las cifras acompañen.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en marcha: 25,2 M acciones a 164,79 EUR de media hasta el 30-sep (≈ 4.200 M de los 10.000 M del programa hasta 2027; 8,9 M en el 3T26). Compras de directivos en el mínimo: el consejero delegado el 24-jul a 133,56 EUR y Gina Vargiu-Breuer (Executive Board) el 12-ago a 179,15 EUR (nota C)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cerradas: Reltio (7-may, 1.076 M EUR), Dremio (6-jul) y Prior Labs (16/17-jul); en el 3T26 aportan 49 M de ingresos y restan 39 M al resultado no NIIF. Pagadas en caja: no hay ampliación ni papel nuevo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49 % en tres meses (aviso P1) y un 63 % desde el mínimo del 23-jul, con tendencia alcista (precio un 26,5 % sobre la media de 200 sesiones), pero sigue un 13,8 % bajo el máximo de 52 semanas y un 25,6 % bajo el histórico. El rebote tiene causa propia y publicada (2T26 y 3T26 por encima de lo esperado, recompra) y no hay colocaciones, ampliaciones ni ofertas pendientes: el veredicto es «no cambia». Los próximos resultados son a finales de enero de 2027 (fecha exacta no leída). Hecho a vigilar: la apertura del 22-oct (el ADR, +4 % fuera de horario) y las revisiones del consenso, que aún no recogen el 3T26 [14, 57, 62].</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SAP cotiza a 18,2 veces el EBITDA de los últimos 12 meses y 28,7 veces el beneficio, un 9 % y un 16 % por debajo de su media de nueve años (19,9 y 34,2 veces), aunque por encima del mínimo de 15,1 veces [57]. El descuento llega después de una caída del 47,8 % desde el máximo de octubre de 2025 hasta julio de 2026: el mercado dejó de pagar la prima de 2024 (30,9 veces) por miedo a que los agentes de IA abaraten el software de aplicaciones, y la recuperación posterior (+50 % desde julio) ha devuelto el múltiplo a la zona media. No es un múltiplo de crisis.</w:t>
      </w:r>
    </w:p>
    <w:p>
      <w:pPr>
        <w:pStyle w:val="Heading1"/>
      </w:pPr>
      <w:r>
        <w:t xml:space="preserve">18. Comparables cotizados</w:t>
      </w:r>
    </w:p>
    <w:p>
      <w:pPr>
        <w:pStyle w:val="Confianza"/>
        <w:spacing w:after="100"/>
      </w:pPr>
      <w:r>
        <w:t xml:space="preserve">Confianza: Media</w:t>
      </w:r>
    </w:p>
    <w:p>
      <w:pPr>
        <w:spacing w:after="100"/>
      </w:pPr>
      <w:r>
        <w:t xml:space="preserve">Grandes editores de software de aplicaciones y plataformas empresariales con modelo de suscripción en la nube que compiten con SAP en ERP, finanzas, recursos humanos, CRM, flujos de trabajo y datos: Oracle (ERP y bases de datos), Microsoft (Dynamics y Azure), Salesforce, Workday, ServiceNow, Adobe, Intuit y Dassault Systèmes (software industrial europeo). Todas cotizan con un consenso amplio. Infor no cotiza; Sage y Nemetschek no se incluyen por tamaño.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3.522.739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12,6x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13,9x / 20,9x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23,3x / 27,8x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 / 4,6x / 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15,6 + 0,03 × crecimiento; R² = 0,00. El crecimiento explica poco los múltiplos de estos comparables (R² &lt; 0,3): la regresión no se usa en la valoración.</w:t>
      </w:r>
    </w:p>
    <w:p>
      <w:pPr>
        <w:spacing w:after="100"/>
      </w:pPr>
      <w:r>
        <w:t xml:space="preserve">SAP cotiza a 15,1 veces el EBITDA de los próximos 12 meses y 24,2 veces el beneficio, por encima de la mediana de los ocho grandes del software (11,8 y 21,8 veces) con un crecimiento parecido (10,6 % de mediana; el consenso da a SAP un +11,7 % en 2027) y menos margen (31,1 % frente al 34 %) [65, 66, 67, 68, 69, 70, 71, 72]. La prima se explica por la visibilidad (el 86 % de los ingresos es recurrente) y porque Adobe, Intuit y Salesforce cotizan castigados por el mismo miedo a la IA. La mediana daría 161,12 EUR, un 15,8 % por debajo del precio. La muestra es dispersa (de 8,3 veces Adobe a 33 veces ServiceNow): pesa un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390,19 USD por acción (197 USD en efectivo + 0,3450 acciones de Synopsys); valor empresa ≈ 35.000 M USD; prima del 29 % sobre el cierre del 21-dic-2023 y del 35 % sobre la media de 60 días [74]. Software de simulación, no de gestión.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valor de las acciones ≈ 28.000 M USD (≈ 26.328 M EUR); la nota no publica valor empresa ni prima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USD por acción en efectivo; valor de las acciones ≈ 8.000 M USD (≈ 7045 M EUR) neto de la participación previa de Salesforce; sin valor empresa ni prima publicados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Qualtrics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Silver Lake y CPP Investments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18,15 USD por acción; valora la compañía en ≈ 12.500 M USD (≈ 11.676 M EUR); prima del 62 % sobre el cierre no afectado del 25-ene-2023 y del 73 % sobre la media ponderada de 30 días. SAP vendió su participación mayoritaria [77].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USD por acción en efectivo; valor empresa 8.000 M USD; prima del 77 % sobre el cierre del 22-nov-2022 (antes de las noticias) y del 64 % sobre la media de 30 sesiones [78]. Software de gestión del gasto, competidor de SAP Ariba.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267,60 – 380,40</w:t>
            </w:r>
          </w:p>
        </w:tc>
      </w:tr>
    </w:tbl>
    <w:p>
      <w:pPr>
        <w:spacing w:after="160" w:before="0"/>
      </w:pPr>
    </w:p>
    <w:p>
      <w:pPr>
        <w:spacing w:after="100"/>
      </w:pPr>
      <w:r>
        <w:t xml:space="preserve">Cinco compras de software empresarial de 2022-2025 a 4,9-15,4 veces las ventas del último ejercicio (estimación propia con los ingresos de sus 10-K) y primas del 29-77 % [74, 75, 76, 77, 78, 95]. Splunk, Informatica y Qualtrics se miden con el valor de las acciones, porque las notas no dan el valor empresa. Darían 288,79 EUR por acción, pero llevan prima de control y SAP, con 221.940 M de capitalización, no es objeto realista de una opa.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+10,0 %: los nueve meses crecen un 9,6 % en euros y el 3T26 un 13 % (+12 % a divisa constante); el 21-oct SAP lleva la nube y «nube y software» a la parte alta de sus guías (25.800-26.200 M y 36.300-36.800 M) [14]. Parte del +26 % de la nube del 3T es una recuperación puntual de ingresos atrasados, sin cuantificar [14]. 2027e-2028e +11,5 %: SAP espera que el crecimiento acelere en 2027 y el consenso da +11,7 % y +12,0 % [4, 61]. Después baja hasta el 4 % de 2035e. La media del caso base (8,2 %) coincide con el 8,1 % anual de 2021-2025.</w:t>
      </w:r>
    </w:p>
    <w:p>
      <w:pPr>
        <w:keepNext/>
        <w:spacing w:after="100"/>
      </w:pPr>
      <w:r>
        <w:rPr>
          <w:b/>
          <w:bCs/>
        </w:rPr>
        <w:t xml:space="preserve">Márgenes.</w:t>
      </w:r>
    </w:p>
    <w:p>
      <w:pPr>
        <w:spacing w:after="100"/>
      </w:pPr>
      <w:r>
        <w:t xml:space="preserve">Margen EBITDA NIIF del 31,5 % en 2026e: la guía de beneficio operativo no NIIF (11.800-12.200 M a divisa constante, menos 2 puntos de divisa) y unos 450 M de ajustes dan un beneficio NIIF de unos 11.200 M [4]. Sube al 36 % en 2031e porque SAP prevé que los gastos operativos crezcan al 80-90 % de los ingresos en 2027 [4]. El consenso da un 31,7 % en 2026e y un 33,4 % en 2028e [61]. El 36 % queda por debajo del margen EBIT de Oracle y Microsoft (30,6 % y 46,8 %) [21, 22].</w:t>
      </w:r>
    </w:p>
    <w:p>
      <w:pPr>
        <w:keepNext/>
        <w:spacing w:after="100"/>
      </w:pPr>
      <w:r>
        <w:rPr>
          <w:b/>
          <w:bCs/>
        </w:rPr>
        <w:t xml:space="preserve">Inversión y circulante.</w:t>
      </w:r>
    </w:p>
    <w:p>
      <w:pPr>
        <w:spacing w:after="100"/>
      </w:pPr>
      <w:r>
        <w:t xml:space="preserve">Capex del 2,8 % de las ventas: las compras de inmovilizado e intangibles (2,0 % en 2025) más los pagos de arrendamientos (0,8 %), porque la deuda incluye los arrendamientos (NIIF 16) [1]. La nube corre en gran parte en hiperescaladores y su coste ya está en el EBITDA. Amortización del 3,3 % que converge al capex. Circulante del −4 % de las ventas, el de 2025, por los cobros anticipados de nube. Tipo impositivo del 28,5 % (28,7 % NIIF en 2025; guía no NIIF del 29 %) [1, 4].</w:t>
      </w:r>
    </w:p>
    <w:p>
      <w:pPr>
        <w:keepNext/>
        <w:spacing w:after="100"/>
      </w:pPr>
      <w:r>
        <w:rPr>
          <w:b/>
          <w:bCs/>
        </w:rPr>
        <w:t xml:space="preserve">Coste del capital.</w:t>
      </w:r>
    </w:p>
    <w:p>
      <w:pPr>
        <w:spacing w:after="100"/>
      </w:pPr>
      <w:r>
        <w:t xml:space="preserve">Tasa libre del 3,47 %, el Bund a 10 años del 21-oct-2026 [58]. Beta de 1,10, la mensual a 5 años frente al DAX ajustada (1,15 sin ajustar; la semanal a 5 años da 0,99) [57]. Prima de mercado del 5,5 %. Coste de la deuda del 3,5 % (los eurobonos de 2026) y un 4 % de deuda a valor de mercado. WACC del 9,24 %; con la prima implícita del mercado (4,20 %), el 7,87 % [59].</w:t>
      </w:r>
    </w:p>
    <w:p>
      <w:pPr>
        <w:keepNext/>
        <w:spacing w:after="100"/>
      </w:pPr>
      <w:r>
        <w:rPr>
          <w:b/>
          <w:bCs/>
        </w:rPr>
        <w:t xml:space="preserve">Valor terminal.</w:t>
      </w:r>
    </w:p>
    <w:p>
      <w:pPr>
        <w:spacing w:after="100"/>
      </w:pPr>
      <w:r>
        <w:t xml:space="preserve">Crecimiento a perpetuidad del 2,5 %: inflación del euro del 2 % y algo de crecimiento real, por debajo de la tasa libre menos medio punto (3,03 %). El múltiplo de salida implícito es de 10 veces el EBITDA, muy por debajo de las 18,2 de hoy y del mínimo de la década (15,1): el terminal es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439.842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(reinvierte el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 (histórico: 17,6 %)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frente al 8,3 %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el crecimiento proyectado (8,3 %) supera con holgura el histórico de ingresos (5,8 %)</w:t>
            </w:r>
          </w:p>
        </w:tc>
      </w:tr>
    </w:tbl>
    <w:p>
      <w:pPr>
        <w:spacing w:after="160" w:before="0"/>
      </w:pPr>
    </w:p>
    <w:p>
      <w:pPr>
        <w:spacing w:after="100"/>
      </w:pPr>
      <w:r>
        <w:t xml:space="preserve">La proyección apenas necesita inversión neta de la amortización (reinversión acumulada de -2.448 M, con un capex bruto medio del 2,8 % de las ventas). En un negocio de activos ligeros, el crecimiento medio del 8,3 %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nube +23-25 % a divisa constante, soporte −7 % y servicios −2 %; ingresos totales +10,6 % a divisa constante y −1,5 puntos de divisa a tipos de junio [4]. Reparto entre migraciones (volumen) y subida del ingreso por cliente al pasar del soporte a RISE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espera que el crecimiento de los ingresos acelere en 2027 por la nube y la Cloud ERP Suite; el consenso da +11,7 % [4, 61]. El fin del mantenimiento estándar de ECC en 2027 empuja las migraciones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current cloud backlog (22.929 M, +26 % a divisa constante) cubre la mayor parte de la nube de los próximos 12 meses; el consenso da +12,0 % en 2028 [4, 61].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migración de la base instalada de ECC se acerca a su fin (soporte ampliado hasta 2030); el soporte, que se convierte en nube, pesa cada vez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por encima del mercado de ERP (+7,1 % anual previsto) por la venta de IA y datos sobre la base de clientes [17].</w:t>
            </w:r>
          </w:p>
        </w:tc>
      </w:tr>
    </w:tbl>
    <w:p>
      <w:pPr>
        <w:spacing w:after="160" w:before="0"/>
      </w:pPr>
    </w:p>
    <w:p>
      <w:pPr>
        <w:spacing w:after="100"/>
      </w:pPr>
      <w:r>
        <w:t xml:space="preserve">Sí. El 8,3 % anual del caso base no necesita capital (capex del 2,8 % con arrendamientos y circulante negativo por los cobros anticipados de la nube). El motor lo ve «En parte» porque supera el 5,8 % anual de los ingresos históricos, pero esa serie arrastra la salida de Qualtrics y la caída del soporte: la nube crece un 25 % en nueve meses y el current cloud backlog (24.144 M, +26 % a divisa constante) ya cubre el próximo año [14]. El foso es de costes de cambio: un ERP tarda años en sustituirse y SAP ha subido el ingreso por cliente al pasar del soporte a RISE [1]. El riesgo no es de calidad sino de modelo: que la IA cobre por uso y no por usuario.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8,3 %)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9,2 %)</w:t>
            </w:r>
          </w:p>
        </w:tc>
      </w:tr>
    </w:tbl>
    <w:p>
      <w:pPr>
        <w:spacing w:after="160" w:before="0"/>
      </w:pPr>
    </w:p>
    <w:p>
      <w:pPr>
        <w:spacing w:after="100"/>
      </w:pPr>
      <w:r>
        <w:t xml:space="preserve">El DCF da 196,64 EUR por acción, un 5,8 % por debajo del precio de 208,65 EUR, con un 59 % del valor en el terminal. </w:t>
      </w:r>
      <w:r>
        <w:rPr>
          <w:b/>
        </w:rPr>
        <w:t xml:space="preserve">Tras subir un 56 % en tres meses, el precio pide algo más que nuestro caso base.</w:t>
      </w:r>
      <w:r>
        <w:t xml:space="preserve"> El DCF inverso dice que los 208,65 EUR suponen un crecimiento de los ingresos del 9,1 % anual de 2026e a 2035e, frente al 8,3 % de nuestro base; o, con nuestro crecimiento, un margen EBITDA del 38,1 % en vez del 36 %. Comprar a este precio rinde un 8,9 % anual si se cumple el caso base, algo menos que el WACC del 9,24 %. Con la prima de riesgo que hoy pide el mercado (4,20 %), el DCF sube a 248,17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desplazan el cobro por usuario y parte de la lógica de negocio hacia capas de datos y agentes de terceros: el backlog de nube frena al 10-12 % y las migraciones de ECC se alargan, como le pasó a Oracle en 2013-2017, con los ingresos casi planos durante la transición. Crecimiento medio del 4,2 %, margen EBITDA del 33 %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los ingresos aceleran al 11,5 % en 2027-2028 con la migración de ECC antes del fin del mantenimiento, para bajar después al 4 %: crecimiento medio del 8,2 % y margen EBITDA del 36 %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migración de ECC se concentra antes de 2030 y SAP cobra la IA sobre los datos de sus clientes (Business Data Cloud, Joule): crecimiento medio del 10,7 % y margen del 38 %, más cerca del de Oracle.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208,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190,28 EUR (-8,8 %).</w:t>
      </w:r>
    </w:p>
    <w:p>
      <w:pPr>
        <w:spacing w:after="100"/>
      </w:pPr>
      <w:r>
        <w:t xml:space="preserve">La asimetría es desfavorable con nuestro coste de capital: el alcista vale 252,06 EUR (+20,8 %) y el bajista 126,87 (−39,2 %). El bajista no es cosmético: la acción tocó 127,50 EUR en julio, casi el valor de este escenario, cuando el mercado descontó el miedo a la IA [57]. Con la prima de riesgo que hoy pide el mercado (4,20 %), el bajista sube a 155,41 EUR y el alcista a 320,55. El valor ponderado por probabilidad es de 190,28 EUR.</w:t>
      </w:r>
    </w:p>
    <w:p>
      <w:pPr>
        <w:pStyle w:val="Heading1"/>
      </w:pPr>
      <w:r>
        <w:t xml:space="preserve">22. Suma de partes</w:t>
      </w:r>
    </w:p>
    <w:p>
      <w:pPr>
        <w:pStyle w:val="Confianza"/>
        <w:spacing w:after="100"/>
      </w:pPr>
      <w:r>
        <w:t xml:space="preserve">Confianza: Media</w:t>
      </w:r>
    </w:p>
    <w:p>
      <w:pPr>
        <w:spacing w:after="100"/>
      </w:pPr>
      <w:r>
        <w:t xml:space="preserve">No aplica: SAP publica dos segmentos (ATS, el 89 % de los ingresos, y Core Services) solo para 2023-2025, sin comparables puros para los servicios, y los costes centrales no asignados son grandes; la suma de partes repetiría el DCF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208,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196,43 EUR (-5,9 % sobre 208,65).</w:t>
      </w:r>
    </w:p>
    <w:p>
      <w:pPr>
        <w:spacing w:after="100"/>
      </w:pPr>
      <w:r>
        <w:t xml:space="preserve">Pesos: DCF 55 %, escenarios 25 %, comparables 15 %, transacciones 5 % y suma de partes 0 %. El DCF manda porque el 86 % de los ingresos es recurrente y el backlog de nube (24.144 M, +26 % a divisa constante) da visibilidad a 12 meses [1, 14]. Los escenarios pesan un 25 % porque el riesgo de la IA es asimétrico. Los comparables (unos 172 EUR) pesan un 15 % por la dispersión de la muestra, y las transacciones (298,37 EUR) un 5 % porque llevan prima de control y sus múltiplos son estimaciones. El valor intrínseco es de 196,43 EUR, un 5,9 %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(25.5x) × 1.1 (tope: la mediana de 5 años, 31.3x,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+59,3 %</w:t>
            </w:r>
          </w:p>
        </w:tc>
      </w:tr>
    </w:tbl>
    <w:p>
      <w:pPr>
        <w:spacing w:after="160" w:before="0"/>
      </w:pPr>
    </w:p>
    <w:p>
      <w:pPr>
        <w:spacing w:after="100"/>
      </w:pPr>
      <w:r>
        <w:rPr>
          <w:b/>
          <w:bCs/>
        </w:rPr>
        <w:t xml:space="preserve">Objetivo a 12 meses (ponderado):</w:t>
      </w:r>
      <w:r>
        <w:t xml:space="preserve"> 256,54 EUR · rentabilidad +24,2 % (base +28,6 %) · señal Mantener.</w:t>
      </w:r>
    </w:p>
    <w:p>
      <w:pPr>
        <w:spacing w:after="100"/>
      </w:pPr>
      <w:r>
        <w:t xml:space="preserve">Para comparar, con la regla v2 (historia al cierre, mismo precio): 21,7x / 25,5x / 32,4x, 18,1 % Mantener; con el tope anterior del base (×1,3, 14-oct mediodía): 24,8 %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coincide con el consenso de antes de los resultados: 7,05 frente a 7,03 en 2026e, 8,17 frente a 8,07 en 2027e y 9,46 frente a 9,49 en 2028e [61]. La diferencia está en el múltiplo: nuestro precio base a 12 meses (265,83 EUR) queda un 23 % por encima del objetivo medio de los analistas (215,76 EUR), porque la regla sube el PER actual (25,5 veces) un 10 %, hacia la mediana adelantada de 31,3 veces, y los analistas no han subido sus objetivos tras el rebote del 56 % desde julio.</w:t>
      </w:r>
    </w:p>
    <w:p>
      <w:pPr>
        <w:keepNext/>
        <w:spacing w:after="100"/>
      </w:pPr>
      <w:r>
        <w:rPr>
          <w:b/>
          <w:bCs/>
        </w:rPr>
        <w:t xml:space="preserve">Del valor intrínseco al objetivo a 12 meses.</w:t>
      </w:r>
    </w:p>
    <w:p>
      <w:pPr>
        <w:spacing w:after="100"/>
      </w:pPr>
      <w:r>
        <w:t xml:space="preserve">Objetivo ponderado de 256,54 EUR (+24,2 % con dividendo; base +28,6 %). Con el PER al cierre (v2) la rentabilidad es del 18,1 % y con el BPA un 10 % más bajo del 11,9 %. Pero el valor intrínseco (196,43 EUR) queda un 5,9 % por debajo del precio: la regla da Mantener, no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sesión de Xetra tras 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ADR subía un 4 % fuera de hora; el backlog (+26 % a divisa constante) no frena [14, 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Confirmará o no la aceleración de los ingresos y los gastos al 80-90 % del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31-dic-2027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10.000 M (≈5.800 M pendientes a 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 un 2,4 % del capital al precio de hoy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mantenimiento estándar de SAP ECC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Fuerza la migración de la base instalada a S/4HANA y RISE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 NIIF 18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definición del beneficio operativo; puede mover los múltiplos publicados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Juicio de Celonis contra SAP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 sobre el acceso a los datos del ERP</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abaratan el software de aplicaciones o desplazan el cobro por usuario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124,96 EUR, −35 %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ERP es el sistema de registro de los procesos y los datos;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current cloud backlog por debajo del 20 % a divisa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 nube cuando termine la ola de migraciones de ECC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14,08 EUR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Soporte ampliado hasta 2030 y venta de IA y datos sobre la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la Cloud ERP Suite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39 % de los ingresos viene de 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guía de 2026 preveía 3 puntos menos de crecimiento de la nube por la divisa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la IA y de la nube presionan el margen bruto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EBITDA quita 5,66 EUR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Congelación de plantilla durante 12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nube por debajo del 73 %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gana cuota en ERP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es primero en ERP según Apps Run The World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SAP en las grandes empresas europeas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grandes contratos de migración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compromisos con la Comisión Europea sobre el soporte del ERP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SAP no espera impacto material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multa; diez años de compromisos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soporte más rápida que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IA y datos que diluyen 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Dremio y Prior Labs restan más de 100 M al beneficio de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frente a la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compra de más de 5.000 M</w:t>
            </w:r>
          </w:p>
        </w:tc>
      </w:tr>
    </w:tbl>
    <w:p>
      <w:pPr>
        <w:spacing w:after="160" w:before="0"/>
      </w:pPr>
    </w:p>
    <w:p>
      <w:pPr>
        <w:pStyle w:val="Heading2"/>
      </w:pPr>
      <w:r>
        <w:t xml:space="preserve">Pre-mortem</w:t>
      </w:r>
    </w:p>
    <w:p>
      <w:pPr>
        <w:spacing w:after="100"/>
      </w:pPr>
      <w:r>
        <w:t xml:space="preserve">Octubre de 2029: la acción ha caído un 40 %, a unos 115 EUR. La historia más probable empieza en 2027: los grandes clientes terminan las migraciones a S/4HANA, pero los nuevos contratos de nube se firman con menos usuarios porque los agentes de IA hacen el trabajo de los empleados que antes pagaban licencia. El backlog de nube frena del 25 % al 12 % en dos años y SAP no consigue cobrar los agentes por uso al mismo ritmo. Los costes de cómputo de la IA bajan el margen bruto de la nube y la expansión del margen operativo se queda en un punto. El mercado deja de ver a SAP como un compuesto de crecimiento y lo valora como a Oracle en 2015, a 10-11 veces el EBITDA. El indicador que lo habría anticipado: el crecimiento del current cloud backlog a divisa constante por debajo del 20 % y la caída del margen bruto de la nube, que ya bajó 0,5 puntos en el 2T26, al 74,3 % [4].</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11,09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2023-04</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 (74/100)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2022-12</w:t>
            </w:r>
          </w:p>
        </w:tc>
      </w:tr>
    </w:tbl>
    <w:p>
      <w:pPr>
        <w:spacing w:after="160" w:before="0"/>
      </w:pPr>
    </w:p>
    <w:p>
      <w:pPr>
        <w:pStyle w:val="Heading2"/>
      </w:pPr>
      <w:r>
        <w:t xml:space="preserve">Asuntos materiales</w:t>
      </w:r>
    </w:p>
    <w:p>
      <w:pPr>
        <w:spacing w:after="100"/>
      </w:pPr>
      <w:r>
        <w:t xml:space="preserve">Para un proveedor de software, lo material son tres asuntos. Primero, la seguridad y la protección de datos: SAP aloja procesos críticos de clientes en la nube y una brecha afectaría a la renovación; mide el porcentaje de empleados que pican en campañas simuladas de suplantación, hace al menos tres al año, y mantiene certificados y auditorías SOC anuales [1]. Segundo, el capital humano: 113.076 empleados a tiempo completo equivalentes en septiembre de 2026 [14], el I+D supone el 18,0 % de los ingresos, la reestructuración de 2024 afectó a unos 10.000 puestos y la encuesta interna tuvo una participación del 72-74 % [1]. Tercero, las emisiones de la nube: 6,9 millones de toneladas de CO₂ equivalente brutas en 2023 y objetivo de bajar al menos un 90 % (menos de 0,7 millones) en 2030 en todos los alcances; ha firmado contratos de compra de electricidad renovable con entrega desde 2026 [1]. Con la medición vigente, las emisiones de la cadena de valor relevante fueron de 3,6 Mt en 2025 y SAP prevé reducirlas de forma continuada en 2026 [14]. La gobernanza de la IA (Ley de IA de la UE, aplicable desde el 2 de agosto de 2026; los usos de alto riesgo en ámbitos sensibles, hasta el 2 de diciembre de 2027) afecta a funciones como la selección de personal [35].</w:t>
      </w:r>
    </w:p>
    <w:p>
      <w:pPr>
        <w:pStyle w:val="Heading2"/>
      </w:pPr>
      <w:r>
        <w:t xml:space="preserve">Controversias</w:t>
      </w:r>
    </w:p>
    <w:p>
      <w:pPr>
        <w:spacing w:after="100"/>
      </w:pPr>
      <w:r>
        <w:t xml:space="preserve">El 10 de enero de 2024 SAP cerró con la SEC y el DOJ las investigaciones por sobornos a funcionarios en Sudáfrica, Malaui, Kenia, Tanzania, Ghana, Indonesia y Azerbaiyán (2014-2022): más de 98 M USD a la SEC, multa penal de 118,8 M USD y decomiso de unos 103 M USD al DOJ, en parte compensables [32]. En febrero de 2026 pactó con Teradata (secretos industriales y prácticas anticompetitivas en torno a HANA) y pagó 480 M USD [5]. La Comisión Europea abrió en septiembre de 2025 un expediente por el mantenimiento del ERP instalado y lo cerró sin multa el 9 de julio de 2026 con compromisos vinculantes durante diez años [1, 29]. Sigue abierto el pleito antimonopolio de Celonis en EE. UU. (juicio previsto el 13 de septiembre de 2027) y su queja ante el Bundeskartellamt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nuevos contratos de nube se cobra por uso y no por usuario, y qué pasa con el ingreso por cliente cuando los agentes sustituyen empleados?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el precio teme y que el bajista recoge.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Backlog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current cloud backlog viene de migraciones de ECC y cuánto de clientes nuevos?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sobrevive al fin de la ola de migraciones.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de nube espera cuando los costes de los modelos de IA crezcan con el uso?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nube bajó 0,5 puntos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Reltio, Dremio y Prior Labs, y hay más compras de datos e IA en camino?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Restan más de 100 M al beneficio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Europea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soporte quedan expuestos a terceros por los compromisos de julio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soporte aún es el 25 % de los ingresos del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¿Acelerará la recompra (7.400 M pendientes) si la acción vuelve a la zona de 130-160 EUR?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esos precios la rentabilidad para el accionista sube mucho.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(red social de inversores alemana), foro de la acción SAP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julio a octubre dominan las compras en la zona baja del verano y la tesis de que los «perdedores de la IA» pueden recuperarse; en la semana de resultados, un inversor que casi recupera una caída del 30 % duda entre salir o esperar más subida, y la previa del 3T26 es esperanzada pero con alguna voz que teme que las cifras no basten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hilo de análisis de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plantea si el 2T26 marca un giro (BPA mejor que el consenso, backlog de nube, recompras) aunque el beneficio operativo quedó por debajo de lo esperado; los comentarios mantienen o compran con horizonte largo y discuten la «SaaS-Apokalypse» [85].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boersennews.de, foro SAP (Hauptdiskussion), noche del 21-oct tras los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Reacción en directo a la cotización fuera de hora tras el comunicado: euforia inicial, alarma cuando la subida se recorta a la mitad y burlas entre alcistas y quienes están cortos; nadie comenta las cifras del trimestre, solo niveles de precio [87].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$SAP (ADR)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18-sep al 21-oct, sobre todo mensajes de trading (rupturas, volumen anómalo, cortos intradía) y algún alcista sin argumentos; un mensaje de septiembre se declara preocupado por la evolución del precio pese a los motores de largo plazo, otro teme que las herramientas de IA hundan al software, y tras los resultados el primer juicio es «bastante positivo» con el matiz de que la aceleración de la nube se apoyó en parte en un efecto puntual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autores independientes (titulares del flujo de SAP)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análisis de agosto a octubre que se reparten: dos rebajas tras el rebote («SAP Got The Recovery I Expected», septiembre) o por valoración («27x For An AI Turnaround That Hasn't Happened Yet», 13-oct) frente a una subida de recomendación (3-oct) y tesis de que el rebote tiene recorrido; solo se leyeron los titulares, porque los artículos dan 403 [93].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de.investing.com, comentarios de la acción SAP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sin fecha visible que aluden a septiembre: recogida de beneficios y recompra más abajo, objetivos de 195-220 EUR frente a algún bajista declarado, la subida de tipos como freno y la duda de si SAP ha dejado de recomprar acciones [86].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riesgo de erosión del software de aplicaciones («SaaS-Apokalypse»)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alemanes ven la IA como oportunidad para SAP [84, 85], mientras que en Seeking Alpha y Stocktwits pesa la idea de un giro por IA «que aún no ha llegado» y el miedo a que las herramientas de IA sustituyan al software [92, 93]; las rebajas de UBS y Santander citaban el ritmo lento de los agentes [89, 90]. El 3T26 no zanja el debate: la dirección habla de adopción de la estrategia «Autonomous Enterprise» y de Joule Work, pero el comunicado no da una cifra de ingresos de IA [94].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Backlog de nube: ¿se frena?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temor de UBS a que el current cloud backlog bajara a un 24 % [89] no se cumplió en el 3T26: 24.144 M EUR, +28 % (+26 % a tipo constante), y la nube creció un 26 % [94]. SAP mantiene que el crecimiento del backlog a tipo constante se frenará algo en 2026 frente al 25 % de 2025 [94]. Los foros celebran el dato sin entrar en esa guía.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batido del 3T26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los foros alemanes no recogen y sí apunta Stocktwits [92]: SAP reconoce que la nube se benefició de efectos propios del trimestre, sobre todo ingresos de varios trimestres recuperados de clientes que salieron de dificultades financieras, y que el beneficio operativo compara con un 3T25 lastrado por unos 100 M EUR de litigio fiscal y otros 100 M EUR de reestructuración [94]. El crecimiento subyacente es menor que el titular.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desde mínimos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que compraron en julio celebran el rebote y apuntan a 220-240 EUR [84, 87], mientras que parte de los analistas y autores rebajó por precio tras la recuperación [89, 90, 93]: el sentimiento minorista va por delante de la última tanda de rebajas. La valoración se juzga en el informe con el precio de cierre del 21-oct, no con la cotización fuera de hora que comentan los foros.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de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duda de los foros de que el programa se hubiera frenado [86] no se sostiene: del programa de hasta 10.000 M EUR que vence en diciembre de 2027, SAP llevaba recompradas 25,2 M de acciones por unos 4.200 M EUR (precio medio 164,79 EUR) a 30-sep [94].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 de corto plazo y tipos de interés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Buena parte de los mensajes alemanes y de Stocktwits son de trading (cortos, rupturas, niveles) y no de fundamentales [86, 87, 92]; no aporta información sobre el negocio, pero muestra posiciones cortas minoristas que pueden amplificar el movimiento del 22-oct.</w:t>
            </w:r>
          </w:p>
        </w:tc>
      </w:tr>
    </w:tbl>
    <w:p>
      <w:pPr>
        <w:spacing w:after="160" w:before="0"/>
      </w:pPr>
    </w:p>
    <w:p>
      <w:pPr>
        <w:spacing w:after="100"/>
      </w:pPr>
      <w:r>
        <w:t xml:space="preserve">El inversor particular alemán está más animado que los analistas: compró en los mínimos de julio y habla de objetivos por encima de 200 EUR, mientras UBS y Santander bajaban la recomendación en septiembre porque el precio ya recogía la recuperación y los agentes de IA se monetizan despacio [84, 85, 89, 90]. El debate de fondo es el mismo que el del informe: si la IA convierte el ERP en una pieza más barata. Los foros no recogen el riesgo de que el backlog de nube frene, que es lo que hundió la acción en enero. No hay euforia ni capitulación: el sentimiento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95 (54 primarias); citas distintas en el texto: 89.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«En parte» (el crecimiento proyectado (8,3 %) supera con holgura el histórico de ingresos (5,8 %)): razónalo en la justificación. Explicación: El histórico (5,8 % anual) arrastra la salida de Qualtrics y la caída del soporte; la nube crece un 25 % en nueve meses y el backlog (+26 % a divisa constante) cubre el año próximo, así que el 8,3 % del base se sostiene sin capital. Razonado en la justificación de la sostenibilidad.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-4,0 % frente a -4,1 % real: genera una variación de circulante de -104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Oracle (crecimiento del 38,8 % por los contratos de infraestructura para IA) y ServiceNow (33 veces) en la muestra, el crecimiento no explica los múltiplos;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95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44, 47, 48, 60, 63, 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de SAP (no publican consenso) y página de consenso de la web de inversores de SAP (403); 2) búsquedas de prensa del 3T26 con estimaciones (LSEG, Reuters): solo un consenso en USD de Yahoo Finance sin fuente y un avance de Börse Express que era del 3T25; 3) Smartkarma (bloqueo antibot), GuruFocus y roic.ai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analistas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Quarterly Statement Q1 2026; 2) transcripción en GuruFocus (403); 3) roic.ai (403) y búsqueda en AllMind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20-F 2025 (no la publica); 2) informe semestral 2026 (no da los vencimientos de los tramos nuevos); 3) cálculo con los vencimientos de dic-25, no aplicable tras la emisión de may-26 sin el detalle de tramos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analistas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Quarterly Statement Q3 2026 (sin preguntas; la conferencia fue a las 23:00 del 21-oct); 2) búsqueda de transcripciones del 3T26 (solo aparecen las del 2T26 y del 3T25); 3) GuruFocus y Seeking Alpha (sin la del 3T26 a la fecha de corte)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(número de clientes, concentración, tasa de renovación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(Our Customers, Performance Management System, Item 5): no publica número de clientes ni renovación; 2) nota de resultados del 2T26 y su texto «About SAP»: sin cifra; 3) web corporativa sap.com/about/company (403) y página de historia (solo usuarios de nube: 269 millones)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S&amp;P Global CSA y CDP recientes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no las recoge; 2) web de inversores de SAP (páginas de sostenibilidad, 404) y News Center (listado sin calificaciones); 3) búsqueda web y página de Sustainalytics (carga dinámica,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Infor y de Microsoft Dynamics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 no cotiza (propiedad de Koch) y Microsoft no da beneficio por línea de producto en su 10-K de 2026; 2) ARTW solo publica ingresos de ERP; 3) se usa para Microsoft el margen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(participación actual de la Hasso Plattner Foundation)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Item 7 (solo lista Hopp y BlackRock por encima del 5 %); 2) avisos de derechos de voto en EQS/Der Aktionär (último localizado de la fundación: junio de 2022, 6,60 %); 3) web de inversores de SAP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WebFetch del registro del Bundesanzeiger filtrando por ISIN: el filtro no se aplica (496 posiciones en 25 páginas; SAP no aparece en la primera); 2) descargar.mjs del enlace de exportación CSV: devuelve HTML sin datos; 3) WebFetch con búsqueda de texto «SAP SE»: tampoco aparece en la primera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free_float_pct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Major Shareholders: solo Hopp 5,1 % y BlackRock 6,3 %; 2) MarketScreener valuation: no lo da; 3) web de SAP (recompras y accionariado):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solo ROE/ROA; 2) MarketScreener valuation: no lo da; 3) sin otra fuente gratuita homogénea para las ocho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Calendario financiero de sap.com/investors: 403 con WebFetch y curl; 2) Quarterly Statement Q3 2026: no da la fecha del 4T26; 3) búsqueda de prensa y notas previas: solo «finales de enero de 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tras 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a 21-oct: todavía las de antes de los resultados; 2) Investing: sin cambios; 3) prensa del 21-oct: sin notas de analistas publicadas al cierre de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consenso del 21-oct anterior a los resultados)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artículos completos de Seeking Alpha y foros de finanzen.net, ariva, onvista y 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(búsqueda JSON en r/SAP y r/wallstreetbetsGER): 403; artículos de Seeking Alpha del 3-oct y del 13-oct con WebFetch: 403 (solo titulares por RSS); 2) foros alemanes: finanzen.net, onvista y boerse.de dan 404 en las rutas de foro, ariva exige sesión y wallstreet-online da 404; 3) búsqueda web de debates en foros sobre el 3T26: solo artículos de prensa y foros de boersennews antiguos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Form 20-F / 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datos XBRL (companyfacts, ifrs-full) de los 20-F 2015-2025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https://data.sec.gov/api/xbrl/companyfacts/CIK0001000184.json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https://www.sec.gov/Archives/edgar/data/1000184/000110465922029675/sap-20211231x20f.htm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Q2 2026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https://www.sec.gov/Archives/edgar/data/1000184/000110465926087251/tm2621275d1_ex99-1.htm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Half-Year Report 2026 (6-K,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https://www.sec.gov/Archives/edgar/data/1000184/000110465926087251/tm2621275d1_ex99-2.htm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Q1 2026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https://www.sec.gov/Archives/edgar/data/1000184/000110465926049650/tm2612672d1_ex99-1.htm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Q4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https://www.sec.gov/Archives/edgar/data/1000184/000110465926009465/tm264433d1_ex99-1.htm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https://www.sec.gov/Archives/edgar/data/1000184/000110465925102307/tm2529346d1_ex99-1.htm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Q2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https://www.sec.gov/Archives/edgar/data/1000184/000110465925070485/tm2521516d1_ex99-1.htm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Q1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https://www.sec.gov/Archives/edgar/data/1000184/000110465925038859/tm2512979d1_ex99-1.htm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Q4 2024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https://www.sec.gov/Archives/edgar/data/1000184/000110465925006886/tm254685d1_ex99-1.htm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2024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https://www.sec.gov/Archives/edgar/data/1000184/000110465924110719/tm2426630d1_ex99-1.htm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SAP SE Earnings Call (transcripción,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https://allmind.ai/earnings/event/2927320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https://www.sap.com/docs/download/investors/2026/sap-2026-q3-statement.pdf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Announces Q3 2026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News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https://news.sap.com/2026/10/sap-announces-q3-2026-results/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ADR (NYSE: SAP), cotización intradía con negociación fuera de horario,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https://query1.finance.yahoo.com/v8/finance/chart/SAP?interval=5m&amp;range=2d&amp;includePrePost=true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ERP Software Vendors, Market Size and Forecast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https://www.appsruntheworld.com/top-10-erp-software-vendors-and-market-forecast/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Surpasses SAP to Become No. 1 ERP Apps Provider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https://www.appsruntheworld.com/oracle-surpasses-sap-to-become-no-1-erp-apps-provider/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Resource Planning Software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https://www.statista.com/outlook/tmo/software/enterprise-software/enterprise-resource-planning-software/worldwide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Forecasts Worldwide IT Spending to Grow 10.8% in 2026, Totaling $6.15 Trillion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https://www.gartner.com/en/newsroom/press-releases/2026-02-03-gartner-forecasts-worldwide-it-spending-to-grow-10-point-8-percent-in-2026-totaling-6-point-15-trillion-dollars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ejercicio terminado el 31-5-2026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ejercicio terminado el 30-6-2026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terminado el 31-1-2026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ejercicio terminado el 31-1-2026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Q4 and FY 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Results for the year ended 30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https://data.fca.org.uk/artefacts/NSM/RNS/3331551a-5060-4fad-88d1-730e3d45176b.html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S/4HANA: Maintenance until 2040, clarity and choice for SAP Business Suite 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News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https://news.sap.com/2020/02/sap-s4hana-maintenance-2040-clarity-choice-sap-business-suite-7/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&amp; Regulatory Newsletter: European Commission accepts commitments from SAP to address concerns relating to aftermarket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Slaughter and May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https://www.slaughterandmay.com/insights/new-insights/competition-and-regulatory-newsletter-european-commission-accepts-commitments-from-sap-to-address-concerns-relating-to-aftermarket-practices/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historical series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https://www.sap.com/about/company/history.html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Global Software Company SAP for FCPA Violations (press release 2024-4)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https://www.sec.gov/news/press-release/2024-4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Acknowledging SAP's ESG Efforts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News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https://news.sap.com/2023/06/acknowledging-sap-esg-efforts/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(SAPG:xetr),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https://www.home.saxo/en-ch/markets/stocks/sapg-xetr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Act: regulatory framework on artificial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https://digital-strategy.ec.europa.eu/en/policies/regulatory-framework-ai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Annual Report on 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https://www.sec.gov/Archives/edgar/data/1000184/000110465924029038/sap-20231231x20f.htm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buys TechWolf in record Belgian VC-backed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Tech.eu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https://tech.eu/2026/10/06/sap-buys-techwolf-in-record-belgian-vc-backed-deal/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on 05/05/2026: Voting results (Form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https://www.sec.gov/Archives/edgar/data/1000184/000110465926057442/tm2613731d1_ex99-1.htm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on Resolutions: juntas de 2025,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https://www.sap.com/investors/en/financial-documents-and-events/events/agm/previous-events/voting-on-resolutions.html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https://www.sec.gov/Archives/edgar/data/1000184/000110465925017815/sap-20241224x20f.htm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https://www.sec.gov/Archives/edgar/data/1000184/000110465923027626/sap-20221231x20f.htm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https://www.sec.gov/Archives/edgar/data/1000184/000110465921031847/sap-20201231x20f.htm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Financial Analyst Conference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https://www.sap.com/docs/download/investors/2026/sapphire-2026-financial-analyst-presentation.pdf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Gerhard Oswald, Verkauf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https://www.deraktionaer.de/nachricht/eqs-dd-sap-se-deutsch-483721.html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https://www.deraktionaer.de/nachricht/eqs-dd-sap-se-deutsch-498855.html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Dominik Asam,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https://www.deraktionaer.de/nachricht/eqs-dd-sap-se-deutsch-499204.html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Veräußerung zur Begleichung von Steuern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https://www.deraktionaer.de/nachricht/eqs-dd-sap-se-deutsch-509449.html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Veräußerung zur Begleichung von Steuern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https://www.deraktionaer.de/nachricht/eqs-dd-sap-se-deutsch-531218.html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Christian Kurt Klein,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https://www.deraktionaer.de/nachricht/eqs-dd-sap-se-deutsch-540301.html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Dominik Asam, Kauf (Derivat)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https://www.deraktionaer.de/nachricht/eqs-dd-sap-se-deutsch-540628.html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Gina Vargiu-Breuer,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https://www.deraktionaer.de/nachricht/eqs-dd-sap-se-deutsch-545235.html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Thomas Heinrich Saueressig,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https://www.deraktionaer.de/nachricht/eqs-dd-sap-se-deutsch-547332.html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Hasso Plattner Foundation (6,60 %)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https://www.deraktionaer.de/nachricht/dgap-stimmrechte-sap-se-deutsch-209259.html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(umbral 16-02-2026)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https://www.deraktionaer.de/nachricht/eqs-stimmrechte-sap-se-deutsch-503621.html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(umbral 29-05-2026, 6,75 %)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https://www.deraktionaer.de/nachricht/eqs-stimmrechte-sap-se-deutsch-529168.html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Insidertrades (Directors' Dealings)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https://www.finanzen.net/insidertrades/sap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SAP.DE, ^GDAXI, EXS1.DE, EXV3.DE, ^STOXX (hasta 2026-10-09)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https://finance.yahoo.com/quote/SAP.DE/history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cotizada (Svensson), vencimiento residual 10 años,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financial calendar (Q3 2026 results 2026-10-21)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https://www.sap.com/investors/en/calendar.html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EUR/USD (EXR.D.USD.EUR.SP00.A),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en acciones (us-gaap ShareBasedCompensation, 10-K) de MSFT, ORCL, CRM, NOW, ADBE, INTU y WDAY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(companyconcept)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https://data.sec.gov/api/xbrl/companyconcept/CIK0001341439/us-gaap/ShareBasedCompensation.json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to Acquire Splunk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https://investor.cisco.com/news/news-details/2023/Cisco-to-Acquire-Splunk-to-Help-Make-Organizations-More-Secure-and-Resilient-in-an-AI-Powered-World/default.aspx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Signs Definitive Agreement to Acquire Informatica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https://investor.salesforce.com/news/news-details/2025/Salesforce-Signs-Definitive-Agreement-to-Acquire-Informatica/default.aspx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to be Acquired by Silver Lake and CPP Investments for $12.5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Silver Lake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https://www.silverlake.com/qualtrics-to-be-acquired-by-silver-lake-and-cpp-investments-for-12-5-billion/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8-K, exhibit 99.1: acuerdo con Thoma Bravo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https://www.sec.gov/Archives/edgar/data/1385867/000119312522302253/d400208dex991.htm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https://www.investing.com/equities/sap-ag-consensus-estimates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(Leerverkaufsregister)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https://www.bundesanzeiger.de/pub/en/nlp?0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9 y del 21-oct-2026 de MSFT, ORCL, CRM, NOW, ADBE, INTU, WDAY y DSY.PA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https://finance.yahoo.com/quote/MSFT/history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Stock Soars Nearly 7% as Share Buyback Launch and Record Cloud Backlog Fuel Post-Earnings Rally Monday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Business Times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https://ibtimes.com.au/sap-shares-surge-earnings-buyback-1873066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ServiceNow-Einbruch reißt Kurs auf 140,70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https://www.boerse-express.com/news/articles/sap-servicenow-einbruch-reisst-kurs-auf-14070-euro-896609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foro de la acción (publicaciones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https://app.getquin.com/de/aktie/DE0007164600/sap/forum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sobre los resultados del 2T26 de SAP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https://app.getquin.com/de/post/yWNXSwpHYJ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comentarios de usuarios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Deutschland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https://de.investing.com/equities/sap-ag-commentary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Hauptdiskussion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boersennews.de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https://www.boersennews.de/community/diskussion/sap/118/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y opiniones de SAP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https://www.rankia.com/acciones/sap-ag-sap/foro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UBS stuft auf Neutral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https://www.boerse-express.com/news/articles/sap-aktie-ubs-stuft-auf-neutral-ab-945414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Santander stuft auf Market Perform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https://www.boerse-express.com/news/articles/sap-aktie-santander-stuft-auf-market-perform-ab-945295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Überkauft nach Kraftakt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https://www.boerse-express.com/news/articles/sap-aktie-ueberkauft-nach-kraftakt-936933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mensajes $SAP (API pública de Stocktwits), 18-sep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https://api.stocktwits.com/api/2/streams/symbol/SAP.json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y noticias de SAP SE (flujo RSS: titulares de agosto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https://seekingalpha.com/api/sa/combined/SAP.xml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2026 (comunicado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(vía PR Newswire en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https://finance.yahoo.com/technology/articles/sap-quarterly-statement-q3-2026-200500270.html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anuales de Ansys, Splunk, Informatica, Qualtrics y Coupa (XBRL de sus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https://data.sec.gov/api/xbrl/companyconcept/CIK0001013462/us-gaap/Revenues.json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riesgos</w:t>
      </w:r>
      <w:r>
        <w:t xml:space="preserve"> · Generado el 21 oct 2026.</w:t>
      </w:r>
    </w:p>
    <w:p>
      <w:pPr>
        <w:pStyle w:val="Nota"/>
        <w:spacing w:after="100"/>
      </w:pPr>
      <w:r>
        <w:t xml:space="preserve">Se valora la acción ordinaria de Xetra (SAP), en euros; precio de cierre del 21-oct-2026 (208,65 EUR), anterior a los resultados del 3T26, publicados ese día tras el cierre; el ADR subía un 4 % fuera de hora (≈215,6 EUR) [14, 57]. El ADR de la NYSE no se usa. Acciones: 1.152,3 M, las de 30-jun menos las 8,93 M recompradas en el 3T26 más ≈7 M de dilución de los planes de acciones [14]. Puente a 30-sep: caja 9.364 M (solo efectivo; los depósitos a corto no se publican en el trimestral) y deuda estimada de 8.630 M; arrendamientos, minoritarios, pensiones y participadas de fechas anteriores [14]. Cuentas en NIIF: desde 2021 las cifras son de actividades continuadas (Qualtrics, vendida en 2023, va como actividad interrumpida), y 2017-2020 la incluyen (consolidada desde enero de 2019), así que el crecimiento de 2017-2020 no es comparable [1, 3]. La amortización de 2021-2023 sale del estado de flujos y aún incluye la de Qualtrics. Segmentos: SAP solo publica los dos actuales (ATS y Core Services) para 2023-2025. El EBITDA es NIIF, con los pagos en acciones como gasto (4,6 % de las ventas en 2025); el no NIIF de SAP también los incluye desde 2024, así que el consenso de MarketScreener se toma como NIIF [1, 61]. El circulante incluye los pasivos de contrato (cobros anticipados de nube y soporte). Las inversiones de capital riesgo (Sapphire Ventures, 6.574 M a valor razonable a dic-25) se suman en el puente como asociadas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SAP SE (SAP)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208,65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(127,50 – 244,30)</c:v>
                </c:pt>
                <c:pt idx="1">
                  <c:v>Precio objetivo de los analistas (160,00 – 290,00)</c:v>
                </c:pt>
                <c:pt idx="2">
                  <c:v>Comparables: EV/EBITDA NTM (133,56 – 219,77)</c:v>
                </c:pt>
                <c:pt idx="3">
                  <c:v>Comparables: PER NTM (133,73 – 218,50)</c:v>
                </c:pt>
                <c:pt idx="4">
                  <c:v>Transacciones precedentes (EV/ventas) (267,60 – 380,40)</c:v>
                </c:pt>
                <c:pt idx="5">
                  <c:v>DCF (WACC y g ± 0,5) (175,75 – 224,62)</c:v>
                </c:pt>
                <c:pt idx="6">
                  <c:v>Escenarios (bajista – alcista) (126,87 – 252,06)</c:v>
                </c:pt>
                <c:pt idx="7">
                  <c:v>DCF con la prima implícita del mercado (4,2 %)</c:v>
                </c:pt>
                <c:pt idx="8">
                  <c:v>Precio actual (208,65)</c:v>
                </c:pt>
              </c:strCache>
            </c:strRef>
          </c:cat>
          <c:val>
            <c:numRef>
              <c:f>Hoja1!$B$2:$B$10</c:f>
              <c:numCache>
                <c:formatCode>#,##0</c:formatCode>
                <c:ptCount val="9"/>
                <c:pt idx="0">
                  <c:v>127.5</c:v>
                </c:pt>
                <c:pt idx="1">
                  <c:v>160</c:v>
                </c:pt>
                <c:pt idx="2">
                  <c:v>133.56</c:v>
                </c:pt>
                <c:pt idx="3">
                  <c:v>133.73</c:v>
                </c:pt>
                <c:pt idx="4">
                  <c:v>267.6</c:v>
                </c:pt>
                <c:pt idx="5">
                  <c:v>175.75</c:v>
                </c:pt>
                <c:pt idx="6">
                  <c:v>126.87</c:v>
                </c:pt>
                <c:pt idx="7">
                  <c:v>226.58</c:v>
                </c:pt>
                <c:pt idx="8">
                  <c:v>207.61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(127,50 – 244,30)</c:v>
                </c:pt>
                <c:pt idx="1">
                  <c:v>Precio objetivo de los analistas (160,00 – 290,00)</c:v>
                </c:pt>
                <c:pt idx="2">
                  <c:v>Comparables: EV/EBITDA NTM (133,56 – 219,77)</c:v>
                </c:pt>
                <c:pt idx="3">
                  <c:v>Comparables: PER NTM (133,73 – 218,50)</c:v>
                </c:pt>
                <c:pt idx="4">
                  <c:v>Transacciones precedentes (EV/ventas) (267,60 – 380,40)</c:v>
                </c:pt>
                <c:pt idx="5">
                  <c:v>DCF (WACC y g ± 0,5) (175,75 – 224,62)</c:v>
                </c:pt>
                <c:pt idx="6">
                  <c:v>Escenarios (bajista – alcista) (126,87 – 252,06)</c:v>
                </c:pt>
                <c:pt idx="7">
                  <c:v>DCF con la prima implícita del mercado (4,2 %)</c:v>
                </c:pt>
                <c:pt idx="8">
                  <c:v>Precio actual (208,65)</c:v>
                </c:pt>
              </c:strCache>
            </c:strRef>
          </c:cat>
          <c:val>
            <c:numRef>
              <c:f>Hoja1!$C$2:$C$10</c:f>
              <c:numCache>
                <c:formatCode>#,##0</c:formatCode>
                <c:ptCount val="9"/>
                <c:pt idx="0">
                  <c:v>116.80000000000001</c:v>
                </c:pt>
                <c:pt idx="1">
                  <c:v>130</c:v>
                </c:pt>
                <c:pt idx="2">
                  <c:v>86.21000000000001</c:v>
                </c:pt>
                <c:pt idx="3">
                  <c:v>84.77000000000001</c:v>
                </c:pt>
                <c:pt idx="4">
                  <c:v>112.79999999999995</c:v>
                </c:pt>
                <c:pt idx="5">
                  <c:v>48.870000000000005</c:v>
                </c:pt>
                <c:pt idx="6">
                  <c:v>125.19</c:v>
                </c:pt>
                <c:pt idx="7">
                  <c:v>47.66999999999999</c:v>
                </c:pt>
                <c:pt idx="8">
                  <c:v>2.079999999999984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Applications, Technology &amp; Support (ATS)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27359</c:v>
                </c:pt>
                <c:pt idx="1">
                  <c:v>30248</c:v>
                </c:pt>
                <c:pt idx="2">
                  <c:v>32847</c:v>
                </c:pt>
              </c:numCache>
            </c:numRef>
          </c:val>
        </c:ser>
        <c:ser>
          <c:idx val="1"/>
          <c:order val="1"/>
          <c:tx>
            <c:strRef>
              <c:f>Hoja1!$C$1</c:f>
              <c:strCache>
                <c:ptCount val="1"/>
                <c:pt idx="0">
                  <c:v>Core Services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3848</c:v>
                </c:pt>
                <c:pt idx="1">
                  <c:v>3927</c:v>
                </c:pt>
                <c:pt idx="2">
                  <c:v>3953</c:v>
                </c:pt>
              </c:numCache>
            </c:numRef>
          </c:val>
        </c:ser>
        <c:ser>
          <c:idx val="2"/>
          <c:order val="2"/>
          <c:tx>
            <c:strRef>
              <c:f>Hoja1!$D$1</c:f>
              <c:strCache>
                <c:ptCount val="1"/>
                <c:pt idx="0">
                  <c:v>No asignado (corporativo, pagos en acciones, reestructuración, amortización de adquisiciones)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Applications, Technology &amp; Support (ATS)</c:v>
                </c:pt>
                <c:pt idx="1">
                  <c:v>Core Services</c:v>
                </c:pt>
                <c:pt idx="2">
                  <c:v>No asignado (corporativo, pagos en acciones, reestructuración, amortización de adquisiciones)</c:v>
                </c:pt>
              </c:strCache>
            </c:strRef>
          </c:cat>
          <c:val>
            <c:numRef>
              <c:f>Hoja1!$B$2:$B$4</c:f>
              <c:numCache>
                <c:formatCode>General</c:formatCode>
                <c:ptCount val="3"/>
                <c:pt idx="0">
                  <c:v>89.3</c:v>
                </c:pt>
                <c:pt idx="1">
                  <c:v>10.7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Resto de EMEA</c:v>
                </c:pt>
                <c:pt idx="2">
                  <c:v>Estados Unidos</c:v>
                </c:pt>
                <c:pt idx="3">
                  <c:v>Resto de América</c:v>
                </c:pt>
                <c:pt idx="4">
                  <c:v>Japón</c:v>
                </c:pt>
                <c:pt idx="5">
                  <c:v>Resto de APJ</c:v>
                </c:pt>
              </c:strCache>
            </c:strRef>
          </c:cat>
          <c:val>
            <c:numRef>
              <c:f>Hoja1!$B$2:$B$7</c:f>
              <c:numCache>
                <c:formatCode>0"%"</c:formatCode>
                <c:ptCount val="6"/>
                <c:pt idx="0">
                  <c:v>15.8</c:v>
                </c:pt>
                <c:pt idx="1">
                  <c:v>30.4</c:v>
                </c:pt>
                <c:pt idx="2">
                  <c:v>31.4</c:v>
                </c:pt>
                <c:pt idx="3">
                  <c:v>8</c:v>
                </c:pt>
                <c:pt idx="4">
                  <c:v>4.3</c:v>
                </c:pt>
                <c:pt idx="5">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(Apps Run The World))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124200</c:v>
                </c:pt>
                <c:pt idx="1">
                  <c:v>131643</c:v>
                </c:pt>
                <c:pt idx="2">
                  <c:v>145582</c:v>
                </c:pt>
                <c:pt idx="3">
                  <c:v>157100</c:v>
                </c:pt>
                <c:pt idx="4">
                  <c:v>167940</c:v>
                </c:pt>
                <c:pt idx="5">
                  <c:v>179215</c:v>
                </c:pt>
                <c:pt idx="6">
                  <c:v>190557</c:v>
                </c:pt>
                <c:pt idx="7">
                  <c:v>204664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SAP</c:v>
                </c:pt>
                <c:pt idx="1">
                  <c:v>Oracle (Fusion Cloud ERP, NetSuite)</c:v>
                </c:pt>
                <c:pt idx="2">
                  <c:v>Microsoft (Dynamics 365)</c:v>
                </c:pt>
                <c:pt idx="3">
                  <c:v>Salesforce</c:v>
                </c:pt>
                <c:pt idx="4">
                  <c:v>Workday</c:v>
                </c:pt>
                <c:pt idx="5">
                  <c:v>ServiceNow</c:v>
                </c:pt>
                <c:pt idx="6">
                  <c:v>Infor</c:v>
                </c:pt>
                <c:pt idx="7">
                  <c:v>Dassault Systèmes</c:v>
                </c:pt>
                <c:pt idx="8">
                  <c:v>Sage</c:v>
                </c:pt>
              </c:strCache>
            </c:strRef>
          </c:cat>
          <c:val>
            <c:numRef>
              <c:f>Hoja1!$B$2:$B$10</c:f>
              <c:numCache>
                <c:formatCode>0.0"%"</c:formatCode>
                <c:ptCount val="9"/>
                <c:pt idx="0">
                  <c:v>27.2</c:v>
                </c:pt>
                <c:pt idx="1">
                  <c:v>30.6</c:v>
                </c:pt>
                <c:pt idx="2">
                  <c:v>46.8</c:v>
                </c:pt>
                <c:pt idx="3">
                  <c:v>20.1</c:v>
                </c:pt>
                <c:pt idx="4">
                  <c:v>7.5</c:v>
                </c:pt>
                <c:pt idx="5">
                  <c:v>13.7</c:v>
                </c:pt>
                <c:pt idx="7">
                  <c:v>21.7</c:v>
                </c:pt>
                <c:pt idx="8">
                  <c:v>21.1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pt idx="17">
                  <c:v>2034e</c:v>
                </c:pt>
                <c:pt idx="18">
                  <c:v>2035e</c:v>
                </c:pt>
              </c:strCache>
            </c:strRef>
          </c:cat>
          <c:val>
            <c:numRef>
              <c:f>Hoja1!$B$2:$B$20</c:f>
              <c:numCache>
                <c:formatCode>#,##0</c:formatCode>
                <c:ptCount val="19"/>
                <c:pt idx="0">
                  <c:v>23461</c:v>
                </c:pt>
                <c:pt idx="1">
                  <c:v>24708</c:v>
                </c:pt>
                <c:pt idx="2">
                  <c:v>27553</c:v>
                </c:pt>
                <c:pt idx="3">
                  <c:v>27338</c:v>
                </c:pt>
                <c:pt idx="4">
                  <c:v>26953</c:v>
                </c:pt>
                <c:pt idx="5">
                  <c:v>29520</c:v>
                </c:pt>
                <c:pt idx="6">
                  <c:v>31207</c:v>
                </c:pt>
                <c:pt idx="7">
                  <c:v>34176</c:v>
                </c:pt>
                <c:pt idx="8">
                  <c:v>36800</c:v>
                </c:pt>
                <c:pt idx="9">
                  <c:v>40480</c:v>
                </c:pt>
                <c:pt idx="10">
                  <c:v>45135</c:v>
                </c:pt>
                <c:pt idx="11">
                  <c:v>50326</c:v>
                </c:pt>
                <c:pt idx="12">
                  <c:v>55610</c:v>
                </c:pt>
                <c:pt idx="13">
                  <c:v>60893</c:v>
                </c:pt>
                <c:pt idx="14">
                  <c:v>65764</c:v>
                </c:pt>
                <c:pt idx="15">
                  <c:v>70368</c:v>
                </c:pt>
                <c:pt idx="16">
                  <c:v>74590</c:v>
                </c:pt>
                <c:pt idx="17">
                  <c:v>78319</c:v>
                </c:pt>
                <c:pt idx="18">
                  <c:v>81452</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pt idx="17">
                  <c:v>2034e</c:v>
                </c:pt>
                <c:pt idx="18">
                  <c:v>2035e</c:v>
                </c:pt>
              </c:strCache>
            </c:strRef>
          </c:cat>
          <c:val>
            <c:numRef>
              <c:f>Hoja1!$C$2:$C$20</c:f>
              <c:numCache>
                <c:formatCode>#,##0</c:formatCode>
                <c:ptCount val="19"/>
                <c:pt idx="0">
                  <c:v>6149</c:v>
                </c:pt>
                <c:pt idx="1">
                  <c:v>7065</c:v>
                </c:pt>
                <c:pt idx="2">
                  <c:v>7475</c:v>
                </c:pt>
                <c:pt idx="3">
                  <c:v>8454</c:v>
                </c:pt>
                <c:pt idx="4">
                  <c:v>7845</c:v>
                </c:pt>
                <c:pt idx="5">
                  <c:v>7483</c:v>
                </c:pt>
                <c:pt idx="6">
                  <c:v>7172</c:v>
                </c:pt>
                <c:pt idx="7">
                  <c:v>9089</c:v>
                </c:pt>
                <c:pt idx="8">
                  <c:v>11318</c:v>
                </c:pt>
                <c:pt idx="9">
                  <c:v>12751</c:v>
                </c:pt>
                <c:pt idx="10">
                  <c:v>14669</c:v>
                </c:pt>
                <c:pt idx="11">
                  <c:v>16859</c:v>
                </c:pt>
                <c:pt idx="12">
                  <c:v>19185</c:v>
                </c:pt>
                <c:pt idx="13">
                  <c:v>21617</c:v>
                </c:pt>
                <c:pt idx="14">
                  <c:v>23675</c:v>
                </c:pt>
                <c:pt idx="15">
                  <c:v>25332</c:v>
                </c:pt>
                <c:pt idx="16">
                  <c:v>26852</c:v>
                </c:pt>
                <c:pt idx="17">
                  <c:v>28195</c:v>
                </c:pt>
                <c:pt idx="18">
                  <c:v>29323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69.9</c:v>
                </c:pt>
                <c:pt idx="1">
                  <c:v>69.8</c:v>
                </c:pt>
                <c:pt idx="2">
                  <c:v>69.7</c:v>
                </c:pt>
                <c:pt idx="3">
                  <c:v>71.2</c:v>
                </c:pt>
                <c:pt idx="4">
                  <c:v>73.2</c:v>
                </c:pt>
                <c:pt idx="5">
                  <c:v>72.8</c:v>
                </c:pt>
                <c:pt idx="6">
                  <c:v>72.2</c:v>
                </c:pt>
                <c:pt idx="7">
                  <c:v>73</c:v>
                </c:pt>
                <c:pt idx="8">
                  <c:v>72.9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26.2</c:v>
                </c:pt>
                <c:pt idx="1">
                  <c:v>28.6</c:v>
                </c:pt>
                <c:pt idx="2">
                  <c:v>27.1</c:v>
                </c:pt>
                <c:pt idx="3">
                  <c:v>30.9</c:v>
                </c:pt>
                <c:pt idx="4">
                  <c:v>29.1</c:v>
                </c:pt>
                <c:pt idx="5">
                  <c:v>25.3</c:v>
                </c:pt>
                <c:pt idx="6">
                  <c:v>23</c:v>
                </c:pt>
                <c:pt idx="7">
                  <c:v>26.6</c:v>
                </c:pt>
                <c:pt idx="8">
                  <c:v>30.8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20.8</c:v>
                </c:pt>
                <c:pt idx="1">
                  <c:v>23.1</c:v>
                </c:pt>
                <c:pt idx="2">
                  <c:v>20.3</c:v>
                </c:pt>
                <c:pt idx="3">
                  <c:v>24.2</c:v>
                </c:pt>
                <c:pt idx="4">
                  <c:v>23.4</c:v>
                </c:pt>
                <c:pt idx="5">
                  <c:v>20</c:v>
                </c:pt>
                <c:pt idx="6">
                  <c:v>18.6</c:v>
                </c:pt>
                <c:pt idx="7">
                  <c:v>22.8</c:v>
                </c:pt>
                <c:pt idx="8">
                  <c:v>27.2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Hoja1!$E$2:$E$10</c:f>
              <c:numCache>
                <c:formatCode>0"%"</c:formatCode>
                <c:ptCount val="9"/>
                <c:pt idx="0">
                  <c:v>17.1</c:v>
                </c:pt>
                <c:pt idx="1">
                  <c:v>16.5</c:v>
                </c:pt>
                <c:pt idx="2">
                  <c:v>12.1</c:v>
                </c:pt>
                <c:pt idx="3">
                  <c:v>18.8</c:v>
                </c:pt>
                <c:pt idx="4">
                  <c:v>23.9</c:v>
                </c:pt>
                <c:pt idx="5">
                  <c:v>11.1</c:v>
                </c:pt>
                <c:pt idx="6">
                  <c:v>11.6</c:v>
                </c:pt>
                <c:pt idx="7">
                  <c:v>9.1</c:v>
                </c:pt>
                <c:pt idx="8">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11</c:v>
                </c:pt>
                <c:pt idx="1">
                  <c:v>12</c:v>
                </c:pt>
                <c:pt idx="2">
                  <c:v>9</c:v>
                </c:pt>
                <c:pt idx="3">
                  <c:v>7</c:v>
                </c:pt>
                <c:pt idx="4">
                  <c:v>3</c:v>
                </c:pt>
                <c:pt idx="5">
                  <c:v>6</c:v>
                </c:pt>
                <c:pt idx="6">
                  <c:v>9</c:v>
                </c:pt>
                <c:pt idx="7">
                  <c:v>13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10</c:v>
                </c:pt>
                <c:pt idx="1">
                  <c:v>11</c:v>
                </c:pt>
                <c:pt idx="2">
                  <c:v>12</c:v>
                </c:pt>
                <c:pt idx="3">
                  <c:v>11</c:v>
                </c:pt>
                <c:pt idx="4">
                  <c:v>9</c:v>
                </c:pt>
                <c:pt idx="5">
                  <c:v>12</c:v>
                </c:pt>
                <c:pt idx="6">
                  <c:v>11</c:v>
                </c:pt>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92</c:v>
                </c:pt>
                <c:pt idx="1">
                  <c:v>94</c:v>
                </c:pt>
                <c:pt idx="2">
                  <c:v>105</c:v>
                </c:pt>
                <c:pt idx="3">
                  <c:v>88</c:v>
                </c:pt>
                <c:pt idx="4">
                  <c:v>86</c:v>
                </c:pt>
                <c:pt idx="5">
                  <c:v>77</c:v>
                </c:pt>
                <c:pt idx="6">
                  <c:v>74</c:v>
                </c:pt>
                <c:pt idx="7">
                  <c:v>72</c:v>
                </c:pt>
                <c:pt idx="8">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49</c:v>
                </c:pt>
                <c:pt idx="1">
                  <c:v>62</c:v>
                </c:pt>
                <c:pt idx="2">
                  <c:v>56</c:v>
                </c:pt>
                <c:pt idx="3">
                  <c:v>47</c:v>
                </c:pt>
                <c:pt idx="4">
                  <c:v>55</c:v>
                </c:pt>
                <c:pt idx="5">
                  <c:v>68</c:v>
                </c:pt>
                <c:pt idx="6">
                  <c:v>43</c:v>
                </c:pt>
                <c:pt idx="7">
                  <c:v>47</c:v>
                </c:pt>
                <c:pt idx="8">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3770</c:v>
                </c:pt>
                <c:pt idx="1">
                  <c:v>2845</c:v>
                </c:pt>
                <c:pt idx="2">
                  <c:v>2276</c:v>
                </c:pt>
                <c:pt idx="3">
                  <c:v>6000</c:v>
                </c:pt>
                <c:pt idx="4">
                  <c:v>5048</c:v>
                </c:pt>
                <c:pt idx="5">
                  <c:v>4360</c:v>
                </c:pt>
                <c:pt idx="6">
                  <c:v>4736</c:v>
                </c:pt>
                <c:pt idx="7">
                  <c:v>3550</c:v>
                </c:pt>
                <c:pt idx="8">
                  <c:v>7544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4008</c:v>
                </c:pt>
                <c:pt idx="1">
                  <c:v>4083</c:v>
                </c:pt>
                <c:pt idx="2">
                  <c:v>3321</c:v>
                </c:pt>
                <c:pt idx="3">
                  <c:v>5145</c:v>
                </c:pt>
                <c:pt idx="4">
                  <c:v>6429</c:v>
                </c:pt>
                <c:pt idx="5">
                  <c:v>3278</c:v>
                </c:pt>
                <c:pt idx="6">
                  <c:v>3633</c:v>
                </c:pt>
                <c:pt idx="7">
                  <c:v>3124</c:v>
                </c:pt>
                <c:pt idx="8">
                  <c:v>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14.1</c:v>
                </c:pt>
                <c:pt idx="1">
                  <c:v>14</c:v>
                </c:pt>
                <c:pt idx="2">
                  <c:v>11.3</c:v>
                </c:pt>
                <c:pt idx="3">
                  <c:v>11.9</c:v>
                </c:pt>
                <c:pt idx="4">
                  <c:v>11.5</c:v>
                </c:pt>
                <c:pt idx="5">
                  <c:v>8.4</c:v>
                </c:pt>
                <c:pt idx="6">
                  <c:v>8.5</c:v>
                </c:pt>
                <c:pt idx="7">
                  <c:v>11.2</c:v>
                </c:pt>
                <c:pt idx="8">
                  <c:v>15.5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9.2</c:v>
                </c:pt>
                <c:pt idx="1">
                  <c:v>9.2</c:v>
                </c:pt>
                <c:pt idx="2">
                  <c:v>9.2</c:v>
                </c:pt>
                <c:pt idx="3">
                  <c:v>9.2</c:v>
                </c:pt>
                <c:pt idx="4">
                  <c:v>9.2</c:v>
                </c:pt>
                <c:pt idx="5">
                  <c:v>9.2</c:v>
                </c:pt>
                <c:pt idx="6">
                  <c:v>9.2</c:v>
                </c:pt>
                <c:pt idx="7">
                  <c:v>9.2</c:v>
                </c:pt>
                <c:pt idx="8">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15.7</c:v>
                </c:pt>
                <c:pt idx="1">
                  <c:v>15</c:v>
                </c:pt>
                <c:pt idx="2">
                  <c:v>11.1</c:v>
                </c:pt>
                <c:pt idx="3">
                  <c:v>17</c:v>
                </c:pt>
                <c:pt idx="4">
                  <c:v>18.8</c:v>
                </c:pt>
                <c:pt idx="5">
                  <c:v>8.3</c:v>
                </c:pt>
                <c:pt idx="6">
                  <c:v>8.7</c:v>
                </c:pt>
                <c:pt idx="7">
                  <c:v>7.1</c:v>
                </c:pt>
                <c:pt idx="8">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0.37</c:v>
                </c:pt>
                <c:pt idx="1">
                  <c:v>0.38</c:v>
                </c:pt>
                <c:pt idx="2">
                  <c:v>1.41</c:v>
                </c:pt>
                <c:pt idx="3">
                  <c:v>1.19</c:v>
                </c:pt>
                <c:pt idx="4">
                  <c:v>0.81</c:v>
                </c:pt>
                <c:pt idx="5">
                  <c:v>0.65</c:v>
                </c:pt>
                <c:pt idx="6">
                  <c:v>0.17</c:v>
                </c:pt>
                <c:pt idx="7">
                  <c:v>0.16</c:v>
                </c:pt>
                <c:pt idx="8">
                  <c:v>-0.03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1598</c:v>
                </c:pt>
                <c:pt idx="1">
                  <c:v>1000</c:v>
                </c:pt>
                <c:pt idx="2">
                  <c:v>1000</c:v>
                </c:pt>
                <c:pt idx="3">
                  <c:v>800</c:v>
                </c:pt>
                <c:pt idx="4">
                  <c:v>500</c:v>
                </c:pt>
                <c:pt idx="5">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291</c:v>
                </c:pt>
                <c:pt idx="1">
                  <c:v>2036</c:v>
                </c:pt>
                <c:pt idx="2">
                  <c:v>6215</c:v>
                </c:pt>
                <c:pt idx="3">
                  <c:v>662</c:v>
                </c:pt>
                <c:pt idx="4">
                  <c:v>1142</c:v>
                </c:pt>
                <c:pt idx="5">
                  <c:v>679</c:v>
                </c:pt>
                <c:pt idx="6">
                  <c:v>1168</c:v>
                </c:pt>
                <c:pt idx="7">
                  <c:v>1114</c:v>
                </c:pt>
                <c:pt idx="8">
                  <c:v>702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1565</c:v>
                </c:pt>
                <c:pt idx="1">
                  <c:v>1684</c:v>
                </c:pt>
                <c:pt idx="2">
                  <c:v>1810</c:v>
                </c:pt>
                <c:pt idx="3">
                  <c:v>1866</c:v>
                </c:pt>
                <c:pt idx="4">
                  <c:v>2271</c:v>
                </c:pt>
                <c:pt idx="5">
                  <c:v>2895</c:v>
                </c:pt>
                <c:pt idx="6">
                  <c:v>2417</c:v>
                </c:pt>
                <c:pt idx="7">
                  <c:v>2566</c:v>
                </c:pt>
                <c:pt idx="8">
                  <c:v>2746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500</c:v>
                </c:pt>
                <c:pt idx="1">
                  <c:v>0</c:v>
                </c:pt>
                <c:pt idx="2">
                  <c:v>0</c:v>
                </c:pt>
                <c:pt idx="3">
                  <c:v>1492</c:v>
                </c:pt>
                <c:pt idx="4">
                  <c:v>0</c:v>
                </c:pt>
                <c:pt idx="5">
                  <c:v>1500</c:v>
                </c:pt>
                <c:pt idx="6">
                  <c:v>949</c:v>
                </c:pt>
                <c:pt idx="7">
                  <c:v>2106</c:v>
                </c:pt>
                <c:pt idx="8">
                  <c:v>1937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8</c:v>
                </c:pt>
                <c:pt idx="1">
                  <c:v>9</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Hasso Plattner Foundation (Hasso Plattner y sociedades HPC)</c:v>
                </c:pt>
                <c:pt idx="2">
                  <c:v>Dietmar Hopp (conjuntamente)</c:v>
                </c:pt>
                <c:pt idx="3">
                  <c:v>Autocartera</c:v>
                </c:pt>
                <c:pt idx="4">
                  <c:v>Executive Board y Supervisory Board</c:v>
                </c:pt>
              </c:strCache>
            </c:strRef>
          </c:cat>
          <c:val>
            <c:numRef>
              <c:f>Hoja1!$B$2:$B$6</c:f>
              <c:numCache>
                <c:formatCode>0.0"%"</c:formatCode>
                <c:ptCount val="5"/>
                <c:pt idx="0">
                  <c:v>6.75</c:v>
                </c:pt>
                <c:pt idx="1">
                  <c:v>6.6</c:v>
                </c:pt>
                <c:pt idx="2">
                  <c:v>5.1</c:v>
                </c:pt>
                <c:pt idx="3">
                  <c:v>6.8</c:v>
                </c:pt>
                <c:pt idx="4">
                  <c:v>0.01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14.8</c:v>
                </c:pt>
                <c:pt idx="1">
                  <c:v>14.4</c:v>
                </c:pt>
                <c:pt idx="2">
                  <c:v>-5.6</c:v>
                </c:pt>
                <c:pt idx="3">
                  <c:v>40.3</c:v>
                </c:pt>
                <c:pt idx="4">
                  <c:v>-9.6</c:v>
                </c:pt>
                <c:pt idx="5">
                  <c:v>18.4</c:v>
                </c:pt>
                <c:pt idx="6">
                  <c:v>-20.7</c:v>
                </c:pt>
                <c:pt idx="7">
                  <c:v>47.2</c:v>
                </c:pt>
                <c:pt idx="8">
                  <c:v>71.6</c:v>
                </c:pt>
                <c:pt idx="9">
                  <c:v>-11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5.7</c:v>
                </c:pt>
                <c:pt idx="1">
                  <c:v>11.7</c:v>
                </c:pt>
                <c:pt idx="2">
                  <c:v>-18.8</c:v>
                </c:pt>
                <c:pt idx="3">
                  <c:v>24.7</c:v>
                </c:pt>
                <c:pt idx="4">
                  <c:v>3</c:v>
                </c:pt>
                <c:pt idx="5">
                  <c:v>15.2</c:v>
                </c:pt>
                <c:pt idx="6">
                  <c:v>-12.8</c:v>
                </c:pt>
                <c:pt idx="7">
                  <c:v>19.5</c:v>
                </c:pt>
                <c:pt idx="8">
                  <c:v>18.1</c:v>
                </c:pt>
                <c:pt idx="9">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18.6</c:v>
                </c:pt>
                <c:pt idx="2">
                  <c:v>15.1</c:v>
                </c:pt>
                <c:pt idx="3">
                  <c:v>20.6</c:v>
                </c:pt>
                <c:pt idx="4">
                  <c:v>16.2</c:v>
                </c:pt>
                <c:pt idx="5">
                  <c:v>19.9</c:v>
                </c:pt>
                <c:pt idx="6">
                  <c:v>16.1</c:v>
                </c:pt>
                <c:pt idx="7">
                  <c:v>23.2</c:v>
                </c:pt>
                <c:pt idx="8">
                  <c:v>30.9</c:v>
                </c:pt>
                <c:pt idx="9">
                  <c:v>21.6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19.9</c:v>
                </c:pt>
                <c:pt idx="1">
                  <c:v>19.9</c:v>
                </c:pt>
                <c:pt idx="2">
                  <c:v>19.9</c:v>
                </c:pt>
                <c:pt idx="3">
                  <c:v>19.9</c:v>
                </c:pt>
                <c:pt idx="4">
                  <c:v>19.9</c:v>
                </c:pt>
                <c:pt idx="5">
                  <c:v>19.9</c:v>
                </c:pt>
                <c:pt idx="6">
                  <c:v>19.9</c:v>
                </c:pt>
                <c:pt idx="7">
                  <c:v>19.9</c:v>
                </c:pt>
                <c:pt idx="8">
                  <c:v>19.9</c:v>
                </c:pt>
                <c:pt idx="9">
                  <c:v>19.9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SAP</c:v>
                </c:pt>
                <c:pt idx="1">
                  <c:v>Microsoft</c:v>
                </c:pt>
                <c:pt idx="2">
                  <c:v>Oracle</c:v>
                </c:pt>
                <c:pt idx="3">
                  <c:v>Salesforce</c:v>
                </c:pt>
                <c:pt idx="4">
                  <c:v>ServiceNow</c:v>
                </c:pt>
                <c:pt idx="5">
                  <c:v>Adobe</c:v>
                </c:pt>
                <c:pt idx="6">
                  <c:v>Intuit</c:v>
                </c:pt>
                <c:pt idx="7">
                  <c:v>Workday</c:v>
                </c:pt>
                <c:pt idx="8">
                  <c:v>Dassault Systèmes</c:v>
                </c:pt>
              </c:strCache>
            </c:strRef>
          </c:cat>
          <c:val>
            <c:numRef>
              <c:f>Hoja1!$B$2:$B$10</c:f>
              <c:numCache>
                <c:formatCode>0.0"x"</c:formatCode>
                <c:ptCount val="9"/>
                <c:pt idx="0">
                  <c:v>16.4</c:v>
                </c:pt>
                <c:pt idx="1">
                  <c:v>15.4</c:v>
                </c:pt>
                <c:pt idx="2">
                  <c:v>9.4</c:v>
                </c:pt>
                <c:pt idx="3">
                  <c:v>12.9</c:v>
                </c:pt>
                <c:pt idx="4">
                  <c:v>35.9</c:v>
                </c:pt>
                <c:pt idx="5">
                  <c:v>8.7</c:v>
                </c:pt>
                <c:pt idx="6">
                  <c:v>10.7</c:v>
                </c:pt>
                <c:pt idx="7">
                  <c:v>23</c:v>
                </c:pt>
                <c:pt idx="8">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SAP</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11.3</c:v>
                </c:pt>
              </c:numCache>
            </c:numRef>
          </c:xVal>
          <c:yVal>
            <c:numRef>
              <c:f>Hoja1!$C$2</c:f>
              <c:numCache>
                <c:formatCode>0.0"x"</c:formatCode>
                <c:ptCount val="1"/>
                <c:pt idx="0">
                  <c:v>16.4</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18.4</c:v>
                </c:pt>
              </c:numCache>
            </c:numRef>
          </c:xVal>
          <c:yVal>
            <c:numRef>
              <c:f>Hoja1!$C$3</c:f>
              <c:numCache>
                <c:formatCode>0.0"x"</c:formatCode>
                <c:ptCount val="1"/>
                <c:pt idx="0">
                  <c:v>15.4</c:v>
                </c:pt>
              </c:numCache>
            </c:numRef>
          </c:yVal>
          <c:smooth val="0"/>
        </c:ser>
        <c:ser>
          <c:idx val="2"/>
          <c:order val="2"/>
          <c:tx>
            <c:strRef>
              <c:f>Hoja1!$A$4</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38.8</c:v>
                </c:pt>
              </c:numCache>
            </c:numRef>
          </c:xVal>
          <c:yVal>
            <c:numRef>
              <c:f>Hoja1!$C$4</c:f>
              <c:numCache>
                <c:formatCode>0.0"x"</c:formatCode>
                <c:ptCount val="1"/>
                <c:pt idx="0">
                  <c:v>9.4</c:v>
                </c:pt>
              </c:numCache>
            </c:numRef>
          </c:yVal>
          <c:smooth val="0"/>
        </c:ser>
        <c:ser>
          <c:idx val="3"/>
          <c:order val="3"/>
          <c:tx>
            <c:strRef>
              <c:f>Hoja1!$A$5</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10.3</c:v>
                </c:pt>
              </c:numCache>
            </c:numRef>
          </c:xVal>
          <c:yVal>
            <c:numRef>
              <c:f>Hoja1!$C$5</c:f>
              <c:numCache>
                <c:formatCode>0.0"x"</c:formatCode>
                <c:ptCount val="1"/>
                <c:pt idx="0">
                  <c:v>12.9</c:v>
                </c:pt>
              </c:numCache>
            </c:numRef>
          </c:yVal>
          <c:smooth val="0"/>
        </c:ser>
        <c:ser>
          <c:idx val="4"/>
          <c:order val="4"/>
          <c:tx>
            <c:strRef>
              <c:f>Hoja1!$A$6</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19.5</c:v>
                </c:pt>
              </c:numCache>
            </c:numRef>
          </c:xVal>
          <c:yVal>
            <c:numRef>
              <c:f>Hoja1!$C$6</c:f>
              <c:numCache>
                <c:formatCode>0.0"x"</c:formatCode>
                <c:ptCount val="1"/>
                <c:pt idx="0">
                  <c:v>35.9</c:v>
                </c:pt>
              </c:numCache>
            </c:numRef>
          </c:yVal>
          <c:smooth val="0"/>
        </c:ser>
        <c:ser>
          <c:idx val="5"/>
          <c:order val="5"/>
          <c:tx>
            <c:strRef>
              <c:f>Hoja1!$A$7</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9.6</c:v>
                </c:pt>
              </c:numCache>
            </c:numRef>
          </c:xVal>
          <c:yVal>
            <c:numRef>
              <c:f>Hoja1!$C$7</c:f>
              <c:numCache>
                <c:formatCode>0.0"x"</c:formatCode>
                <c:ptCount val="1"/>
                <c:pt idx="0">
                  <c:v>8.7</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10.7</c:v>
                </c:pt>
              </c:numCache>
            </c:numRef>
          </c:yVal>
          <c:smooth val="0"/>
        </c:ser>
        <c:ser>
          <c:idx val="7"/>
          <c:order val="7"/>
          <c:tx>
            <c:strRef>
              <c:f>Hoja1!$A$9</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10.8</c:v>
                </c:pt>
              </c:numCache>
            </c:numRef>
          </c:xVal>
          <c:yVal>
            <c:numRef>
              <c:f>Hoja1!$C$9</c:f>
              <c:numCache>
                <c:formatCode>0.0"x"</c:formatCode>
                <c:ptCount val="1"/>
                <c:pt idx="0">
                  <c:v>23</c:v>
                </c:pt>
              </c:numCache>
            </c:numRef>
          </c:yVal>
          <c:smooth val="0"/>
        </c:ser>
        <c:ser>
          <c:idx val="8"/>
          <c:order val="8"/>
          <c:tx>
            <c:strRef>
              <c:f>Hoja1!$A$10</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5.3</c:v>
                </c:pt>
              </c:numCache>
            </c:numRef>
          </c:xVal>
          <c:yVal>
            <c:numRef>
              <c:f>Hoja1!$C$10</c:f>
              <c:numCache>
                <c:formatCode>0.0"x"</c:formatCode>
                <c:ptCount val="1"/>
                <c:pt idx="0">
                  <c:v>12.2</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8469</c:v>
                </c:pt>
                <c:pt idx="1">
                  <c:v>9822</c:v>
                </c:pt>
                <c:pt idx="2">
                  <c:v>11297</c:v>
                </c:pt>
                <c:pt idx="3">
                  <c:v>12847</c:v>
                </c:pt>
                <c:pt idx="4">
                  <c:v>14466</c:v>
                </c:pt>
                <c:pt idx="5">
                  <c:v>15806</c:v>
                </c:pt>
                <c:pt idx="6">
                  <c:v>16888</c:v>
                </c:pt>
                <c:pt idx="7">
                  <c:v>17875</c:v>
                </c:pt>
                <c:pt idx="8">
                  <c:v>18741</c:v>
                </c:pt>
                <c:pt idx="9">
                  <c:v>19460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90169</c:v>
                </c:pt>
                <c:pt idx="1">
                  <c:v>131346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208,65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126.87</c:v>
                </c:pt>
                <c:pt idx="1">
                  <c:v>196.64</c:v>
                </c:pt>
                <c:pt idx="2">
                  <c:v>252.06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208,65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(127,50 – 244,30)</c:v>
                </c:pt>
                <c:pt idx="1">
                  <c:v>Precio objetivo de los analistas (160,00 – 290,00)</c:v>
                </c:pt>
                <c:pt idx="2">
                  <c:v>Comparables: EV/EBITDA NTM (133,56 – 219,77)</c:v>
                </c:pt>
                <c:pt idx="3">
                  <c:v>Comparables: PER NTM (133,73 – 218,50)</c:v>
                </c:pt>
                <c:pt idx="4">
                  <c:v>Transacciones precedentes (EV/ventas) (267,60 – 380,40)</c:v>
                </c:pt>
                <c:pt idx="5">
                  <c:v>DCF (WACC y g ± 0,5) (175,75 – 224,62)</c:v>
                </c:pt>
                <c:pt idx="6">
                  <c:v>Escenarios (bajista – alcista) (126,87 – 252,06)</c:v>
                </c:pt>
                <c:pt idx="7">
                  <c:v>DCF con la prima implícita del mercado (4,2 %)</c:v>
                </c:pt>
                <c:pt idx="8">
                  <c:v>Precio actual (208,65)</c:v>
                </c:pt>
              </c:strCache>
            </c:strRef>
          </c:cat>
          <c:val>
            <c:numRef>
              <c:f>Hoja1!$B$2:$B$10</c:f>
              <c:numCache>
                <c:formatCode>#,##0</c:formatCode>
                <c:ptCount val="9"/>
                <c:pt idx="0">
                  <c:v>127.5</c:v>
                </c:pt>
                <c:pt idx="1">
                  <c:v>160</c:v>
                </c:pt>
                <c:pt idx="2">
                  <c:v>133.56</c:v>
                </c:pt>
                <c:pt idx="3">
                  <c:v>133.73</c:v>
                </c:pt>
                <c:pt idx="4">
                  <c:v>267.6</c:v>
                </c:pt>
                <c:pt idx="5">
                  <c:v>175.75</c:v>
                </c:pt>
                <c:pt idx="6">
                  <c:v>126.87</c:v>
                </c:pt>
                <c:pt idx="7">
                  <c:v>226.58</c:v>
                </c:pt>
                <c:pt idx="8">
                  <c:v>207.61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(127,50 – 244,30)</c:v>
                </c:pt>
                <c:pt idx="1">
                  <c:v>Precio objetivo de los analistas (160,00 – 290,00)</c:v>
                </c:pt>
                <c:pt idx="2">
                  <c:v>Comparables: EV/EBITDA NTM (133,56 – 219,77)</c:v>
                </c:pt>
                <c:pt idx="3">
                  <c:v>Comparables: PER NTM (133,73 – 218,50)</c:v>
                </c:pt>
                <c:pt idx="4">
                  <c:v>Transacciones precedentes (EV/ventas) (267,60 – 380,40)</c:v>
                </c:pt>
                <c:pt idx="5">
                  <c:v>DCF (WACC y g ± 0,5) (175,75 – 224,62)</c:v>
                </c:pt>
                <c:pt idx="6">
                  <c:v>Escenarios (bajista – alcista) (126,87 – 252,06)</c:v>
                </c:pt>
                <c:pt idx="7">
                  <c:v>DCF con la prima implícita del mercado (4,2 %)</c:v>
                </c:pt>
                <c:pt idx="8">
                  <c:v>Precio actual (208,65)</c:v>
                </c:pt>
              </c:strCache>
            </c:strRef>
          </c:cat>
          <c:val>
            <c:numRef>
              <c:f>Hoja1!$C$2:$C$10</c:f>
              <c:numCache>
                <c:formatCode>#,##0</c:formatCode>
                <c:ptCount val="9"/>
                <c:pt idx="0">
                  <c:v>116.80000000000001</c:v>
                </c:pt>
                <c:pt idx="1">
                  <c:v>130</c:v>
                </c:pt>
                <c:pt idx="2">
                  <c:v>86.21000000000001</c:v>
                </c:pt>
                <c:pt idx="3">
                  <c:v>84.77000000000001</c:v>
                </c:pt>
                <c:pt idx="4">
                  <c:v>112.79999999999995</c:v>
                </c:pt>
                <c:pt idx="5">
                  <c:v>48.870000000000005</c:v>
                </c:pt>
                <c:pt idx="6">
                  <c:v>125.19</c:v>
                </c:pt>
                <c:pt idx="7">
                  <c:v>47.66999999999999</c:v>
                </c:pt>
                <c:pt idx="8">
                  <c:v>2.079999999999984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