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DO &amp; CO Aktiengesellschaft</w:t>
      </w:r>
    </w:p>
    <w:p>
      <w:pPr>
        <w:spacing w:after="60"/>
        <w:rPr>
          <w:color w:val="52514E"/>
          <w:sz w:val="22"/>
          <w:szCs w:val="22"/>
        </w:rPr>
      </w:pPr>
      <w:r>
        <w:rPr>
          <w:color w:val="52514E"/>
          <w:sz w:val="22"/>
          <w:szCs w:val="22"/>
        </w:rPr>
        <w:t xml:space="preserve">DOC · Wiener Börse (prime market); también Borsa İstanbul (DOCO) · ISIN AT0000818802 · Industrials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195,00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225,34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+16,8 % (base +22,4 %)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209,65 EUR · mercado 234,39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2.142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DO &amp; CO Aktiengesellschaft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DOC / AT0000818802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Wiener Börse (prime market); también Borsa İstanbul (DOCO)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Industrials / Commercial Services &amp; Supplies (catering)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Viena · 1981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www.doco.com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195,00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 – 230,00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2,5 M EUR/día en Viena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225,34 EUR</w:t>
      </w:r>
      <w:r>
        <w:t xml:space="preserve"> frente a 195,00 · Rentabilidad a 12 meses </w:t>
      </w:r>
      <w:r>
        <w:rPr>
          <w:b/>
          <w:bCs/>
        </w:rPr>
        <w:t xml:space="preserve">+16,8 % (base +22,4 %)</w:t>
      </w:r>
      <w:r>
        <w:t xml:space="preserve"> · Valor intrínseco 209,65 EUR · con la prima implícita del mercado: 234,39 (+20,2 %) · Alcista / bajista +38,2 % / -25,2 %</w:t>
      </w:r>
    </w:p>
    <w:p>
      <w:pPr>
        <w:spacing w:after="100"/>
      </w:pPr>
      <w:r>
        <w:rPr>
          <w:b/>
        </w:rPr>
        <w:t xml:space="preserve">La recomendación y por qué.</w:t>
      </w:r>
      <w:r>
        <w:t xml:space="preserve"> Comprar con convicción baja. A 195,00 EUR (13-oct-2026), el objetivo a 12 meses es de 225,34 EUR: rentabilidad ponderada del +16,8 % y del +22,4 % en el caso base, con el dividendo del 1,3 %. El valor intrínseco es de 209,65 EUR (+7,5 %) y el objetivo medio de los 8 analistas, de 258,06 [27]. A 12 meses el bajista pierde un 21,4 % y el alcista gana un 41,3 %. La razón: una empresa con un ROIC del 25 % que cotiza en su PER mediano (16,9 veces) mientras el precio descuenta un crecimiento del 3,8 %, por debajo de su mercado. La convicción es baja porque las dos reglas discrepan (con nuestro WACC la rentabilidad total al valor intrínseco es del 8,8 %: Mantener) y porque la ponderada está a menos de dos puntos del umbral del 15 %; subiría si las ventas en euros del primer semestre (12-nov-2026) crecen más del 6 % con margen del 12 %, y bajaría con un crecimiento en euros por debajo del 4 %.</w:t>
      </w:r>
    </w:p>
    <w:p>
      <w:pPr>
        <w:spacing w:after="100"/>
      </w:pPr>
      <w:r>
        <w:rPr>
          <w:b/>
        </w:rPr>
        <w:t xml:space="preserve">El negocio.</w:t>
      </w:r>
      <w:r>
        <w:t xml:space="preserve"> DO &amp; CO es el tercer catering aéreo del mundo, con un 10 % de un mercado de unos 19.500 M EUR que crece un 5,6 % al año [13], más eventos y restaurantes. Su ROIC pasó del 5,2 % en FY2022 al 25,1 % en FY2026 frente a un WACC del 9,32 %, con más margen EBITDA (12,2 %) que gategroup (8,3 %) [15]. El foso es estrecho y los clientes pocos: el primero (Turkish Airlines, a través de la sociedad conjunta al 50 %) es el 24,5 % de las ventas y el segundo el 14,4 % [1]. La calidad sostiene en parte el crecimiento que proyectamos: el capital no lo limita (la reinversión es el 10 % del NOPAT y la cuota final sería del 10,8 %), pero depende de renovar contratos con pocos clientes y de la lira.</w:t>
      </w:r>
    </w:p>
    <w:p>
      <w:pPr>
        <w:spacing w:after="100"/>
      </w:pPr>
      <w:r>
        <w:rPr>
          <w:b/>
        </w:rPr>
        <w:t xml:space="preserve">Finanzas.</w:t>
      </w:r>
      <w:r>
        <w:t xml:space="preserve"> Las ventas pasaron de 705 M en FY2022 a 2.462 M en FY2026 y el beneficio atribuible a 105,8 M (9,63 EUR por acción) [1]. La deuda bancaria bajó de 382 M a 14,7 M y la caja neta financiera es de 256 M en junio de 2026 [5]. La NIIF 29 (hiperinflación turca) restó 29,2 M al resultado financiero de FY2026 y Turkish Airlines se lleva el 23 % del beneficio como minoritario. Valoramos esos minoritarios a mercado (441,7 M), lo que resta unos 31 EUR por acción frente a hacerlo a valor contable.</w:t>
      </w:r>
    </w:p>
    <w:p>
      <w:pPr>
        <w:spacing w:after="100"/>
      </w:pPr>
      <w:r>
        <w:rPr>
          <w:b/>
        </w:rPr>
        <w:t xml:space="preserve">Equipo y gobierno.</w:t>
      </w:r>
      <w:r>
        <w:t xml:space="preserve"> Suma: el fundador dirige desde 1997, tiene el 30,03 % y está renovado hasta 2029 [23]; la retribución es moderada y ligada a margen, deuda y ROCE [20]. Resta la sucesión, sin plan escrito [21].</w:t>
      </w:r>
    </w:p>
    <w:p>
      <w:pPr>
        <w:spacing w:after="100"/>
      </w:pPr>
      <w:r>
        <w:rPr>
          <w:b/>
        </w:rPr>
        <w:t xml:space="preserve">Valoración.</w:t>
      </w:r>
      <w:r>
        <w:t xml:space="preserve"> El DCF da 223,62 EUR, los escenarios 215,66 EUR de media ponderada y los comparables van de 131 EUR (PER, castigado por la deuda de los demás) a 311 EUR (EV/EBITDA). Pesan un 40/40/20. El DCF inverso pide un 3,8 % de crecimiento anual, menos que el mercado y que nuestro 6,1 %; con la prima implícita del mercado el valor sube a 234,39 EUR. Coincidimos con el consenso en ventas y BPA; los analistas pagan más múltiplo.</w:t>
      </w:r>
    </w:p>
    <w:p>
      <w:pPr>
        <w:spacing w:after="100"/>
      </w:pPr>
      <w:r>
        <w:rPr>
          <w:b/>
        </w:rPr>
        <w:t xml:space="preserve">Riesgos y catalizadores.</w:t>
      </w:r>
      <w:r>
        <w:t xml:space="preserve"> Los mayores: la lira (en el 1T restó 5 puntos de crecimiento) [5], un cambio en el contrato con Turkish (−25 % en el bajista) y Oriente Medio y el combustible (−10 %), que ya llevó a los analistas a recortar objetivos en mayo [36]. Catalizador: resultados del semestre el 12-nov-2026. El foro es positivo y no añade riesgos.</w:t>
      </w:r>
    </w:p>
    <w:p>
      <w:pPr>
        <w:spacing w:after="100"/>
      </w:pPr>
      <w:r>
        <w:rPr>
          <w:b/>
        </w:rPr>
        <w:t xml:space="preserve">Qué cambiaría la decisión.</w:t>
      </w:r>
      <w:r>
        <w:t xml:space="preserve"> Por encima de 253,16 EUR, Vender; por debajo de 198,12, el Comprar gana margen. Pasaríamos a Mantener con ventas en euros del semestre por debajo del +4 % o un margen EBITDA por debajo del 11 %, y revisaríamos a la baja ante cualquier concurso del contrato de Turkish.</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225,34 EUR</w:t>
      </w:r>
      <w:r>
        <w:t xml:space="preserve"> (rentabilidad +16,8 % (base +22,4 %)) · Valor intrínseco: 209,65 EUR (+7,5 % sobre 195,00) · con la prima implícita del mercado: 234,39 (+20,2 %)</w:t>
      </w:r>
    </w:p>
    <w:p>
      <w:pPr>
        <w:spacing w:after="100"/>
      </w:pPr>
      <w:r>
        <w:t xml:space="preserve">DO &amp; CO cocina para aerolíneas (más del 70 % de las ventas), grandes eventos y restaurantes desde Viena y Estambul. Con 2.462 M EUR de ventas en FY2026, un margen EBITDA del 12,2 % y un ROIC del 25,1 %, es el catering aéreo más rentable del sector: gategroup, el líder, gana un 8,3 % [15]. Ha crecido sin compras, ganando contratos (British Airways en Londres, Delta en Nueva York) y con la sociedad conjunta con Turkish Airlines, que es su mayor cliente [1, 16].</w:t>
      </w:r>
    </w:p>
    <w:p>
      <w:pPr>
        <w:spacing w:after="100"/>
      </w:pPr>
      <w:r>
        <w:t xml:space="preserve">A 195,00 EUR el precio descuenta poco: el DCF inverso pide un crecimiento del 3,8 % anual hasta FY2033, por debajo del 5,6 % que se espera del mercado de catering aéreo [13]. Cotiza a 16,9 veces nuestro BPA de FY2027e, justo en su mediana de cinco años, y a 8,5 veces el EBITDA, por debajo de Compass o Aramark, que tienen menos margen y más deuda [30].</w:t>
      </w:r>
    </w:p>
    <w:p>
      <w:pPr>
        <w:spacing w:after="100"/>
      </w:pPr>
      <w:r>
        <w:t xml:space="preserve">El mercado descuenta la lira, Oriente Medio y depender de un cliente. Tiene razón en que son riesgos reales, pero el 1T creció un 10,2 % a tipos constantes [5] y la caja neta de 256 M deja margen. Para invertir hay que creer que DO &amp; CO seguirá ganando cuota al 7-8 % anual en dos años y que Turkish Airlines mantendrá la sociedad conjunta.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 × 11,35 = 153,23 · 16,9x × 13,98 = 236,26 · 17,6x × 15,66 = 275,62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 / 22,4 %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258,06 (nuestro base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 / -25,2 %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frente a 9,3 % y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234,39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 frente a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198,12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198,12 y 253,16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253,16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253,16 EUR: Vender.</w:t>
      </w:r>
    </w:p>
    <w:p>
      <w:pPr>
        <w:pStyle w:val="ListParagraph"/>
        <w:numPr>
          <w:ilvl w:val="0"/>
          <w:numId w:val="2"/>
        </w:numPr>
        <w:spacing w:after="60"/>
      </w:pPr>
      <w:r>
        <w:t xml:space="preserve">Precio por debajo de 198,12 EUR: se refuerza el Comprar.</w:t>
      </w:r>
    </w:p>
    <w:p>
      <w:pPr>
        <w:pStyle w:val="ListParagraph"/>
        <w:numPr>
          <w:ilvl w:val="0"/>
          <w:numId w:val="2"/>
        </w:numPr>
        <w:spacing w:after="60"/>
      </w:pPr>
      <w:r>
        <w:t xml:space="preserve">Ventas en euros del primer semestre (12-nov-2026) por debajo del +4 %: pasaríamos a Mantener.</w:t>
      </w:r>
    </w:p>
    <w:p>
      <w:pPr>
        <w:pStyle w:val="ListParagraph"/>
        <w:numPr>
          <w:ilvl w:val="0"/>
          <w:numId w:val="2"/>
        </w:numPr>
        <w:spacing w:after="60"/>
      </w:pPr>
      <w:r>
        <w:t xml:space="preserve">Margen EBITDA por debajo del 11 % en dos trimestres: pasaríamos a Mantener.</w:t>
      </w:r>
    </w:p>
    <w:p>
      <w:pPr>
        <w:pStyle w:val="ListParagraph"/>
        <w:numPr>
          <w:ilvl w:val="0"/>
          <w:numId w:val="2"/>
        </w:numPr>
        <w:spacing w:after="60"/>
      </w:pPr>
      <w:r>
        <w:t xml:space="preserve">Concurso o renegociación del contrato de Turkish Airlines: revisión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3,8 % anual hasta FY2033, por debajo del mercado de catering aéreo (5,6 %), por el miedo a la lira, a Oriente Medio y a depender de Turkish Airlines.</w:t>
      </w:r>
    </w:p>
    <w:p>
      <w:pPr>
        <w:keepNext/>
        <w:spacing w:after="100"/>
      </w:pPr>
      <w:r>
        <w:rPr>
          <w:b/>
          <w:bCs/>
        </w:rPr>
        <w:t xml:space="preserve">Lo que creemos nosotros.</w:t>
      </w:r>
    </w:p>
    <w:p>
      <w:pPr>
        <w:spacing w:after="100"/>
      </w:pPr>
      <w:r>
        <w:t xml:space="preserve">Crecimiento del 7-8 % en dos años con margen estable y BPA de 13,98 EUR en FY2029e, en línea con el consenso; el valor intrínseco es de 209,65 EUR.</w:t>
      </w:r>
    </w:p>
    <w:p>
      <w:pPr>
        <w:keepNext/>
        <w:spacing w:after="100"/>
      </w:pPr>
      <w:r>
        <w:rPr>
          <w:b/>
          <w:bCs/>
        </w:rPr>
        <w:t xml:space="preserve">Por qué podemos tener razón.</w:t>
      </w:r>
    </w:p>
    <w:p>
      <w:pPr>
        <w:spacing w:after="100"/>
      </w:pPr>
      <w:r>
        <w:t xml:space="preserve">Lleva tres años ganando cuota con un ROIC del 25 % y el 1T creció un 10,2 % a tipos constantes [5]; el mercado ya descuenta una lira débil.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9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25,1 % frente a un WACC del 9,32 %, sin fondo de comercio.</w:t>
      </w:r>
    </w:p>
    <w:p>
      <w:pPr>
        <w:pStyle w:val="ListParagraph"/>
        <w:numPr>
          <w:ilvl w:val="0"/>
          <w:numId w:val="2"/>
        </w:numPr>
        <w:spacing w:after="60"/>
      </w:pPr>
      <w:r>
        <w:rPr>
          <w:b/>
        </w:rPr>
        <w:t xml:space="preserve">Caja neta</w:t>
      </w:r>
      <w:r>
        <w:t xml:space="preserve">: 226 M de caja neta financiera tras devolver 368 M de préstamos desde FY2021 [1].</w:t>
      </w:r>
    </w:p>
    <w:p>
      <w:pPr>
        <w:pStyle w:val="ListParagraph"/>
        <w:numPr>
          <w:ilvl w:val="0"/>
          <w:numId w:val="2"/>
        </w:numPr>
        <w:spacing w:after="60"/>
      </w:pPr>
      <w:r>
        <w:rPr>
          <w:b/>
        </w:rPr>
        <w:t xml:space="preserve">Crecimiento orgánico</w:t>
      </w:r>
      <w:r>
        <w:t xml:space="preserve">: +10,2 % a tipos constantes en el 1T FY2026/27 [5].</w:t>
      </w:r>
    </w:p>
    <w:p>
      <w:pPr>
        <w:pStyle w:val="ListParagraph"/>
        <w:numPr>
          <w:ilvl w:val="0"/>
          <w:numId w:val="2"/>
        </w:numPr>
        <w:spacing w:after="60"/>
      </w:pPr>
      <w:r>
        <w:rPr>
          <w:b/>
        </w:rPr>
        <w:t xml:space="preserve">Precio poco exigente</w:t>
      </w:r>
      <w:r>
        <w:t xml:space="preserve">: el DCF inverso pide un crecimiento del 3,8 %, por debajo del mercado.</w:t>
      </w:r>
    </w:p>
    <w:p>
      <w:pPr>
        <w:pStyle w:val="ListParagraph"/>
        <w:numPr>
          <w:ilvl w:val="0"/>
          <w:numId w:val="2"/>
        </w:numPr>
        <w:spacing w:after="60"/>
      </w:pPr>
      <w:r>
        <w:rPr>
          <w:b/>
        </w:rPr>
        <w:t xml:space="preserve">Mejor margen del sector</w:t>
      </w:r>
      <w:r>
        <w:t xml:space="preserve">: EBITDA del 12,2 % frente al 8,3 % de gategroup [15].</w:t>
      </w:r>
    </w:p>
    <w:p>
      <w:pPr>
        <w:pStyle w:val="Heading2"/>
      </w:pPr>
      <w:r>
        <w:t xml:space="preserve">En contra</w:t>
      </w:r>
    </w:p>
    <w:p>
      <w:pPr>
        <w:pStyle w:val="ListParagraph"/>
        <w:numPr>
          <w:ilvl w:val="0"/>
          <w:numId w:val="2"/>
        </w:numPr>
        <w:spacing w:after="60"/>
      </w:pPr>
      <w:r>
        <w:rPr>
          <w:b/>
        </w:rPr>
        <w:t xml:space="preserve">Concentración</w:t>
      </w:r>
      <w:r>
        <w:t xml:space="preserve">: el primer cliente es el 24,5 % de las ventas y el segundo el 14,4 % [1].</w:t>
      </w:r>
    </w:p>
    <w:p>
      <w:pPr>
        <w:pStyle w:val="ListParagraph"/>
        <w:numPr>
          <w:ilvl w:val="0"/>
          <w:numId w:val="2"/>
        </w:numPr>
        <w:spacing w:after="60"/>
      </w:pPr>
      <w:r>
        <w:rPr>
          <w:b/>
        </w:rPr>
        <w:t xml:space="preserve">Lira</w:t>
      </w:r>
      <w:r>
        <w:t xml:space="preserve">: Turquía es el 31 % de las ventas; en el 1T la divisa restó 5 puntos de crecimiento [5].</w:t>
      </w:r>
    </w:p>
    <w:p>
      <w:pPr>
        <w:pStyle w:val="ListParagraph"/>
        <w:numPr>
          <w:ilvl w:val="0"/>
          <w:numId w:val="2"/>
        </w:numPr>
        <w:spacing w:after="60"/>
      </w:pPr>
      <w:r>
        <w:rPr>
          <w:b/>
        </w:rPr>
        <w:t xml:space="preserve">Minoritarios</w:t>
      </w:r>
      <w:r>
        <w:t xml:space="preserve">: Turkish Airlines se lleva el 23 % del beneficio de THY DO &amp; CO y del grupo.</w:t>
      </w:r>
    </w:p>
    <w:p>
      <w:pPr>
        <w:pStyle w:val="ListParagraph"/>
        <w:numPr>
          <w:ilvl w:val="0"/>
          <w:numId w:val="2"/>
        </w:numPr>
        <w:spacing w:after="60"/>
      </w:pPr>
      <w:r>
        <w:rPr>
          <w:b/>
        </w:rPr>
        <w:t xml:space="preserve">Margen de seguridad corto</w:t>
      </w:r>
      <w:r>
        <w:t xml:space="preserve">: el valor intrínseco está solo un 7,5 % por encima del precio.</w:t>
      </w:r>
    </w:p>
    <w:p>
      <w:pPr>
        <w:pStyle w:val="ListParagraph"/>
        <w:numPr>
          <w:ilvl w:val="0"/>
          <w:numId w:val="2"/>
        </w:numPr>
        <w:spacing w:after="60"/>
      </w:pPr>
      <w:r>
        <w:rPr>
          <w:b/>
        </w:rPr>
        <w:t xml:space="preserve">Persona clave</w:t>
      </w:r>
      <w:r>
        <w:t xml:space="preserve">: el fundador dirige desde 1997 sin sucesión escrita [23].</w:t>
      </w:r>
    </w:p>
    <w:p>
      <w:pPr>
        <w:pStyle w:val="Heading2"/>
      </w:pPr>
      <w:r>
        <w:t xml:space="preserve">Qué tiene que pasar para que la tesis funcione</w:t>
      </w:r>
    </w:p>
    <w:p>
      <w:pPr>
        <w:spacing w:after="100"/>
      </w:pPr>
      <w:r>
        <w:t xml:space="preserve">La tesis depende de que el crecimiento a tipos constantes (+10,2 % en el 1T) llegue en euros por encima del 6 % y de que el margen EBITDA se mantenga en el 12 %. La señal de que no se cumple: un semestre con ventas en euros por debajo del +4 % o un margen por debajo del 11 %, o cualquier cambio en el contrato con Turkish Airlines.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en euros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(1T FY2026/27)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cuánto se come la lira.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 (1T)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proyectado.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primer cliente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neta financiera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M (junio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Colchón para el capex de Estambul.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Vender por encima de 253,16 EUR.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8,5x / 7,5x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19,4x / 16,1x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Attila Doğudan abrió en 1981 un puesto de comida en la Kärntner Strasse de Viena y en pocos años pasó al catering de eventos (Fórmula 1 desde 1992) y al de aerolíneas (Lauda Air, Austrian) [1]. Salió a la Bolsa de Viena en 1998 y a la de Estambul en 2010; la alianza con Turkish Airlines (THY DO &amp; CO, al 50 %) desde 2007 le dio escala en su mayor centro de producción [1, 16]. Tras perder la licitación de British Airways en Londres y el contrato de Turkish en 2017 —que recuperó en 2018-2019 con un acuerdo de 15 años [16, 17]—, la pandemia hundió las ventas a 253 M EUR en FY2021. Desde entonces se ha triplicado por encima de 2019: contratos de Delta en EE. UU., British Airways en Heathrow e Iberia en Madrid, la Eurocopa de 2024 y el Mundial de 2026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local en Viena (Kärntner Strasse)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Catering del Paddock Club de la Fórmula 1 (relación de más de 34 años)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Viena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THY DO &amp; CO con Turkish Airlines (50 %)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cotización en la Bolsa de Estambul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Turkish anuncia que deja a DO &amp; CO y negocia con SATS; vuelve atrás y firma en 2019 un acuerdo de 15 años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ventas de 253 M EUR en FY2021, préstamos de 300 M y convertible de 100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del bono (de 9,74 a 10,98 M de acciones) y entrada de Delta y British Airways a gran escala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Mundial de fútbol (20 partidos, 70.000 invitados VIP) y obra de la cocina de 150.000 m² en Estambul</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DO &amp; CO es un caterer de gama alta con tres divisiones: catering aéreo (79,2 % de las ventas de FY2026), catering de eventos internacionales (13,1 %) y restaurantes, salas VIP y hoteles (7,6 %) [1]. Produce en 33 cocinas de aeropuerto para más de 60 aerolíneas (Turkish, British Airways, Delta, Iberia, Emirates, Qatar, Singapore, Cathay, Austrian, LOT, JetBlue…), lleva el Paddock Club de la Fórmula 1 y los estadios del Bayern de Múnich, y tiene marcas propias de consumo (Demel, Henry, Hédiard) [1]. Por origen de las ventas, Turquía pesa el 31,0 %, Reino Unido el 23,4 % y EE. UU. el 21,3 % [1].</w:t>
      </w:r>
    </w:p>
    <w:p>
      <w:pPr>
        <w:pStyle w:val="Heading2"/>
      </w:pPr>
      <w:r>
        <w:t xml:space="preserve">Cómo gana dinero</w:t>
      </w:r>
    </w:p>
    <w:p>
      <w:pPr>
        <w:spacing w:after="100"/>
      </w:pPr>
      <w:r>
        <w:t xml:space="preserve">Cobra por comida servida a bordo, por manipulación y logística en el avión y por la infraestructura de la cocina. Los contratos con aerolíneas son a varios años y una parte es de «coste más margen» (cost-plus): la empresa traslada la inflación de alimentos y salarios y protege el margen, a cambio de no capturar todo el alza [1]. El margen depende sobre todo del uso de las cocinas (volumen por planta) y del peso de las clases premium. Los costes son variables en su mayor parte (aprovisionamientos 39,3 % y personal 34,9 % de las ventas), de modo que una caída de vuelos —como la de los vuelos del Golfo en marzo de 2026— apenas tocó el margen [1]. El margen EBIT es mayor en eventos (10,4 %) y restauración (10,1 %) que en aerolíneas (8,2 %) [1]. Estacionalidad: el 1S fiscal (abril-septiembre) es el más fuerte por el verano y la Fórmula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Airline Catering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 Event Catering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Restaurants, Lounges &amp; Hotels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Airline Catering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 Event Catering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Restaurants, Lounges &amp; Hotels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dos clientes superan cada uno el 10 % de las ventas, con 602,7 M EUR (24,5 %) y 354,2 M (14,4 %) en FY2026 [1]; por su peso en Turquía (713 M de catering aéreo) y Reino Unido (413 M), son Turkish Airlines y casi con seguridad British Airways (estimación propia: la empresa no los nombra). Turkish es además socio al 50 % de THY DO &amp; CO, la filial que facturó 762 M y ganó 64,0 M después de impuestos (47 % del beneficio del grupo) [1]. El contrato de Turkish se renovó en 2019 por 15 años [16], tras un intento de cambio de proveedor en 2017 [17]. Poder de precios: en FY2026 el margen EBIT subió 0,6 puntos con los aprovisionamientos bajando 2 puntos sobre ventas pese a la inflación turca, y los contratos cost-plus trasladan costes [1]. Hay contratos con cláusula de cambio de control que permiten al cliente rescindir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tipos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1T27 creció un 10,2 % a tipos constantes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8,8 % en el 1T27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nuevos o renovados en catering aéreo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en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 Lingus, Air Canada, ANA, Cathay, EVA, Etihad…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(equivalentes a tiempo completo, media)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16.470 en el 1T27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dos primeros clientes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602,7 M y 354,2 M de ventas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(con arrendamientos)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−0,07 (caja neta) en junio de 2026 [1,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catering aéreo mundial (comida a bordo y venta a bordo, sin restauración en aeropuertos ni catering de eventos), que es el 79 % de las ventas de DO &amp; CO. Usamos la cifra de Roland Berger (19.500 M EUR en 2025), que incluye la venta a bordo (16 %); Market Intelo da 18.600 M USD (≈ 16.600 M EUR) con un perímetro parecido [13, 14]. El catering de eventos de lujo y las salas VIP no tienen un tamaño de mercado fiable publicado.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19.500 M EUR en 2025, 25.700 M EUR en 2030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Pasajeros aéreos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IATA espera un récord de pasajeros y 41.000 M USD de beneficio para las aerolíneas en 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 de las cabinas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clases premium crecen más que la turista y suben el gasto por pasajero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a bordo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+7,9 % anual hasta 2030 frente a +5,2 % de la comida a bordo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las cocinas de las aerolíneas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Lufthansa vendió LSG; gategroup compró su negocio europeo (1.100 M EUR de ventas)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 y crisis geopolíticas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guerra de Irán cerró el Golfo en marzo de 2026: ≈ 40 M de ventas perdidas para DO &amp; CO según analistas; la empresa habla de efecto limitado en el margen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laboral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personal pasó del 33,9 % al 34,9 % de las ventas de DO &amp; CO en FY2026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Licitaciones por aeropuerto cada 3-7 años; gategroup (25-30 % del mercado) y LSG (10-15 %) compiten en precio en la turista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aerolíneas grandes por centro; en DO &amp; CO dos clientes son el 39 % de las ventas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Alimentos y bebidas fragmentados; contratos cost-plus trasladan la inflación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una cocina de miles de m² en el aeropuerto, licencias y seguridad alimentaria certificada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aerolíneas pueden reducir el servicio en corto radio (venta a bordo), pero no en largo radio premium</w:t>
            </w:r>
          </w:p>
        </w:tc>
      </w:tr>
    </w:tbl>
    <w:p>
      <w:pPr>
        <w:spacing w:after="160" w:before="0"/>
      </w:pPr>
    </w:p>
    <w:p>
      <w:pPr>
        <w:pStyle w:val="Heading2"/>
      </w:pPr>
      <w:r>
        <w:t xml:space="preserve">Ciclo</w:t>
      </w:r>
    </w:p>
    <w:p>
      <w:pPr>
        <w:spacing w:after="100"/>
      </w:pPr>
      <w:r>
        <w:t xml:space="preserve">Las aerolíneas tienen márgenes récord (IATA: 41.000 M USD en 2026) y siguen ampliando rutas y clases premium [1]. El catering aéreo cayó con los vuelos en 2008-09 (moderado) y en 2020 se hundió: DO &amp; CO perdió el 73 % de las ventas en FY2021 [12 de A: cuentas]. En 2022-23 se recuperó con el tráfico y la inflación (contratos cost-plus). El riesgo inmediato es el combustible: con la guerra de Irán, las aerolíneas «reaccionan de forma distinta» a los precios del queroseno y algunas recortan servicio [1].</w:t>
      </w:r>
    </w:p>
    <w:p>
      <w:pPr>
        <w:pStyle w:val="Heading2"/>
      </w:pPr>
      <w:r>
        <w:t xml:space="preserve">Regulación</w:t>
      </w:r>
    </w:p>
    <w:p>
      <w:pPr>
        <w:spacing w:after="100"/>
      </w:pPr>
      <w:r>
        <w:t xml:space="preserve">Seguridad alimentaria (normas de la UE, FDA en EE. UU.) y seguridad aeroportuaria; prohibiciones de plásticos de un solo uso y residuos de cabina en la UE; normas de información de sostenibilidad (CSRD) que DO &amp; CO ya aplica [1]. Aduanas y licencias de cada aeropuerto. En Turquía, la contabilidad de hiperinflación (IAS 29) seguirá mientras la inflación acumulada a tres años supere el 100 % [1].</w:t>
      </w:r>
    </w:p>
    <w:p>
      <w:pPr>
        <w:pStyle w:val="Heading2"/>
      </w:pPr>
      <w:r>
        <w:t xml:space="preserve">Tendencias y disrupción</w:t>
      </w:r>
    </w:p>
    <w:p>
      <w:pPr>
        <w:spacing w:after="100"/>
      </w:pPr>
      <w:r>
        <w:t xml:space="preserve">Premiumización (más gasto por pasajero en clases altas), digitalización de pedidos a bordo, automatización de cocinas y consolidación (gategroup con LSG Europa, Aurelius vendiendo partes de LSG) [13, 18]. DO &amp; CO gana con la premiumización: se posiciona como «el mejor restaurante a 39.000 pies» y Turkish ha ganado premios de comida a bordo con ella [1]. Pierde si las aerolíneas recortan servicio por el combustible.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3.º-4.º del mundo en catering aéreo (≈ 10 %: 1.950 M EUR de 19.500 M), detrás de gategroup (25-30 %) y LSG (10-15 %), a la par de dnata; líder en catering premium y en el Paddock Club de la F1 [1,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gategroup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(Gate Gourmet); EBITDA 467 M en 2025 (8,3 %), deuda neta 3,25 veces el EBITDA; estudia salir a bolsa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LSG Group (Aurelius)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LSG Sky Chefs de Lufthansa; vendido por partes [13,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Compass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Restauración colectiva; compite en eventos y estadios. Ventas de 12 meses 48.485 M USD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Sodexo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Restauración colectiva y hospitalidad deportiva (Sodexo Live)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SSP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SSPG.L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Restauración en aeropuertos y estaciones (competidor de la división de restaurantes)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Çelebi Aviation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Turquía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CLEBI.IS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Asistencia en tierra; el único comparable turco del ecosistema aeroportuario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Llevar a una aerolínea en un centro facilita ganarla en otros (Emirates en tres sedes renovadas por cinco años)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caterer en un centro grande exige otra cocina y certificaciones; Turkish intentó irse en 2017 y volvió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gama alta: margen EBIT de 8,6 % frente al 8,3 % de EBITDA de gategroup [3, 4]; premios Skytrax de comida a bordo para sus clientes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el más barato; compite por calidad. Contratos cost-plus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cada aeropuerto caben una o dos cocinas rentables; Estambul (centro de Turkish) es suyo hasta ≈ 2034 [5]</w:t>
            </w:r>
          </w:p>
        </w:tc>
      </w:tr>
    </w:tbl>
    <w:p>
      <w:pPr>
        <w:spacing w:after="160" w:before="0"/>
      </w:pPr>
    </w:p>
    <w:p>
      <w:pPr>
        <w:pStyle w:val="Heading2"/>
      </w:pPr>
      <w:r>
        <w:t xml:space="preserve">Amenazas</w:t>
      </w:r>
    </w:p>
    <w:p>
      <w:pPr>
        <w:spacing w:after="100"/>
      </w:pPr>
      <w:r>
        <w:t xml:space="preserve">La principal es un cliente: Turkish Airlines genera ≈ 24,5 % de las ventas y es dueña del 50 % de la filial que da casi la mitad del beneficio; en 2017 anunció que se iba [1, 17]. Le sigue la presión de precios en licitaciones con gategroup y LSG en EE. UU. y Europa, y el recorte de servicio a bordo si el combustible sigue caro. Probabilidad de pérdida de un gran cliente en 3 años: baja (el contrato turco llega a ≈ 2034 [16]), pero de alto impacto.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FY2021-FY2026: ingresos </w:t>
      </w:r>
      <w:r>
        <w:rPr>
          <w:b/>
          <w:bCs/>
        </w:rPr>
        <w:t xml:space="preserve">57,6 %</w:t>
      </w:r>
      <w:r>
        <w:t xml:space="preserve">, EBITDA </w:t>
      </w:r>
      <w:r>
        <w:rPr>
          <w:b/>
          <w:bCs/>
        </w:rPr>
        <w:t xml:space="preserve">46,8 %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253,5 M EUR en FY2021 (abril 2020-marzo 2021, aviación parada) a 2.461,6 M en FY2026: el FY2022 y el FY2023 son de recuperación y no sirven como base [12]. Desde FY2023 el crecimiento es orgánico (no hay compras): +28,2 % en FY2024, +26,3 % en FY2025 y +7,1 % en FY2026, este último frenado por la lira: a tipos constantes fue +17,6 % [1]. El margen EBITDA subió de 10,1 % (FY2023) a 12,2 % (FY2026) y el EBIT de 6,0 % a 8,6 %: los aprovisionamientos bajaron del 41,3 % al 39,3 % de las ventas en FY2026 mientras el personal subía del 33,9 % al 34,9 % [1]. El resultado financiero mejora de −36,4 M a −21,8 M por la amortización de préstamos y el cobro de intereses de la caja, pero sigue cargado por la pérdida monetaria de NIIF (IAS) 29 en Turquía: sin IAS 29 habría sido de +7,4 M [1]. En el 1T FY2027 (abril-junio 2026) las ventas crecieron un 5,0 % (10,2 % a tipos constantes) y el beneficio atribuido un 16,3 %, con la guerra de Irán restando ventas con aerolíneas del Golfo [5, 6].</w:t>
      </w:r>
    </w:p>
    <w:p>
      <w:pPr>
        <w:pStyle w:val="Heading2"/>
      </w:pPr>
      <w:r>
        <w:t xml:space="preserve">Ajustes y partidas no recurrentes</w:t>
      </w:r>
    </w:p>
    <w:p>
      <w:pPr>
        <w:spacing w:after="100"/>
      </w:pPr>
      <w:r>
        <w:t xml:space="preserve">Usamos las cifras publicadas. La única partida que distorsiona es la hiperinflación turca (IAS 29, desde el 1T FY2023): en FY2026 sumó 91,6 M de ventas, 12,9 M de EBITDA y 6,0 M de EBIT, pero restó 29,2 M del resultado financiero, de modo que el beneficio antes de impuestos fue 23,2 M menor que sin ella (190,5 M frente a 213,7 M) [1]. No la quitamos del BPA porque se repite cada año mientras Turquía sea hiperinflacionaria y no tiene salida de caja; es prudente: el BPA sin IAS 29 sería ≈ 1,1-1,4 EUR mayor (estimación propia, con el 50 % de la filial turca para minoritarios). En FY2026 se condonaron 3,45 M de préstamos COVID pasados a gastos de personal [1]. El BPA diluido de FY2022 publicado (1,29) supera al básico (1,13) por el convertible: usamos 1,13.</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del ejercicio fiscal (abril-marzo): 1T27 = abril-junio de 2026. El 4T se obtiene restando los nueve meses del año completo [1, 7, 10]. En la presentación anual (11-jun-2026) la dirección destacó el récord de EBITDA (300,6 M) y EBIT (212,3 M), la deuda neta casi nula (0,05 veces el EBITDA) y 15 clientes nuevos o renovados en catering aéreo, y avisó de que la guerra de Irán (desde el 28-feb-2026) cerraba espacios aéreos del Golfo y cancelaba los grandes premios de Bahréin y Arabia Saudí [1]. En el 1T27 (12-ago-2026) el mensaje cambió de «crecimiento muy fuerte» a «crecimiento cualitativo»: ventas +5,0 % (10,2 % a tipos constantes), margen EBIT del 8,8 %, beneficio +16,3 %, contratos nuevos con American Airlines (hasta 22 vuelos diarios) y Air India en Heathrow desde septiembre, Emirates en Boston y Air Canada en Los Ángeles desde octubre, y el Mundial de 2026 (20 partidos) como escaparate en EE. UU.; dijo que las ventas perdidas en Oriente Medio vuelven «en unas semanas» y que un programa de optimización dará frutos «en los próximos trimestres» [5, 6]. La empresa no publica una guía numérica de ventas o margen en esos documentos: solo que espera cumplir «sus objetivos» si el mercado se mantiene estable [6]. No hemos accedido a la transcripción de las conferencias (hueco).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financiera (préstamos y bono menos caja) pasó de 174,5 M en FY2021 a caja neta de 226,1 M en FY2026; incluyendo arrendamientos, la deuda neta publicada fue de 14,9 M (0,05 veces el EBITDA) y a junio de 2026 caja neta de 21,0 M [1, 5]. El circulante comercial (existencias + clientes − proveedores) es del 4,9 % de las ventas en FY2026 frente al 3,6 % en FY2024: los cobros de aerolíneas se alargan algo más que los pagos a proveedores. El capital circulante total publicado es casi nulo (7,0 M) porque otros pasivos corrientes (personal, impuestos) lo compensan [1]. El balance ya no limita el crecimiento: el patrimonio total (570,5 M) es el 45 % del activo.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FY2021-FY2026: FCF </w:t>
      </w:r>
      <w:r>
        <w:rPr>
          <w:b/>
          <w:bCs/>
        </w:rPr>
        <w:t xml:space="preserve">289</w:t>
      </w:r>
      <w:r>
        <w:t xml:space="preserve">, conversión </w:t>
      </w:r>
      <w:r>
        <w:rPr>
          <w:b/>
          <w:bCs/>
        </w:rPr>
        <w:t xml:space="preserve">107 %</w:t>
      </w:r>
      <w:r>
        <w:t xml:space="preserve"> del beneficio neto; adquisiciones 0, dividendos 33, recompras 0.</w:t>
      </w:r>
    </w:p>
    <w:p>
      <w:pPr>
        <w:spacing w:after="100"/>
      </w:pPr>
      <w:r>
        <w:t xml:space="preserve">El flujo operativo de FY2026 (244,1 M) es 1,8 veces el beneficio después de impuestos (137,3 M): la amortización (88,4 M) y la pérdida monetaria de IAS 29, que no es caja, lo explican [1]. La inversión en inmovilizado bajó a 51,9 M (2,1 % de las ventas) tras dos años de 70-76 M por las cocinas de EE. UU. y Reino Unido; con las altas de derechos de uso (33,6 M) la inversión total fue de 82,6 M, el 3,4 % de las ventas, frente a una amortización del 3,6 % [1]. Los pagos de principal de arrendamientos de FY2025-FY2026 salen de la conciliación de pasivos financieros (devoluciones menos préstamos) [1]; los de FY2021-FY2024 son estimación propia con el mismo criterio [3, 4]. La empresa no separa mantenimiento y crecimiento; estimamos el mantenimiento en torno a la amortización del inmovilizado propio (≈ 2 % de las ventas). Para FY2027 hay que contar con la nueva cocina de Estambul (150.000 m², obra iniciada en enero de 2026) [1], cuyo importe no se publica (hueco). Los dividendos de FY2025 en el XBRL son solo 1,0 M a los accionistas de la matriz [12].</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Austria GmbH Wirtschaftsprüfungs- und Steuerberatungsgesellschaft</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fiables y conservadoras en lo que importa. KPMG firma sin salvedades [1]. No hay capitalización de gastos de desarrollo ni remuneración en acciones; el fondo de comercio es casi nulo (intangibles de 23 M) porque el crecimiento es orgánico. Lo que más distorsiona la lectura es la NIIF 29 (hiperinflación turca): en FY2026 sumó 91,6 M de ventas y 12,9 M de EBITDA, pero restó 29,2 M al resultado financiero, así que el beneficio antes de impuestos sin ella habría sido de unos 213,7 M frente a 190,5 M publicados [1]. Usamos el BPA publicado porque el ajuste se repite cada año. El tipo impositivo del 27,9 % también lo infla la parte turca. Los indicadores del motor no dan alarmas: Altman Z de 4,91 (zona segura), Piotroski de 9 sobre 9 y Beneish de −2,99 (lejos de manipulación). El flujo operativo de FY2026 dobla el beneficio, pero incluye 33,8 M de alquileres que con NIIF 16 se pagan en la financiación.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NIIF 29 (hiperinflación turca) en ventas y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FY2026 sumó 91,6 M de ventas y 12,9 M de EBITDA y restó 29,2 M al resultado financiero [1]; complica comparar años.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Alquileres a partes vinculadas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 M a sociedades del fundador [1]; pequeño frente a 2.462 M de ventas.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Minoritarios del 50 % en THY DO &amp; CO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23 % del beneficio después de impuestos va a Turkish Airlines; usamos el atribuible.</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180,2 % · </w:t>
      </w:r>
      <w:r>
        <w:rPr>
          <w:b/>
          <w:bCs/>
        </w:rPr>
        <w:t xml:space="preserve">WACC</w:t>
      </w:r>
      <w:r>
        <w:t xml:space="preserve">: 9,3 %.</w:t>
      </w:r>
    </w:p>
    <w:p>
      <w:pPr>
        <w:spacing w:after="100"/>
      </w:pPr>
      <w:r>
        <w:t xml:space="preserve">DO &amp; CO crea valor desde FY2023: el ROIC pasó del 5,2 % en FY2022 al 13,3 % en FY2023 y al 25,1 % en FY2026, frente a un WACC del 9,32 %, unos 15,8 puntos de diferencia. Lo mueve la rotación, no el margen: las ventas casi se duplicaron sobre un capital invertido casi igual (606 M en FY2026 frente a 480 M en FY2022), y la rotación pasó de 0,8 a 2,0 veces, con un margen EBITDA estable del 11-12 %. El ROIC incremental (180 % entre FY2021 y FY2026) está inflado por la salida de la pandemia y no es repetible; la referencia útil es el 23-25 % de los dos últimos años. No hay fondo de comercio que excluir. Frente a los competidores gana en margen: gategroup tuvo un EBITDA del 8,3 % en 2025 [15] y Compass, Sodexo y Aramark, del 5 al 8 % [30]; los arrendamientos de cocinas están dentro del capital invertido.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269,1 M EUR a 30-jun-2026 frente a 248,1 M de pasivos financieros, de los que unos 235 M son arrendamientos y unos 13 M préstamos: caja neta de 21,0 M incluyendo arrendamientos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Préstamos: los créditos de 300 M tomados en el 4T FY2020 para la pandemia se han devuelto casi enteros (171,8 M en FY2025 y 66,2 M en FY2026); quedan 14,7 M [1, 3]. El convertible de 100 M (2021-2026) se convirtió en acciones en FY2024 (81,1 M nominales, +2,02 M de capital): de ahí el paso de 9,744 a 10,983 M de acciones [3]. Arrendamientos (NIIF 16, sobre todo cocinas en aeropuertos y oficinas): 241,0 M a marzo de 2026 (204,8 M a largo y 36,2 M a corto) [1]. Provisiones por indemnizaciones y pensiones (Abfertigung, NIIF): 26,2 M [1]. Garantías (alquileres, aduanas, avales): 16,5 M de pasivos contingentes [1]. Hay contratos con clientes con cláusula de cambio de control que les permite resolverlos (no se nombran) [1]. Los minoritarios (89,8 M en libros) son el 50 % de Turkish Airlines en THY DO &amp; CO, que se lleva el 23 % del beneficio después de impuestos del grupo [1].</w:t>
      </w:r>
    </w:p>
    <w:p>
      <w:pPr>
        <w:pStyle w:val="Heading1"/>
      </w:pPr>
      <w:r>
        <w:t xml:space="preserve">12. Asignación de capital</w:t>
      </w:r>
    </w:p>
    <w:p>
      <w:pPr>
        <w:pStyle w:val="Confianza"/>
        <w:spacing w:after="100"/>
      </w:pPr>
      <w:r>
        <w:t xml:space="preserve">Confianza: Media</w:t>
      </w:r>
    </w:p>
    <w:p>
      <w:pPr>
        <w:spacing w:after="100"/>
      </w:pPr>
      <w:r>
        <w:t xml:space="preserve">La política de dividendos se fija según el beneficio del grupo, sin porcentaje publicado [1]: 1,00 EUR por FY2023, 1,50 por FY2024, 2,00 por FY2025 y 2,50 por FY2026, un 26 % del BPA. No hay recompras ni autocartera. La prioridad declarada fue reducir deuda: los préstamos bancarios bajaron de 382 M en FY2021 a 14,7 M en FY2026 y la caja neta financiera es de 226 M [1, 2]. El bono convertible de 100 M de 2021 se convirtió casi entero en 2024-2025, de ahí el paso de 9,78 a 10,98 M de acciones (+12 %) [1]. La inversión va a cocinas nuevas (Estambul, Estados Unidos, Londres)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 dirección asigna bien el capital: crece sin compras (cero adquisiciones relevantes en diez años; en FY2026 solo sociedades sin actividad para las tiendas de aeropuerto) [1], ha pasado de deuda neta a caja y reparte un dividendo creciente que absorbe un tercio del flujo libre. Entre FY2021 y FY2026 generó 289 M de flujo libre acumulado y pagó 33 M de dividendos. La única dilución vino de convertir el bono de 2021 (+12 % de acciones), que salvó el balance en la pandemia y que la subida de la acción ha hecho barato. Lo que falta: con 269 M de caja y casi sin deuda, no hay recompra ni dividendo extraordinario; si la caja sigue creciendo sin contratos nuevos, rebajaría el ROE.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Attila Doğudan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del consejo de administración (Vorstand,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la empresa en 1981 y la dirige desde entonces; su fundación privada tiene el 30,03 %. Llevó las ventas de 253 M EUR (FY2021) a 2.462 M (FY2026) y el margen EBIT del 6,0 % (FY2023) al 8,6 % [1]. Mandato renovado hasta el 31-jul-2029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Johannes Echeverria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desde septiembre de 2023; bajo su mandato se devolvieron 238 M de préstamos y la deuda neta con arrendamientos pasó de 216 M a caja neta [1]. Renovado hasta agosto de 2029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Bettina Höfinger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jurídica (CLO)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desde septiembre de 2023; compró 400 acciones a 137,20 EUR en abril de 2025 [24]. Renovada hasta agosto de 2029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Attila Mark Doğudan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(CCO)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fundador, en el consejo desde junio de 2021; responsable de la captación de aerolíneas (15 clientes nuevos o renovados en FY2026) [1]. Renovado hasta junio de 2030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Andreas Bierwirth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vigilancia (Aufsichtsrat)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 representa al capital flotante; antiguo directivo de aerolíneas, consejero de Finnair. Reelegido en julio de 2026 con un 31,9 % de votos en contra [1,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 creciendo con foco en margen; sin cifra en el informe anual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+7,1 % (+17,6 % a tipos constantes), margen EBIT 8,6 %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 (retribución)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del variable: margen EBIT &gt; 8,0 % y deuda neta/EBITDA &lt; 0,5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8,6 % y 0,05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Cumplir «los objetivos» si el mercado se mantiene estable (1T27)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1T27: ventas +5,0 %, margen EBIT 8,8 %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con un fundador que manda desde 1997, tiene el 30,03 % a través de su fundación y está renovado hasta julio de 2029 [23]: alineación alta y riesgo de persona clave, porque la relación con Turkish Airlines y los grandes clientes pasa por él. El consejo se renovó en 2023 con un CFO y una directora jurídica que llevaron la vuelta a caja neta [1]. La retribución es moderada (1,64 M EUR el CEO, 31 veces el coste medio por empleado) y va ligada a margen EBIT, deuda y ROCE, métricas que el accionista entiende [20]. Las operaciones de directivos son pequeñas: una compra de 400 acciones de la CLO en 2025 y una venta de 786 de un consejero en febrero de 2025 [24, 25]. La sucesión no está escrita: el hijo del fundador es director comercial.</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Andreas Bierwirth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vigilancia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comisiones 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Hoffmann-Ostenhof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primero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Cem Kozlu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segundo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 consejero de Pegasus Airlines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Daniela Neuberger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Attila Doğudan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dirección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Johannes Echeverria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Bettina Höfinger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Attila Mark Doğudan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CCO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Attila Dogudan Privatstiftung (fundación del fundador y 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12 meses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 (Viena y Estambul)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Sistema dual austriaco: el consejo de vigilancia fija el sueldo del consejo de dirección. El variable anual (STI) es el 80 % del fijo y en FY2026 dependió del margen EBIT (&gt; 8,0 %, 40 %), de la deuda neta/EBITDA (&lt; 0,5, 40 %) y de dos objetivos ESG (20 %); se cumplieron todos [20]. El variable a largo (LTI) es el 20 % del fijo y exige un ROCE superior al 25 % en FY2027-FY2029 [20]. Cada variable tiene un tope del 100 % del fijo y hay cláusula de recuperación (clawback, regla C-27 del código austriaco) [20]. El CEO cobró 1,64 M EUR en FY2026 (0,80 M fijo, 0,15 M en especie, 0,63 M variable de FY2025), unas 31 veces el coste medio por empleado (52.300 EUR) [1, 20]. No hay pagos en acciones ni pensiones; la indemnización es de tres meses de sueldo [1]. El informe de remuneraciones obtuvo un 93,5 % a favor en 2026 (6,5 % en contra; ≈ 11 % sobre el capital libre presente) frente al 98,5 % de 2025 [21, 22]. Los objetivos son exigentes en margen y deuda, pero no en crecimiento.</w:t>
      </w:r>
    </w:p>
    <w:p>
      <w:pPr>
        <w:pStyle w:val="Heading2"/>
      </w:pPr>
      <w:r>
        <w:t xml:space="preserve">Operaciones vinculadas, estructura de control y defensas</w:t>
      </w:r>
    </w:p>
    <w:p>
      <w:pPr>
        <w:spacing w:after="100"/>
      </w:pPr>
      <w:r>
        <w:t xml:space="preserve">La fundación del fundador tiene el 30,03 % y, con una asistencia del 73 % a la junta, controla de hecho el 41 % de los votos: decide en la práctica las juntas [1, 21]. Una acción, un voto, sin clases [1]. Los estatutos permiten cambiarlos por mayoría simple (no el 75 % legal) salvo en ampliaciones o reducciones de capital, lo que da más poder al accionista de control [1]. Hay autorización para ampliar capital hasta un 10 % sin derecho de suscripción y para recomprar hasta un 10 % [1]. Algunos clientes pueden rescindir contratos si cambia el control, lo que dificulta una opa hostil [1]. Partes vinculadas: 5,9 M EUR de alquileres a sociedades vinculadas a consejeros en FY2026 [1]. La reelección del presidente del consejo de vigilancia recibió un 31,9 % de votos en contra (≈ 54 % del capital libre presente) [21].</w:t>
      </w:r>
    </w:p>
    <w:p>
      <w:pPr>
        <w:pStyle w:val="Heading2"/>
      </w:pPr>
      <w:r>
        <w:t xml:space="preserve">Señales de alerta</w:t>
      </w:r>
    </w:p>
    <w:p>
      <w:pPr>
        <w:pStyle w:val="ListParagraph"/>
        <w:numPr>
          <w:ilvl w:val="0"/>
          <w:numId w:val="2"/>
        </w:numPr>
        <w:spacing w:after="60"/>
      </w:pPr>
      <w:r>
        <w:t xml:space="preserve">Reelección del presidente del consejo de vigilancia (A. Bierwirth) con un 31,9 % en contra y, descontando la fundación del fundador, ≈ 54 % del capital libre presente en contra [21].</w:t>
      </w:r>
    </w:p>
    <w:p>
      <w:pPr>
        <w:pStyle w:val="ListParagraph"/>
        <w:numPr>
          <w:ilvl w:val="0"/>
          <w:numId w:val="2"/>
        </w:numPr>
        <w:spacing w:after="60"/>
      </w:pPr>
      <w:r>
        <w:t xml:space="preserve">Sucesión: el fundador (67 años) sigue de CEO hasta 2029 y su hijo es director comercial; no hay plan de sucesión público [1, 23].</w:t>
      </w:r>
    </w:p>
    <w:p>
      <w:pPr>
        <w:pStyle w:val="ListParagraph"/>
        <w:numPr>
          <w:ilvl w:val="0"/>
          <w:numId w:val="2"/>
        </w:numPr>
        <w:spacing w:after="60"/>
      </w:pPr>
      <w:r>
        <w:t xml:space="preserve">Alquileres a sociedades vinculadas a consejeros: 5,9 M EUR en FY2026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 analistas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258,06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El objetivo medio que publica la empresa pasó de 241,56 EUR (dic-2025) a 255,52 (mar-2026) y 258,07 (jun-2026) [1, 5]; MarketScreener da 258,06 con consenso «Comprar» de 8 analistas [27]. En mayo de 2026 al menos un analista recortó de 266 a 250 EUR por el riesgo del estrecho de Ormuz [36]. Las estimaciones de BPA de FY2027 (11,24 EUR) suponen +16,7 % sobre FY2026; Yahoo da 11,38 [30]. Solo hay una fuente con estimaciones completas; el objetivo y las recomendaciones se contrastan con la empresa.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19,1 % anual en cinco años frente al 11,9 % del ATX, pero en el último año cae un 11,0 % mientras el ATX (bancos y energía) sube un 41,6 % [26]. La caída de 2025-26 tiene tres causas con fecha: la devaluación de la lira (−19,9 % frente al euro en FY2026, que dejó el crecimiento en euros en el 7,1 %) [1], la guerra de Irán (−13,6 % el 2-mar-2026, la mayor caída diaria del año) [26] y la desaceleración de las ventas en euros desde el 3T26 (−2,0 %). Máximo histórico de 235 EUR en 2025 y mínimo de 52 semanas de 160 EUR el 23-mar-2026 [1, 26]. Índice sectorial: ETF de viajes y ocio europeo (EXV9). Cotiza además en Estambul (DOCO), donde se negocia algo menos que en Viena [1].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Cierres de ejercicio de Viena de bolsa.mjs [26] y BPA publicados [1]. FY2021 y FY2022 se excluyen: el beneficio de la pandemia (pérdidas o casi cero) da PER sin sentido. Desde FY2023 el PER adelantado ha bajado de 22,7 a 14,1 veces porque el beneficio creció más que la acción: el precio subió de 76 a 195 EUR, pero el BPA pasó de 1,13 a 9,63. Hoy, a 16,9 veces nuestro BPA de FY2027e, cotiza en su mediana de cinco años.</w:t>
      </w:r>
    </w:p>
    <w:p>
      <w:pPr>
        <w:pStyle w:val="Heading1"/>
      </w:pPr>
      <w:r>
        <w:t xml:space="preserve">18. Comparables cotizados</w:t>
      </w:r>
    </w:p>
    <w:p>
      <w:pPr>
        <w:pStyle w:val="Confianza"/>
        <w:spacing w:after="100"/>
      </w:pPr>
      <w:r>
        <w:t xml:space="preserve">Confianza: Media</w:t>
      </w:r>
    </w:p>
    <w:p>
      <w:pPr>
        <w:spacing w:after="100"/>
      </w:pPr>
      <w:r>
        <w:t xml:space="preserve">Grupos cotizados de restauración colectiva y de viaje (Compass, Sodexo, Aramark, Elior, SSP, Avolta) y Çelebi (servicios de aeropuerto en Turquía). No cotiza ningún catering aéreo puro: gategroup y LSG son privadas. Cifras de Yahoo Finance pasadas a EUR con los tipos del BCE del 14-oct-2026 [29,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Compass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Sodexo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Aramark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Elior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SSP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Avolta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Çelebi Aviation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10,8x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14,0x / 18,8x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1,0x / 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DO &amp; CO cotiza a 8,5 veces el EBITDA de los últimos 12 meses y a 16,1 veces el BPA de los próximos 12 meses, con más margen EBITDA (12,2 %) que todos los comparables salvo Avolta y SSP, más crecimiento y caja neta. Compass, Aramark y Sodexo cotizan a 16,7-19,7 veces el PER adelantado, con márgenes de 5-8 % y deuda de 2-4 veces el EBITDA; Elior, SSP y Avolta están más baratas (5,7-11,3 veces) por su deuda. La mediana (14 veces) castiga a DO &amp; CO porque mezcla empresas endeudadas: por EV/EBITDA, con la mediana del grupo, saldría a 259,86 EUR. Pesan un 20 %.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Vermaat Groep (catering y restauración, Países Bajos)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Compass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 1.500 M EUR con ventas previstas de ≈ 700 M en 2025 y margen operativo de dos dígitos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Worldwide Flight Services (asistencia de carga aérea)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9,7 veces el EBITDA de 232 M antes de sinergias [31]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Areas (restauración en aeropuertos y autopistas)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PAI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1.832 M en 2017/18; EBITDA de ≈ 200 M antes de NIIF 16 según Reuters [33]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gategroup (catering aéreo, cotizada)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HNA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53 CHF por acción (≈ 1.400 M CHF de capital), prima del 20,9 % sobre el cierre anterior; fuera del periodo de 5-7 años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LSG Sky Chefs Europa (≈ 1.100 M EUR de ventas)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gategroup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no publicado [B8]</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Sirven de contraste, no pesan: el fundador controla el 30 % y no hay operación a la vista. Las referencias (Vermaat a 2,1 veces ventas, WFS a 9,7 veces EBITDA, Areas a 7,5 veces EBITDA) dejan el EBITDA de DO &amp; CO a un múltiplo parecido al que paga hoy la bolsa (8,5 veces) [31, 32, 33].</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+7 % en FY2027e: el 1T creció un 5,0 % en euros y un 10,2 % a tipos constantes, con el Mundial dentro [5, 6]; +8 % en FY2028e con contratos nuevos en EE. UU. y la cocina de Estambul, y bajada gradual al 3,5 % en FY2033e. El mercado de catering aéreo crece un 5,6 % al año hasta 2030 [13]; DO &amp; CO lo supera por cuota, como en los últimos años [2, 8, 9, 11]. El consenso espera +7,9 % y +7,8 % [27].</w:t>
      </w:r>
    </w:p>
    <w:p>
      <w:pPr>
        <w:keepNext/>
        <w:spacing w:after="100"/>
      </w:pPr>
      <w:r>
        <w:rPr>
          <w:b/>
          <w:bCs/>
        </w:rPr>
        <w:t xml:space="preserve">Márgenes.</w:t>
      </w:r>
    </w:p>
    <w:p>
      <w:pPr>
        <w:spacing w:after="100"/>
      </w:pPr>
      <w:r>
        <w:t xml:space="preserve">Margen EBITDA del 12,3 % en FY2027e (12,2 % en FY2026 y 12,2 % en el 1T) que sube al 12,5 % por escala; no suponemos más porque las aerolíneas negocian a coste más margen [1, 5].</w:t>
      </w:r>
    </w:p>
    <w:p>
      <w:pPr>
        <w:keepNext/>
        <w:spacing w:after="100"/>
      </w:pPr>
      <w:r>
        <w:rPr>
          <w:b/>
          <w:bCs/>
        </w:rPr>
        <w:t xml:space="preserve">Inversión y circulante.</w:t>
      </w:r>
    </w:p>
    <w:p>
      <w:pPr>
        <w:spacing w:after="100"/>
      </w:pPr>
      <w:r>
        <w:t xml:space="preserve">Capex del 4,5 % de las ventas en FY2027-FY2028 por la nueva cocina de Estambul y del 3,8 % después, siempre por encima de la amortización del 3,6 %; incluye las altas de derechos de uso porque los arrendamientos de las cocinas van en el puente (NIIF 16) [1]. Circulante del 4,5 % de las ventas, como en FY2026.</w:t>
      </w:r>
    </w:p>
    <w:p>
      <w:pPr>
        <w:keepNext/>
        <w:spacing w:after="100"/>
      </w:pPr>
      <w:r>
        <w:rPr>
          <w:b/>
          <w:bCs/>
        </w:rPr>
        <w:t xml:space="preserve">Coste del capital.</w:t>
      </w:r>
    </w:p>
    <w:p>
      <w:pPr>
        <w:spacing w:after="100"/>
      </w:pPr>
      <w:r>
        <w:t xml:space="preserve">Tasa libre del 3,48 % (Bund a 10 años, 14-oct-2026) [28]; beta 1,0 (mensual de 5 años 0,93, semanal de 2 años 1,31) [26]; prima de mercado del 5,0 % y 1,5 puntos adicionales por Turquía (31 % de las ventas); coste de la deuda del 4,5 % y peso del 10 %. WACC del 9,32 %.</w:t>
      </w:r>
    </w:p>
    <w:p>
      <w:pPr>
        <w:keepNext/>
        <w:spacing w:after="100"/>
      </w:pPr>
      <w:r>
        <w:rPr>
          <w:b/>
          <w:bCs/>
        </w:rPr>
        <w:t xml:space="preserve">Valor terminal.</w:t>
      </w:r>
    </w:p>
    <w:p>
      <w:pPr>
        <w:spacing w:after="100"/>
      </w:pPr>
      <w:r>
        <w:t xml:space="preserve">Gordon con un 2,5 % de crecimiento (inflación más algo de tráfico aéreo); el valor terminal es el 68 % del valor. Múltiplo de salida de contraste: 9 veces el EBITDA.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212,64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322,88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 (reinvierte el 65 %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(histórico: 180,2 %)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 frente al 6,1 %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144 M, el 10 % del NOPAT, con un capex bruto medio del 4,1 % de las ventas). En un negocio de activos ligeros, el crecimiento medio del 6,1 %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pasajeros y el Mundial, precio por contratos indexados a coste; otros −2 % por la lira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nuevos en EE. UU. y Estambul a plena carga; la lira sigue restando.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encima del mercado (5,6 %) con cuota estable o algo mayor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Convergencia hacia el mercado.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mercado.</w:t>
            </w:r>
          </w:p>
        </w:tc>
      </w:tr>
    </w:tbl>
    <w:p>
      <w:pPr>
        <w:spacing w:after="160" w:before="0"/>
      </w:pPr>
    </w:p>
    <w:p>
      <w:pPr>
        <w:spacing w:after="100"/>
      </w:pPr>
      <w:r>
        <w:t xml:space="preserve">El capital no limita el crecimiento: la reinversión neta es el 10 % del NOPAT y, con un ROIC del 25,1 %, la reinversión bruta financiaría un 16,2 % anual frente al 6,1 % que proyectamos. La cuota también pasa: en FY2032e el catering aéreo de DO &amp; CO (unos 3.100 M) sería el 10,8 % de un mercado de unos 28.700 M, frente al 10 % de hoy [13]. Decimos «En parte», no «Sí» como el motor, porque el crecimiento depende de ganar y renovar contratos con pocos clientes (el primero es el 24,5 % de las ventas) y de que la lira no se coma el crecimiento a tipos constantes; el foso es estrecho. No rebajamos el base: está en línea con el consenso.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 (base: 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 (base: 12,5 %)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(WACC: 9,3 %)</w:t>
            </w:r>
          </w:p>
        </w:tc>
      </w:tr>
    </w:tbl>
    <w:p>
      <w:pPr>
        <w:spacing w:after="160" w:before="0"/>
      </w:pPr>
    </w:p>
    <w:p>
      <w:pPr>
        <w:spacing w:after="100"/>
      </w:pPr>
      <w:r>
        <w:t xml:space="preserve">El DCF da 223,62 EUR por acción, un 14,7 % por encima del precio, con el valor terminal en el 68 % del total. El DCF inverso dice que a 195,00 EUR el mercado descuenta un crecimiento del 3,8 % anual en FY2027-FY2033 (frente al 6,1 % de nuestro base y al 5,6 % del mercado) y una rentabilidad implícita del 10,1 %, por encima de nuestro WACC del 9,32 %. Es poco exigente: pide crecer por debajo del mercado a una empresa que lleva tres años ganando cuota. Con la prima implícita del mercado el DCF sube a 255,23 EUR. La sensibilidad está en los minoritarios: a valor contable el valor subiría unos 31 EUR por acción.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lira cae con fuerza, Oriente Medio reduce el tráfico de largo radio y Turkish renegocia precios: ventas 3 puntos menos al año y margen un punto más bajo.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7-8 % con contratos nuevos y el 1T a tipos constantes; margen estable en el 12,3-12,5 %.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Contratos nuevos en EE. UU. y Asia y el tráfico desviado a Estambul: 2 puntos más de crecimiento y medio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9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215,66 EUR (+10,6 %).</w:t>
      </w:r>
    </w:p>
    <w:p>
      <w:pPr>
        <w:spacing w:after="100"/>
      </w:pPr>
      <w:r>
        <w:t xml:space="preserve">La asimetría es favorable a largo plazo: el bajista vale 145,94 EUR (−25,2 %) y el alcista 269,44 (+38,2 %), una asimetría de 1,52. A 12 meses, con la regla de múltiplos, el bajista da 153,23 (−21,4 %) y el alcista 275,62 (+41,3 %). El bajista no es cosmético: depende de la lira y de un cliente.</w:t>
      </w:r>
    </w:p>
    <w:p>
      <w:pPr>
        <w:pStyle w:val="Heading1"/>
      </w:pPr>
      <w:r>
        <w:t xml:space="preserve">22. Suma de partes</w:t>
      </w:r>
    </w:p>
    <w:p>
      <w:pPr>
        <w:pStyle w:val="Confianza"/>
        <w:spacing w:after="100"/>
      </w:pPr>
      <w:r>
        <w:t xml:space="preserve">Confianza: Media</w:t>
      </w:r>
    </w:p>
    <w:p>
      <w:pPr>
        <w:spacing w:after="100"/>
      </w:pPr>
      <w:r>
        <w:t xml:space="preserve">No aplica: catering aéreo, eventos y restaurantes comparten cocinas, compras y marca, y el valor está en el catering aéreo (más del 70 % de las ventas). La participación del 50 % de Turkish Airlines en THY DO &amp; CO se trata en el puente como minoritarios a valor de mercado.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9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209,65 EUR (+7,5 % sobre 195,00).</w:t>
      </w:r>
    </w:p>
    <w:p>
      <w:pPr>
        <w:spacing w:after="100"/>
      </w:pPr>
      <w:r>
        <w:t xml:space="preserve">DCF y escenarios pesan un 40 % cada uno porque el negocio es estable en capital y el valor depende del crecimiento de contratos y del margen, que es lo que esos métodos recogen; los comparables, un 20 %, porque ningún catering aéreo puro cotiza y la muestra mezcla grupos endeudados. Las transacciones no pesan: el fundador controla el 30 %. El valor objetivo es de 209,65 EUR, un 7,5 % por encima del precio. La dispersión es amplia (131-311 EUR): el PER de los comparables da lo más bajo y el EV/EBITDA lo más alto, porque DO &amp; CO no tiene deuda y sus competidores sí.</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(igual a la mediana)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275,62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w:t>
            </w:r>
          </w:p>
        </w:tc>
      </w:tr>
    </w:tbl>
    <w:p>
      <w:pPr>
        <w:spacing w:after="160" w:before="0"/>
      </w:pPr>
    </w:p>
    <w:p>
      <w:pPr>
        <w:spacing w:after="100"/>
      </w:pPr>
      <w:r>
        <w:rPr>
          <w:b/>
          <w:bCs/>
        </w:rPr>
        <w:t xml:space="preserve">Objetivo a 12 meses (ponderado):</w:t>
      </w:r>
      <w:r>
        <w:t xml:space="preserve"> 225,34 EUR · rentabilidad +16,8 % (base +22,4 %) · señal Comprar.</w:t>
      </w:r>
    </w:p>
    <w:p>
      <w:pPr>
        <w:spacing w:after="100"/>
      </w:pPr>
      <w:r>
        <w:t xml:space="preserve">Para comparar, con la regla v2 (historia al cierre, mismo precio): 16,8x / 16,9x / 22,0x, 30,5 %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FY2027e (11,52 EUR) está un 2,5 % por encima del consenso de 8 analistas (11,24) y el de FY2029e (13,98) un 3,9 % por debajo (14,54) [27]: más resultado financiero al principio y menos margen al final. Las ventas coinciden (menos del 1 % de diferencia). Nuestro precio base (236,26) queda un 8,4 % por debajo del objetivo medio de 258,06 EUR porque la regla aplica el PER actual (16,9 veces), que coincide con la mediana histórica.</w:t>
      </w:r>
    </w:p>
    <w:p>
      <w:pPr>
        <w:keepNext/>
        <w:spacing w:after="100"/>
      </w:pPr>
      <w:r>
        <w:rPr>
          <w:b/>
          <w:bCs/>
        </w:rPr>
        <w:t xml:space="preserve">Del valor intrínseco al objetivo a 12 meses.</w:t>
      </w:r>
    </w:p>
    <w:p>
      <w:pPr>
        <w:spacing w:after="100"/>
      </w:pPr>
      <w:r>
        <w:t xml:space="preserve">El objetivo a 12 meses (225,34 EUR) queda un 7,5 % por encima del valor intrínseco (209,65): el mercado paga hoy un múltiplo que el DCF solo justifica en parte, porque los minoritarios de Turkish a valor de mercado restan unos 31 EUR por acción. La distancia es pequeña y no necesita un catalizador concreto: basta con que el BPA crezca al 10 % anual que esperamos y el PER se mantenga en su mediana.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FY2026/27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el Mundial de 2026 y el verano: prueba de si el crecimiento a tipos constantes del 1T (+10,2 %) se mantiene y de si el margen EBITDA sigue en el 12 %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nueve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sin el Mundial; dice si el crecimiento del catering aéreo compensa el fin del evento.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FY2026/27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propuesto (2,50 EUR por FY2026) y uso de la caja neta de 226 M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de catering en aeropuertos de EE. UU. y Asia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contrato grande (como el de Delta en Nueva York o el de British Airways en Londres) añade un 3-5 % de ventas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cocina de Estambul a plena carga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para el crecimiento de Turkish Airlines; inversión que ya está en el capex del 4,5 %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Conflicto en Oriente Medio y precio del combustible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vuelos en la región o más caros; los analistas ya recortaron objetivos por este motivo en mayo de 2026 [36].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o renegociación del contrato de Turkish Airlines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conjunta al 50 % y contrato de 15 años desde 2019 [16]; en 2017 la aerolínea casi se fue a SATS y volvió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 o cambios en la sociedad conjunta; ventas de THY DO &amp; CO por debajo de la flota de Turkish.</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Lira turca e hiperinflación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en contratos que se ajustan a costes y parte de la facturación en divisa fuerte.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euros por debajo de 5 puntos del de tipos constantes.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y alto coste de cambio de proveedor en un aeropuerto.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segundo cliente (14,4 % de las ventas) sale a concurso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en Oriente Medio y combustible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Estambul puede ganar tráfico desviado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número de pasajeros de Turkish o cierre de espacio aéreo.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−22 % (bajista a 12 meses, 13,5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dividendo creciente.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14 veces con el BPA intacto.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laborales y escasez de personal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Cláusulas de revisión de precios.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por debajo del 11 %.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fundador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Mandato hasta 2029 y equipo renovado en 2023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retirada o cambio en la fundación.</w:t>
            </w:r>
          </w:p>
        </w:tc>
      </w:tr>
    </w:tbl>
    <w:p>
      <w:pPr>
        <w:spacing w:after="160" w:before="0"/>
      </w:pPr>
    </w:p>
    <w:p>
      <w:pPr>
        <w:pStyle w:val="Heading2"/>
      </w:pPr>
      <w:r>
        <w:t xml:space="preserve">Pre-mortem</w:t>
      </w:r>
    </w:p>
    <w:p>
      <w:pPr>
        <w:spacing w:after="100"/>
      </w:pPr>
      <w:r>
        <w:t xml:space="preserve">Octubre de 2029, la acción ha perdido un 40 %. En 2027 la lira volvió a caer con fuerza: el crecimiento a tipos constantes siguió en el 10 %, pero en euros se quedó en el 2-3 % y la NIIF 29 se llevó una parte mayor del resultado financiero. Al mismo tiempo, el conflicto de Oriente Medio redujo los vuelos de largo radio por la región y Turkish Airlines, presionada por el combustible, pidió rebajar los precios del catering al renovar la sociedad conjunta. El segundo cliente sacó a concurso Londres y gategroup ganó con precios agresivos. El BPA de FY2029 se quedó en 10-11 EUR en vez de 14, el mercado volvió a pagar 13 veces y la acción cayó a unos 120-140 EUR. Lo habrían anticipado tres indicadores: la distancia entre el crecimiento a tipos constantes y en euros, la cuota de ventas de THY DO &amp; CO y el margen EBITDA del catering aéreo por debajo del 11 %.</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w:t>
      </w:r>
    </w:p>
    <w:p>
      <w:pPr>
        <w:spacing w:after="100"/>
      </w:pPr>
      <w:r>
        <w:t xml:space="preserve">DO &amp; CO cocina y sirve comida física en aeropuertos, estadios y circuitos: la inteligencia artificial no puede sustituir el producto ni el servicio. Puede ayudar a prever cuántas comidas pide cada vuelo, a reducir el desperdicio y a planificar turnos, y DO &amp; CO ya trabaja en reducir el desperdicio de alimentos en sus objetivos de sostenibilidad [1]. Esto mejora el margen de quien lo aplique antes, pero lo pueden copiar gategroup y los demás, así que no cambia la posición competitiva. El riesgo de que la IA se coma el negocio es muy bajo: el valor está en la logística de comida fresca a pie de avión, en las licencias de aeropuerto y en la relación con las aerolíneas. Efecto estimado sobre el valor: entre −2 % y +2 %.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mueve las cifras es el desperdicio de alimentos y las emisiones: el catering aéreo tira parte de la comida por las normas sanitarias de los vuelos internacionales, y el coste de la materia prima es la mayor partida (968,6 M en FY2026) [1]. DO &amp; CO tiene objetivos de reducción de emisiones directas y de electricidad validados por SBTi desde julio de 2024 y un plan de transición en preparación; su principal riesgo climático es el precio del CO₂ en sus cocinas y en el combustible de sus clientes [1]. El segundo asunto es laboral: 14.000 empleados, con accidentes y rotación propios de la cocina industrial.</w:t>
      </w:r>
    </w:p>
    <w:p>
      <w:pPr>
        <w:pStyle w:val="Heading2"/>
      </w:pPr>
      <w:r>
        <w:t xml:space="preserve">Controversias</w:t>
      </w:r>
    </w:p>
    <w:p>
      <w:pPr>
        <w:spacing w:after="100"/>
      </w:pPr>
      <w:r>
        <w:t xml:space="preserve">No hemos encontrado sanciones ni litigios materiales en los últimos tres años. El informe anual describe los riesgos de litigio como menores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Turkish Airlines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precios y qué plazo tiene el contrato de THY DO &amp; CO más allá de 2034, y puede Turkish comprar o vender su 50 %?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24,5 % de las ventas y el 47 % del beneficio.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turcas se factura en euros o dólares y con qué retraso se ajustan los precios a la inflación?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cuánto del crecimiento a tipos constantes llega en euros.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Segundo cliente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vence el contrato del segundo cliente (14,4 % de las ventas) y hay concurso previsto?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cambio movería el BPA un 10 %.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hará la empresa con 269 M de caja y casi sin deuda: recompra, dividendo extraordinario o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uso, rebaja el ROE.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Mundial y F1</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aportó el Mundial de 2026 a las ventas y al margen de eventos del primer semestre?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que restarlo del crecimiento recurrente.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EBITDA del 12 % incluye beneficios no repetibles de la NIIF 29?</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FY2026 la norma sumó 12,9 M de EBITDA.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wallstreet-online (foro)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particulares, casi todos tenedores a largo plazo: no entienden las caídas tras resultados buenos (nov-2025) y compran en las bajadas; uno duda del efecto de la lira en el 28 % de ventas turcas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Börse Express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técnico sobre si la corrección desde 235 EUR había terminado; se cita la entrada de JP Morgan como señal de compra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Goldesel (resumen de notas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el recorte de objetivo de 266 a 250 EUR por Ormuz y el desvío de vuelos a Estambul como posible beneficio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aktienwelt360 (blog con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Tesis de «joya desconocida» que se multiplicó por 20 desde 2006 y cayó un 10 % en tres días pese a buenas cifras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lira turca y la hiperinflación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que pesa: Turquía es el 31 % de las ventas y la NIIF 29 restó 29,2 M al resultado de FY2026 [1]; está en nuestro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Caídas de la acción con resultados buenos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que la acción cayó tras resultados buenos; a 16,9 veces el BPA de FY2027e cotiza en su mediana, sin descuento evidente.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Oriente Medio y el combustible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riesgo real que los analistas ya recortaron en mayo de 2026 [36]; lo estimamos en −10 % del valor.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del fundador y de la marca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los datos: ROIC del 25 % y margen superior al de gategroup [15]; el riesgo es de persona clave.</w:t>
            </w:r>
          </w:p>
        </w:tc>
      </w:tr>
    </w:tbl>
    <w:p>
      <w:pPr>
        <w:spacing w:after="160" w:before="0"/>
      </w:pPr>
    </w:p>
    <w:p>
      <w:pPr>
        <w:spacing w:after="100"/>
      </w:pPr>
      <w:r>
        <w:t xml:space="preserve">El sentimiento aporta poco: hay muy poco debate y casi todo es de tenedores a largo plazo, positivos, que compran en las caídas tras resultados [37, 39]. Coincide con los analistas (8 opiniones, objetivo medio de 258,06 EUR) [27]. No es eufórico: la acción está un 15 % por debajo de su máximo de 52 semanas y la conversación no habla de precios desorbitados. La duda que comparten foro y analistas es la lira y Oriente Medio, que son nuestros dos riesgos principales; no señalan nada que el análisis no tuviera.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39 (20 primarias); citas distintas en el texto: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4,5 % frente a 4,9 % real: genera una variación de circulante de -1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la empresa (no publican consenso); 2) MarketScreener y prensa austriaca (Börse Express, Wiener Börse); 3) resúmenes de analistas (Goldesel): sin consenso previo trimestral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DO &amp; CO (sin transcripciones); 2) Seeking Alpha (de pago); 3) prensa (solo citas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prevista en la cocina de Estambul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FY2026 y 1T27 (sin importe); 2) búsqueda en inglés y turco (KAP); 3) prensa: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Roland Berger (solo 2025 y 2030); 2) Market Intelo e IMARC (perímetros distintos); 3) IATA (gasto de cabina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los competidores directos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gategroup (no cotiza; solo EBITDA en prensa); 2) LSG/Aurelius (no publica); 3) dnata (cuentas del grupo Emirates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(operaciones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DO &amp; CO (últimas notificaciones de 2025); 2) búsqueda de «Directors Dealings 2026» (sin resultados); 3) registro de la FMA austriaca (sin consulta pública por emisor)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del consejo de vigilancia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(remite al informe de gobierno corporativo); 2) informe del consejo de vigilancia (solo reuniones); 3) web de inversores (sin documento descargable)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recomendaciones por tipo y objetivos mínimo y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y «Comprar»); 2) informe de la empresa (solo media); 3) prensa austriaca (tres casas: Berenberg 250, Erste 255, NuWays 266)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FMA austriaca (publica posiciones ≥ 0,5 %, sin ninguna localizada); 2) Yahoo (sin dato para Viena);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(sin EBITDA estimado); 2) MarketScreener (páginas de comparables de pago); 3) informes anuales (sin estimaciones)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wallstreet-online (último mensaje del 11-jun-2026); 2) Seeking Alpha y Stocktwits (sin símbolo DOCOF activo; RSS vacío); 3) Börse Express, Goldesel, aktienwelt360 y comdirect: artículos sin hilo de comentarios desde julio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usan las fuentes de feb-jun 2026 y se marca la confianza como baja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publicadas (MSCI, Sustainalytics, ISS,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2025/26 (solo dice que la retribución variable incluye mejorar las calificaciones ESG, sin citarlas) [1]; 2) web de inversores; 3) búsqueda de las agencias por nombre de empresa. Sin cifra publicada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Finanzbericht Geschäftsjahr 2025/2026 (informe anual consolidado,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https://filings.xbrl.org/5299002NFQKOBT1E8569/2026-03-31/ESEF/AT/0/docoag-2026-03-31-1-de/reports/docoag-2026-03-31-1-de.xhtml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Finanzbericht Geschäftsjahr 2024/2025 (informe anual consolidado,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https://filings.xbrl.org/5299002NFQKOBT1E8569/2025-03-31/ESEF/AT/1/docoag-2025-03-31-1-de/reports/docoag-2025-03-31-1-de.xhtml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Finanzbericht Geschäftsjahr 2023/2024 (informe anual consolidado, ESEF): notas de deuda, bono convertible y arrendamientos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https://filings.xbrl.org/5299002NFQKOBT1E8569/2024-03-31/ESEF/AT/0/docoag-2024-03-31-de/reports/docoag-2024-03-31-de.xhtml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Finanzbericht Geschäftsjahr 2021/2022 (informe anual consolidado, ESEF): notas de deuda y arrendamientos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https://filings.xbrl.org/5299002NFQKOBT1E8569/2022-03-31/ESEF/AT/0/docoag-2022-03-31-de/reports/docoag-2022-03-31-de.xhtml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1st Quarter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https://www.doco.com/Portals/8/berichte/jahres-und-quartalsberichte/en/q1_2627.pdf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News: Results for the first quarter of the business year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https://www.doco.com/Portals/8/dokumente/en/News/Corporate-News-Q1-26-27-EN.pdf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1st-3rd Quarter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https://www.doco.com/Portals/8/berichte/jahres-und-quartalsberichte/en/q3_2526.pdf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1st Half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https://www.doco.com/Portals/8/berichte/jahres-und-quartalsberichte/en/q2_2526.pdf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1st Quarter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https://www.doco.com/Portals/8/berichte/jahres-und-quartalsberichte/en/q1_2526.pdf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1st-3rd Quarter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https://www.doco.com/Portals/8/berichte/jahres-und-quartalsberichte/en/q3_2425.pdf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1st Quarter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https://www.doco.com/Portals/8/berichte/jahres-und-quartalsberichte/en/q1_2425.pdf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2020/21 a 2025/26 en xBRL-JSON (series de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https://filings.xbrl.org/5299002NFQKOBT1E8569/2026-03-31/ESEF/AT/0/docoag-2026-03-31-1-de.json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From cabin to culinary: trends shaping global airline catering (mercado de 19.500 M EUR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Roland Berger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https://www.rolandberger.com/en/Insights/Publications/From-cabin-to-culinary-Trends-shaping-global-airline-catering.html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Airline Catering Market Size, Share &amp; Trends Analysis Report 2025-2034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Intelo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https://marketintelo.com/report/airline-catering-market/amp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gategroup macht 2025 mehr Umsatz und prüft Börsengang (ventas 5.610 M EUR, EBITDA 467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https://www.cash.ch/news/gategroup-macht-2025-mehr-umsatz-und-pruft-borsengang-922075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THY inks 15-year catering deal with DO &amp; 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Sabah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https://www.dailysabah.com/business/2019/05/29/thy-inks-15-year-catering-deal-with-do-co/amp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Turkish Airlines parts ways with DO &amp; CO catering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Sabah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https://www.dailysabah.com/business/2017/10/19/turkish-airlines-parts-ways-with-do-co-catering/amp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gategroup to acquire LSG’s European operations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gategroup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https://gategroup.com/media-center/press-release/gategroup-to-acquire-lsgs-european-operations/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Compass Group (CPG.L), Sodexo (SW.PA), Aramark (ARMK), Elior (ELIOR.PA), SSP (SSPG.L), Avolta (AVOL.SW), Çelebi (CLEBI.IS): datos financieros (ventas y EBITDA de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https://finance.yahoo.com/quote/CPG.L/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Vergütungsbericht Geschäftsjahr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https://www.doco.com/Portals/8/dokumente/de/Hauptversammlung/2026/DOCOVerguetungsberichtGJ2526.pdf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28. ordentliche Hauptversammlung (23-jul-2026)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https://www.doco.com/wp-content/uploads/2026/07/Abstimmergebnisse-DoCo_Aktiengesellschaft-23_07_2026.pdf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27. ordentliche Hauptversammlung (10-jul-2025)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https://www.doco.com/wp-content/uploads/2025/07/Abstimmergebnisse-DO__CO_Aktiengesellschaft-10_07_2025.pdf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Aktiengesellschaft: Aufsichtsrat verlängert Vorstandsbestellungen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pressetext (comunicado de la 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https://www.pressetext.com/news/aufsichtsrat-verlaengert-vorstandsbestellungen.html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Directors’ Dealings: compra de 400 acciones por Bettina Höfinger (abril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https://www.doco.com/wp-content/uploads/2025/04/Directors-Dealing-Meldung_10042025_GER.pdf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Directors’ Dealings: venta de 786 acciones por Cem Kozlu (febrero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https://doco.com/wp-content/uploads/2025/02/DD_Cem-Kozlu_25022025_ENG.pdf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DOC.VI, ^ATX y EXV9.DE: históricos diarios (precio, rango, volumen, beta,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https://finance.yahoo.com/quote/DOC.VI/history/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AG: estimaciones anuales y consenso (8 analistas, objetivo medio 258,06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https://www.marketscreener.com/quote/stock/DO-CO-AG-6491277/finances/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14-oct-2026: 3,48 %)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https://api.statistiken.bundesbank.de/rest/data/BBSIS/D.I.ZAR.ZI.EUR.S1311.B.A604.R10XX.R.A.A._Z._Z.A?format=csv&amp;lastNObservations=5&amp;lang=en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(Compass, Sodexo, Aramark, Elior, SSP, Avolta, Çelebi): capitalización, valor empresa, EBITDA, PER adelantado y estimaciones de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https://finance.yahoo.com/quote/SW.PA/key-statistics/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SATS: Investor presentation on proposed WFS acquisition (VE 2.250 M EUR, 9,7 veces el 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SATS Ltd (SGX)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https://links.sgx.com/1.0.0/corporate-announcements/1PG04C1TY0YF5CYO/732672_SATS_Investor_Presentation_on_Proposed_WFS_Acquisition_20220928.pdf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Compass Group to acquire Dutch hospitality and catering operator (Vermaat) for €1.5bn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Coffee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https://worldcoffeeportal.com/news/compass-group-to-acquire-dutch-hospitality-and-catering-operator-for-eu1-5bn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PAI Partners swoops to acquire travel dining specialist Areas from Elior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Moodie Davitt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https://moodiedavittreport.com/pai-partners-swoops-to-acquire-travel-dining-specialist-areas-from-elior-group/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China’s HNA Group to buy gategroup for $1.4bn (53 CHF por acción, prima del 20,9 %)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https://www.trbusiness.com/regional-news/international/hna-agrees-to-buy-gategroup-for-1-4bn-in-cash/103948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Analysten bestätigen BUY trotz Hormuz-Risiko – Kursziel 250 Euro (recorte desde 266)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https://goldesel.de/aktien/news/do-co-analysten-bestatigen-buy-trotz-hormuz-risiko-kursziel-250-euro-und-fokus-auf-istanbul-rerouting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DO&amp;CO – Eine Perle am Österreichischen Aktienmarkt (hilo, 49 mensajes)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https://www.wallstreet-online.de/diskussion/1378270-1/do-co-perle-oesterreichischen-aktienmarkt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CO-Aktie: Die Stunde der Bären? (artículo con comentarios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https://www.boerse-express.com/news/articles/do-co-aktie-die-stunde-der-baeren-834183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 &amp; CO: Diese Aktie hat sich seit 2006 ver-20-facht – und keiner kennt sie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aktienwelt360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https://www.aktienwelt360.de/2026/02/14/do-co-diese-aktie-hat-sich-seit-2006-ver-20-facht-und-keiner-kennt-sie/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83,9 %</w:t>
      </w:r>
      <w:r>
        <w:t xml:space="preserve"> · Secciones con menos del 60 % de campos cubiertos: </w:t>
      </w:r>
      <w:r>
        <w:rPr>
          <w:b/>
          <w:bCs/>
        </w:rPr>
        <w:t xml:space="preserve">capital, consenso, rentabilidad</w:t>
      </w:r>
      <w:r>
        <w:t xml:space="preserve"> · Generado el 15 oct 2026.</w:t>
      </w:r>
    </w:p>
    <w:p>
      <w:pPr>
        <w:pStyle w:val="Nota"/>
        <w:spacing w:after="100"/>
      </w:pPr>
      <w:r>
        <w:t xml:space="preserve">Cuentas de FY2021 a FY2026 del XBRL del regulador (ESEF) completadas a mano con las notas de los informes anuales (reparto entre préstamos y arrendamientos, pagos de principal de arrendamientos de FY2024-FY2026; los de FY2021-FY2023 son estimación propia). Precio: cierre de Viena del 13-oct-2026 (195,00 EUR), dos sesiones antes del corte. No hay guía numérica de la empresa para FY2026/27: la que circula en resúmenes de prensa (ventas +6-8 %, margen EBIT del 8,6-9,0 %) no se ha encontrado en documentos de la empresa y no se usa. El reparto de clientes es de la nota de concentración del informe anual (sin nombres, salvo Turkish Airlines por su sociedad conjunta); que el segundo cliente sea British Airways es estimación propia. Foros con poco debate en los últimos tres meses.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DO &amp; CO Aktiengesellschaft (DOC)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195,00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(160,00 – 230,00)</c:v>
                </c:pt>
                <c:pt idx="1">
                  <c:v>Comparables: PER NTM (131,49 – 227,84)</c:v>
                </c:pt>
                <c:pt idx="2">
                  <c:v>DCF (WACC y g ± 0,5) (194,30 – 262,91)</c:v>
                </c:pt>
                <c:pt idx="3">
                  <c:v>Escenarios (bajista – alcista) (145,94 – 269,44)</c:v>
                </c:pt>
                <c:pt idx="4">
                  <c:v>DCF con la prima implícita del mercado (4,2 %)</c:v>
                </c:pt>
                <c:pt idx="5">
                  <c:v>Precio actual (195,00)</c:v>
                </c:pt>
              </c:strCache>
            </c:strRef>
          </c:cat>
          <c:val>
            <c:numRef>
              <c:f>Hoja1!$B$2:$B$7</c:f>
              <c:numCache>
                <c:formatCode>#,##0</c:formatCode>
                <c:ptCount val="6"/>
                <c:pt idx="0">
                  <c:v>160</c:v>
                </c:pt>
                <c:pt idx="1">
                  <c:v>131.49</c:v>
                </c:pt>
                <c:pt idx="2">
                  <c:v>194.3</c:v>
                </c:pt>
                <c:pt idx="3">
                  <c:v>145.94</c:v>
                </c:pt>
                <c:pt idx="4">
                  <c:v>232.55</c:v>
                </c:pt>
                <c:pt idx="5">
                  <c:v>194.03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(160,00 – 230,00)</c:v>
                </c:pt>
                <c:pt idx="1">
                  <c:v>Comparables: PER NTM (131,49 – 227,84)</c:v>
                </c:pt>
                <c:pt idx="2">
                  <c:v>DCF (WACC y g ± 0,5) (194,30 – 262,91)</c:v>
                </c:pt>
                <c:pt idx="3">
                  <c:v>Escenarios (bajista – alcista) (145,94 – 269,44)</c:v>
                </c:pt>
                <c:pt idx="4">
                  <c:v>DCF con la prima implícita del mercado (4,2 %)</c:v>
                </c:pt>
                <c:pt idx="5">
                  <c:v>Precio actual (195,00)</c:v>
                </c:pt>
              </c:strCache>
            </c:strRef>
          </c:cat>
          <c:val>
            <c:numRef>
              <c:f>Hoja1!$C$2:$C$7</c:f>
              <c:numCache>
                <c:formatCode>#,##0</c:formatCode>
                <c:ptCount val="6"/>
                <c:pt idx="0">
                  <c:v>70</c:v>
                </c:pt>
                <c:pt idx="1">
                  <c:v>96.35</c:v>
                </c:pt>
                <c:pt idx="2">
                  <c:v>68.61000000000001</c:v>
                </c:pt>
                <c:pt idx="3">
                  <c:v>123.5</c:v>
                </c:pt>
                <c:pt idx="4">
                  <c:v>49.46999999999997</c:v>
                </c:pt>
                <c:pt idx="5">
                  <c:v>1.9399999999999977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Airline Catering</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1820.3</c:v>
                </c:pt>
                <c:pt idx="1">
                  <c:v>1950.1</c:v>
                </c:pt>
              </c:numCache>
            </c:numRef>
          </c:val>
        </c:ser>
        <c:ser>
          <c:idx val="1"/>
          <c:order val="1"/>
          <c:tx>
            <c:strRef>
              <c:f>Hoja1!$C$1</c:f>
              <c:strCache>
                <c:ptCount val="1"/>
                <c:pt idx="0">
                  <c:v>International Event Catering</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0">
                  <c:v>305.3</c:v>
                </c:pt>
                <c:pt idx="1">
                  <c:v>323.4</c:v>
                </c:pt>
              </c:numCache>
            </c:numRef>
          </c:val>
        </c:ser>
        <c:ser>
          <c:idx val="2"/>
          <c:order val="2"/>
          <c:tx>
            <c:strRef>
              <c:f>Hoja1!$D$1</c:f>
              <c:strCache>
                <c:ptCount val="1"/>
                <c:pt idx="0">
                  <c:v>Restaurants, Lounges &amp; Hotels</c:v>
                </c:pt>
              </c:strCache>
            </c:strRef>
          </c:tx>
          <c:spPr>
            <a:solidFill>
              <a:srgbClr val="1BAF7A"/>
            </a:solidFill>
            <a:ln w="12700">
              <a:solidFill>
                <a:srgbClr val="FFFFFF"/>
              </a:solidFill>
            </a:ln>
          </c:spPr>
          <c:invertIfNegative val="0"/>
          <c:cat>
            <c:strRef>
              <c:f>Hoja1!$A$2:$A$3</c:f>
              <c:strCache>
                <c:ptCount val="2"/>
                <c:pt idx="0">
                  <c:v>FY2025</c:v>
                </c:pt>
                <c:pt idx="1">
                  <c:v>FY2026</c:v>
                </c:pt>
              </c:strCache>
            </c:strRef>
          </c:cat>
          <c:val>
            <c:numRef>
              <c:f>Hoja1!$D$2:$D$3</c:f>
              <c:numCache>
                <c:formatCode>#,##0</c:formatCode>
                <c:ptCount val="2"/>
                <c:pt idx="0">
                  <c:v>172.5</c:v>
                </c:pt>
                <c:pt idx="1">
                  <c:v>188.1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Airline Catering</c:v>
                </c:pt>
                <c:pt idx="1">
                  <c:v>International Event Catering</c:v>
                </c:pt>
                <c:pt idx="2">
                  <c:v>Restaurants, Lounges &amp; Hotels</c:v>
                </c:pt>
              </c:strCache>
            </c:strRef>
          </c:cat>
          <c:val>
            <c:numRef>
              <c:f>Hoja1!$B$2:$B$4</c:f>
              <c:numCache>
                <c:formatCode>General</c:formatCode>
                <c:ptCount val="3"/>
                <c:pt idx="0">
                  <c:v>79.2</c:v>
                </c:pt>
                <c:pt idx="1">
                  <c:v>13.1</c:v>
                </c:pt>
                <c:pt idx="2">
                  <c:v>7.6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Turquía</c:v>
                </c:pt>
                <c:pt idx="1">
                  <c:v>Reino Unido</c:v>
                </c:pt>
                <c:pt idx="2">
                  <c:v>EE. UU.</c:v>
                </c:pt>
                <c:pt idx="3">
                  <c:v>Alemania</c:v>
                </c:pt>
                <c:pt idx="4">
                  <c:v>Austria</c:v>
                </c:pt>
                <c:pt idx="5">
                  <c:v>España</c:v>
                </c:pt>
                <c:pt idx="6">
                  <c:v>Otros</c:v>
                </c:pt>
              </c:strCache>
            </c:strRef>
          </c:cat>
          <c:val>
            <c:numRef>
              <c:f>Hoja1!$B$2:$B$8</c:f>
              <c:numCache>
                <c:formatCode>0"%"</c:formatCode>
                <c:ptCount val="7"/>
                <c:pt idx="0">
                  <c:v>31</c:v>
                </c:pt>
                <c:pt idx="1">
                  <c:v>23.4</c:v>
                </c:pt>
                <c:pt idx="2">
                  <c:v>21.3</c:v>
                </c:pt>
                <c:pt idx="3">
                  <c:v>8.3</c:v>
                </c:pt>
                <c:pt idx="4">
                  <c:v>7.4</c:v>
                </c:pt>
                <c:pt idx="5">
                  <c:v>4.9</c:v>
                </c:pt>
                <c:pt idx="6">
                  <c:v>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19500</c:v>
                </c:pt>
                <c:pt idx="1">
                  <c:v>25700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DO &amp; CO</c:v>
                </c:pt>
                <c:pt idx="1">
                  <c:v>gategroup</c:v>
                </c:pt>
                <c:pt idx="2">
                  <c:v>LSG Group (Aurelius)</c:v>
                </c:pt>
                <c:pt idx="3">
                  <c:v>Compass Group</c:v>
                </c:pt>
                <c:pt idx="4">
                  <c:v>Sodexo</c:v>
                </c:pt>
                <c:pt idx="5">
                  <c:v>SSP Group</c:v>
                </c:pt>
                <c:pt idx="6">
                  <c:v>Çelebi Aviation</c:v>
                </c:pt>
              </c:strCache>
            </c:strRef>
          </c:cat>
          <c:val>
            <c:numRef>
              <c:f>Hoja1!$B$2:$B$8</c:f>
              <c:numCache>
                <c:formatCode>0.0"%"</c:formatCode>
                <c:ptCount val="7"/>
                <c:pt idx="0">
                  <c:v>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1</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FY2021</c:v>
                </c:pt>
                <c:pt idx="1">
                  <c:v>FY2022</c:v>
                </c:pt>
                <c:pt idx="2">
                  <c:v>FY2023</c:v>
                </c:pt>
                <c:pt idx="3">
                  <c:v>FY2024</c:v>
                </c:pt>
                <c:pt idx="4">
                  <c:v>FY2025</c:v>
                </c:pt>
                <c:pt idx="5">
                  <c:v>FY2026</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253.5</c:v>
                </c:pt>
                <c:pt idx="1">
                  <c:v>705.2</c:v>
                </c:pt>
                <c:pt idx="2">
                  <c:v>1419.4</c:v>
                </c:pt>
                <c:pt idx="3">
                  <c:v>1819.5</c:v>
                </c:pt>
                <c:pt idx="4">
                  <c:v>2298.1</c:v>
                </c:pt>
                <c:pt idx="5">
                  <c:v>2461.6</c:v>
                </c:pt>
                <c:pt idx="6">
                  <c:v>2634</c:v>
                </c:pt>
                <c:pt idx="7">
                  <c:v>2845</c:v>
                </c:pt>
                <c:pt idx="8">
                  <c:v>3058</c:v>
                </c:pt>
                <c:pt idx="9">
                  <c:v>3257</c:v>
                </c:pt>
                <c:pt idx="10">
                  <c:v>3436</c:v>
                </c:pt>
                <c:pt idx="11">
                  <c:v>3590</c:v>
                </c:pt>
                <c:pt idx="12">
                  <c:v>3716</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FY2021</c:v>
                </c:pt>
                <c:pt idx="1">
                  <c:v>FY2022</c:v>
                </c:pt>
                <c:pt idx="2">
                  <c:v>FY2023</c:v>
                </c:pt>
                <c:pt idx="3">
                  <c:v>FY2024</c:v>
                </c:pt>
                <c:pt idx="4">
                  <c:v>FY2025</c:v>
                </c:pt>
                <c:pt idx="5">
                  <c:v>FY2026</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43.84</c:v>
                </c:pt>
                <c:pt idx="1">
                  <c:v>95.32</c:v>
                </c:pt>
                <c:pt idx="2">
                  <c:v>141.33</c:v>
                </c:pt>
                <c:pt idx="3">
                  <c:v>200.26999999999998</c:v>
                </c:pt>
                <c:pt idx="4">
                  <c:v>260.73999999999995</c:v>
                </c:pt>
                <c:pt idx="5">
                  <c:v>299.22</c:v>
                </c:pt>
                <c:pt idx="6">
                  <c:v>324</c:v>
                </c:pt>
                <c:pt idx="7">
                  <c:v>353</c:v>
                </c:pt>
                <c:pt idx="8">
                  <c:v>382</c:v>
                </c:pt>
                <c:pt idx="9">
                  <c:v>407</c:v>
                </c:pt>
                <c:pt idx="10">
                  <c:v>429</c:v>
                </c:pt>
                <c:pt idx="11">
                  <c:v>449</c:v>
                </c:pt>
                <c:pt idx="12">
                  <c:v>465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72.7</c:v>
                </c:pt>
                <c:pt idx="1">
                  <c:v>61.4</c:v>
                </c:pt>
                <c:pt idx="2">
                  <c:v>57.5</c:v>
                </c:pt>
                <c:pt idx="3">
                  <c:v>57.8</c:v>
                </c:pt>
                <c:pt idx="4">
                  <c:v>58.7</c:v>
                </c:pt>
                <c:pt idx="5">
                  <c:v>60.7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17.3</c:v>
                </c:pt>
                <c:pt idx="1">
                  <c:v>13.5</c:v>
                </c:pt>
                <c:pt idx="2">
                  <c:v>10</c:v>
                </c:pt>
                <c:pt idx="3">
                  <c:v>11</c:v>
                </c:pt>
                <c:pt idx="4">
                  <c:v>11.3</c:v>
                </c:pt>
                <c:pt idx="5">
                  <c:v>12.2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-11.2</c:v>
                </c:pt>
                <c:pt idx="1">
                  <c:v>5.9</c:v>
                </c:pt>
                <c:pt idx="2">
                  <c:v>5.9</c:v>
                </c:pt>
                <c:pt idx="3">
                  <c:v>7.4</c:v>
                </c:pt>
                <c:pt idx="4">
                  <c:v>7.9</c:v>
                </c:pt>
                <c:pt idx="5">
                  <c:v>8.6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-15.1</c:v>
                </c:pt>
                <c:pt idx="1">
                  <c:v>1.6</c:v>
                </c:pt>
                <c:pt idx="2">
                  <c:v>2.4</c:v>
                </c:pt>
                <c:pt idx="3">
                  <c:v>3.6</c:v>
                </c:pt>
                <c:pt idx="4">
                  <c:v>4</c:v>
                </c:pt>
                <c:pt idx="5">
                  <c:v>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1">
                  <c:v>34.5</c:v>
                </c:pt>
                <c:pt idx="2">
                  <c:v>13.6</c:v>
                </c:pt>
                <c:pt idx="3">
                  <c:v>10.9</c:v>
                </c:pt>
                <c:pt idx="4">
                  <c:v>7.8</c:v>
                </c:pt>
                <c:pt idx="5">
                  <c:v>-2</c:v>
                </c:pt>
                <c:pt idx="6">
                  <c:v>13.4</c:v>
                </c:pt>
                <c:pt idx="7">
                  <c:v>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Hoja1!$C$2:$C$9</c:f>
              <c:numCache>
                <c:formatCode>0.0"%"</c:formatCode>
                <c:ptCount val="8"/>
                <c:pt idx="3">
                  <c:v>21.7</c:v>
                </c:pt>
                <c:pt idx="7">
                  <c:v>10.2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64</c:v>
                </c:pt>
                <c:pt idx="1">
                  <c:v>48</c:v>
                </c:pt>
                <c:pt idx="2">
                  <c:v>40</c:v>
                </c:pt>
                <c:pt idx="3">
                  <c:v>46</c:v>
                </c:pt>
                <c:pt idx="4">
                  <c:v>43</c:v>
                </c:pt>
                <c:pt idx="5">
                  <c:v>39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39</c:v>
                </c:pt>
                <c:pt idx="1">
                  <c:v>16</c:v>
                </c:pt>
                <c:pt idx="2">
                  <c:v>13</c:v>
                </c:pt>
                <c:pt idx="3">
                  <c:v>11</c:v>
                </c:pt>
                <c:pt idx="4">
                  <c:v>9</c:v>
                </c:pt>
                <c:pt idx="5">
                  <c:v>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86</c:v>
                </c:pt>
                <c:pt idx="1">
                  <c:v>61</c:v>
                </c:pt>
                <c:pt idx="2">
                  <c:v>38</c:v>
                </c:pt>
                <c:pt idx="3">
                  <c:v>41</c:v>
                </c:pt>
                <c:pt idx="4">
                  <c:v>38</c:v>
                </c:pt>
                <c:pt idx="5">
                  <c:v>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-40.5</c:v>
                </c:pt>
                <c:pt idx="1">
                  <c:v>17.599999999999994</c:v>
                </c:pt>
                <c:pt idx="2">
                  <c:v>44.300000000000004</c:v>
                </c:pt>
                <c:pt idx="3">
                  <c:v>69</c:v>
                </c:pt>
                <c:pt idx="4">
                  <c:v>58.599999999999994</c:v>
                </c:pt>
                <c:pt idx="5">
                  <c:v>139.99999999999997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-38.3</c:v>
                </c:pt>
                <c:pt idx="1">
                  <c:v>11</c:v>
                </c:pt>
                <c:pt idx="2">
                  <c:v>33.6</c:v>
                </c:pt>
                <c:pt idx="3">
                  <c:v>66.2</c:v>
                </c:pt>
                <c:pt idx="4">
                  <c:v>92.4</c:v>
                </c:pt>
                <c:pt idx="5">
                  <c:v>105.8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-4.2</c:v>
                </c:pt>
                <c:pt idx="1">
                  <c:v>5.2</c:v>
                </c:pt>
                <c:pt idx="2">
                  <c:v>13.3</c:v>
                </c:pt>
                <c:pt idx="3">
                  <c:v>19</c:v>
                </c:pt>
                <c:pt idx="4">
                  <c:v>23.7</c:v>
                </c:pt>
                <c:pt idx="5">
                  <c:v>25.1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9.3</c:v>
                </c:pt>
                <c:pt idx="1">
                  <c:v>9.3</c:v>
                </c:pt>
                <c:pt idx="2">
                  <c:v>9.3</c:v>
                </c:pt>
                <c:pt idx="3">
                  <c:v>9.3</c:v>
                </c:pt>
                <c:pt idx="4">
                  <c:v>9.3</c:v>
                </c:pt>
                <c:pt idx="5">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-32.6</c:v>
                </c:pt>
                <c:pt idx="1">
                  <c:v>9.5</c:v>
                </c:pt>
                <c:pt idx="2">
                  <c:v>23.6</c:v>
                </c:pt>
                <c:pt idx="3">
                  <c:v>28.3</c:v>
                </c:pt>
                <c:pt idx="4">
                  <c:v>26.5</c:v>
                </c:pt>
                <c:pt idx="5">
                  <c:v>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8.21</c:v>
                </c:pt>
                <c:pt idx="1">
                  <c:v>3.28</c:v>
                </c:pt>
                <c:pt idx="2">
                  <c:v>1.91</c:v>
                </c:pt>
                <c:pt idx="3">
                  <c:v>1.08</c:v>
                </c:pt>
                <c:pt idx="4">
                  <c:v>0.65</c:v>
                </c:pt>
                <c:pt idx="5">
                  <c:v>0.05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FY2027</c:v>
                </c:pt>
                <c:pt idx="1">
                  <c:v>FY2028+</c:v>
                </c:pt>
              </c:strCache>
            </c:strRef>
          </c:cat>
          <c:val>
            <c:numRef>
              <c:f>Hoja1!$B$2:$B$3</c:f>
              <c:numCache>
                <c:formatCode>#,##0</c:formatCode>
                <c:ptCount val="2"/>
                <c:pt idx="0">
                  <c:v>13.9</c:v>
                </c:pt>
                <c:pt idx="1">
                  <c:v>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0</c:v>
                </c:pt>
                <c:pt idx="1">
                  <c:v>0</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0</c:v>
                </c:pt>
                <c:pt idx="1">
                  <c:v>0</c:v>
                </c:pt>
                <c:pt idx="2">
                  <c:v>0</c:v>
                </c:pt>
                <c:pt idx="3">
                  <c:v>10.3</c:v>
                </c:pt>
                <c:pt idx="4">
                  <c:v>1</c:v>
                </c:pt>
                <c:pt idx="5">
                  <c:v>22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4</c:v>
                </c:pt>
                <c:pt idx="1">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Attila Dogudan Privatstiftung (fundación del fundador y CEO)</c:v>
                </c:pt>
                <c:pt idx="1">
                  <c:v>Capital flotante</c:v>
                </c:pt>
              </c:strCache>
            </c:strRef>
          </c:cat>
          <c:val>
            <c:numRef>
              <c:f>Hoja1!$B$2:$B$3</c:f>
              <c:numCache>
                <c:formatCode>0.0"%"</c:formatCode>
                <c:ptCount val="2"/>
                <c:pt idx="0">
                  <c:v>30.03</c:v>
                </c:pt>
                <c:pt idx="1">
                  <c:v>69.97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6.3</c:v>
                </c:pt>
                <c:pt idx="1">
                  <c:v>-22.2</c:v>
                </c:pt>
                <c:pt idx="2">
                  <c:v>10.9</c:v>
                </c:pt>
                <c:pt idx="3">
                  <c:v>19.6</c:v>
                </c:pt>
                <c:pt idx="4">
                  <c:v>51.7</c:v>
                </c:pt>
                <c:pt idx="5">
                  <c:v>33.9</c:v>
                </c:pt>
                <c:pt idx="6">
                  <c:v>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16.1</c:v>
                </c:pt>
                <c:pt idx="1">
                  <c:v>-12.8</c:v>
                </c:pt>
                <c:pt idx="2">
                  <c:v>38.9</c:v>
                </c:pt>
                <c:pt idx="3">
                  <c:v>-19</c:v>
                </c:pt>
                <c:pt idx="4">
                  <c:v>9.9</c:v>
                </c:pt>
                <c:pt idx="5">
                  <c:v>6.6</c:v>
                </c:pt>
                <c:pt idx="6">
                  <c:v>45.4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24.2</c:v>
                </c:pt>
                <c:pt idx="1">
                  <c:v>11.3</c:v>
                </c:pt>
                <c:pt idx="2">
                  <c:v>9.6</c:v>
                </c:pt>
                <c:pt idx="3">
                  <c:v>8.6</c:v>
                </c:pt>
                <c:pt idx="4">
                  <c:v>7.7</c:v>
                </c:pt>
                <c:pt idx="5">
                  <c:v>6.3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0.0"x"</c:formatCode>
                <c:ptCount val="6"/>
                <c:pt idx="0">
                  <c:v>8.2</c:v>
                </c:pt>
                <c:pt idx="1">
                  <c:v>8.2</c:v>
                </c:pt>
                <c:pt idx="2">
                  <c:v>8.2</c:v>
                </c:pt>
                <c:pt idx="3">
                  <c:v>8.2</c:v>
                </c:pt>
                <c:pt idx="4">
                  <c:v>8.2</c:v>
                </c:pt>
                <c:pt idx="5">
                  <c:v>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DO &amp; CO</c:v>
                </c:pt>
                <c:pt idx="1">
                  <c:v>Compass Group</c:v>
                </c:pt>
                <c:pt idx="2">
                  <c:v>Sodexo</c:v>
                </c:pt>
                <c:pt idx="3">
                  <c:v>Aramark</c:v>
                </c:pt>
                <c:pt idx="4">
                  <c:v>Elior Group</c:v>
                </c:pt>
                <c:pt idx="5">
                  <c:v>SSP Group</c:v>
                </c:pt>
                <c:pt idx="6">
                  <c:v>Avolta</c:v>
                </c:pt>
                <c:pt idx="7">
                  <c:v>Çelebi Aviation</c:v>
                </c:pt>
              </c:strCache>
            </c:strRef>
          </c:cat>
          <c:val>
            <c:numRef>
              <c:f>Hoja1!$B$2:$B$9</c:f>
              <c:numCache>
                <c:formatCode>0.0"x"</c:formatCode>
                <c:ptCount val="8"/>
                <c:pt idx="0">
                  <c:v>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Vermaat Groep (catering y restauración, Países Bajos)</c:v>
                </c:pt>
                <c:pt idx="1">
                  <c:v>Worldwide Flight Services (asistencia de carga aérea)</c:v>
                </c:pt>
                <c:pt idx="2">
                  <c:v>Areas (restauración en aeropuertos y autopistas)</c:v>
                </c:pt>
                <c:pt idx="3">
                  <c:v>gategroup (catering aéreo, cotizada)</c:v>
                </c:pt>
                <c:pt idx="4">
                  <c:v>LSG Sky Chefs Europa (≈ 1.100 M EUR de ventas)</c:v>
                </c:pt>
              </c:strCache>
            </c:strRef>
          </c:cat>
          <c:val>
            <c:numRef>
              <c:f>Hoja1!$B$2:$B$6</c:f>
              <c:numCache>
                <c:formatCode>0.0"x"</c:formatCode>
                <c:ptCount val="5"/>
                <c:pt idx="1">
                  <c:v>9.7</c:v>
                </c:pt>
                <c:pt idx="2">
                  <c:v>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2027e</c:v>
                </c:pt>
                <c:pt idx="1">
                  <c:v>2028e</c:v>
                </c:pt>
                <c:pt idx="2">
                  <c:v>2029e</c:v>
                </c:pt>
                <c:pt idx="3">
                  <c:v>2030e</c:v>
                </c:pt>
                <c:pt idx="4">
                  <c:v>2031e</c:v>
                </c:pt>
                <c:pt idx="5">
                  <c:v>2032e</c:v>
                </c:pt>
                <c:pt idx="6">
                  <c:v>2033e</c:v>
                </c:pt>
              </c:strCache>
            </c:strRef>
          </c:cat>
          <c:val>
            <c:numRef>
              <c:f>Hoja1!$B$2:$B$8</c:f>
              <c:numCache>
                <c:formatCode>#,##0</c:formatCode>
                <c:ptCount val="7"/>
                <c:pt idx="0">
                  <c:v>147</c:v>
                </c:pt>
                <c:pt idx="1">
                  <c:v>150</c:v>
                </c:pt>
                <c:pt idx="2">
                  <c:v>173</c:v>
                </c:pt>
                <c:pt idx="3">
                  <c:v>199</c:v>
                </c:pt>
                <c:pt idx="4">
                  <c:v>211</c:v>
                </c:pt>
                <c:pt idx="5">
                  <c:v>222</c:v>
                </c:pt>
                <c:pt idx="6">
                  <c:v>232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930</c:v>
                </c:pt>
                <c:pt idx="1">
                  <c:v>1960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195,00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145.94</c:v>
                </c:pt>
                <c:pt idx="1">
                  <c:v>223.62</c:v>
                </c:pt>
                <c:pt idx="2">
                  <c:v>269.44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195,00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(160,00 – 230,00)</c:v>
                </c:pt>
                <c:pt idx="1">
                  <c:v>Comparables: PER NTM (131,49 – 227,84)</c:v>
                </c:pt>
                <c:pt idx="2">
                  <c:v>DCF (WACC y g ± 0,5) (194,30 – 262,91)</c:v>
                </c:pt>
                <c:pt idx="3">
                  <c:v>Escenarios (bajista – alcista) (145,94 – 269,44)</c:v>
                </c:pt>
                <c:pt idx="4">
                  <c:v>DCF con la prima implícita del mercado (4,2 %)</c:v>
                </c:pt>
                <c:pt idx="5">
                  <c:v>Precio actual (195,00)</c:v>
                </c:pt>
              </c:strCache>
            </c:strRef>
          </c:cat>
          <c:val>
            <c:numRef>
              <c:f>Hoja1!$B$2:$B$7</c:f>
              <c:numCache>
                <c:formatCode>#,##0</c:formatCode>
                <c:ptCount val="6"/>
                <c:pt idx="0">
                  <c:v>160</c:v>
                </c:pt>
                <c:pt idx="1">
                  <c:v>131.49</c:v>
                </c:pt>
                <c:pt idx="2">
                  <c:v>194.3</c:v>
                </c:pt>
                <c:pt idx="3">
                  <c:v>145.94</c:v>
                </c:pt>
                <c:pt idx="4">
                  <c:v>232.55</c:v>
                </c:pt>
                <c:pt idx="5">
                  <c:v>194.03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(160,00 – 230,00)</c:v>
                </c:pt>
                <c:pt idx="1">
                  <c:v>Comparables: PER NTM (131,49 – 227,84)</c:v>
                </c:pt>
                <c:pt idx="2">
                  <c:v>DCF (WACC y g ± 0,5) (194,30 – 262,91)</c:v>
                </c:pt>
                <c:pt idx="3">
                  <c:v>Escenarios (bajista – alcista) (145,94 – 269,44)</c:v>
                </c:pt>
                <c:pt idx="4">
                  <c:v>DCF con la prima implícita del mercado (4,2 %)</c:v>
                </c:pt>
                <c:pt idx="5">
                  <c:v>Precio actual (195,00)</c:v>
                </c:pt>
              </c:strCache>
            </c:strRef>
          </c:cat>
          <c:val>
            <c:numRef>
              <c:f>Hoja1!$C$2:$C$7</c:f>
              <c:numCache>
                <c:formatCode>#,##0</c:formatCode>
                <c:ptCount val="6"/>
                <c:pt idx="0">
                  <c:v>70</c:v>
                </c:pt>
                <c:pt idx="1">
                  <c:v>96.35</c:v>
                </c:pt>
                <c:pt idx="2">
                  <c:v>68.61000000000001</c:v>
                </c:pt>
                <c:pt idx="3">
                  <c:v>123.5</c:v>
                </c:pt>
                <c:pt idx="4">
                  <c:v>49.46999999999997</c:v>
                </c:pt>
                <c:pt idx="5">
                  <c:v>1.9399999999999977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