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H&amp;R Block, Inc.</w:t>
      </w:r>
    </w:p>
    <w:p>
      <w:pPr>
        <w:spacing w:after="60"/>
        <w:rPr>
          <w:color w:val="52514E"/>
          <w:sz w:val="22"/>
          <w:szCs w:val="22"/>
        </w:rPr>
      </w:pPr>
      <w:r>
        <w:rPr>
          <w:color w:val="52514E"/>
          <w:sz w:val="22"/>
          <w:szCs w:val="22"/>
        </w:rPr>
        <w:t xml:space="preserve">HRB · New York Stock Exchange · ISIN US0936711052 · Consumo discrecional</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19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48,67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54,46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+15,3 % (base +18,9 %)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77,95 USD · mercado 86,81</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6.069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0,6x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H&amp;R Block, Inc.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HRB / US0936711052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New York Stock Exchange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MidCap 400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Consumo discrecional / Servicios al consumidor diversificados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Kansas City (Misuri) · 1955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https://www.hrblock.com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48,67 (16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28,16 – 58,67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124,7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6.069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6.679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98,6 M USD/día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54,46 USD</w:t>
      </w:r>
      <w:r>
        <w:t xml:space="preserve"> frente a 48,67 · Rentabilidad a 12 meses </w:t>
      </w:r>
      <w:r>
        <w:rPr>
          <w:b/>
          <w:bCs/>
        </w:rPr>
        <w:t xml:space="preserve">+15,3 % (base +18,9 %)</w:t>
      </w:r>
      <w:r>
        <w:t xml:space="preserve"> · Valor intrínseco 77,95 USD · con la prima implícita del mercado: 86,81 (+78,4 %) · Alcista / bajista +89,4 % / -10,3 %</w:t>
      </w:r>
    </w:p>
    <w:p>
      <w:pPr>
        <w:spacing w:after="100"/>
      </w:pPr>
      <w:r>
        <w:rPr>
          <w:b/>
        </w:rPr>
        <w:t xml:space="preserve">La recomendación y por qué.</w:t>
      </w:r>
      <w:r>
        <w:t xml:space="preserve"> Mantener, con convicción media. El objetivo a 12 meses es de 54,46 USD (nuestro BPA ajustado de FY2028e × el PER de la regla común), una rentabilidad ponderada del 15,3 % con el dividendo y del 18,9 % en el caso base, frente a un precio de 48,67 USD (cierre del 16-oct-2026; 48,31 en la sesión del 19-oct a las 11:17 de Nueva York). El valor intrínseco (77,95 USD) queda un 60 % por encima y el objetivo medio de los analistas (51,67) un 6 %. La regla da Comprar en el límite, pero no compramos: la sostenibilidad del crecimiento es «En parte» y la regla v2 de control da un 9,7 %. La convicción es media porque el precio ya descuenta un declive (ventas −4,3 % al año en el DCF inverso); la subiría una temporada de 2027 con más de 11,3 M declaraciones asistidas y la bajaría un precio medio que deja de subir.</w:t>
      </w:r>
    </w:p>
    <w:p>
      <w:pPr>
        <w:spacing w:after="100"/>
      </w:pPr>
      <w:r>
        <w:rPr>
          <w:b/>
        </w:rPr>
        <w:t xml:space="preserve">El negocio.</w:t>
      </w:r>
      <w:r>
        <w:t xml:space="preserve"> H&amp;R Block prepara 22,3 M de declaraciones al año: 11,3 M en sus 8.600 oficinas de EE. UU. y 3,6 M de pago en su software, más Canadá y Australia [1, 3]. Gana un margen EBITDA del 26,1 % con una inversión del 2,1 % de las ventas y circulante negativo: el ROIC exigente es del 40 %, ≈ 31 puntos sobre el WACC (calidad de rentabilidad «Sí»). Pero la sostenibilidad del crecimiento es «En parte»: el volumen asistido no crece (−0,1 % en 2026) y todo el crecimiento sale del precio, justo lo que la IA y las rebajas de TurboTax amenazan.</w:t>
      </w:r>
    </w:p>
    <w:p>
      <w:pPr>
        <w:spacing w:after="100"/>
      </w:pPr>
      <w:r>
        <w:rPr>
          <w:b/>
        </w:rPr>
        <w:t xml:space="preserve">Sector y ciclo.</w:t>
      </w:r>
      <w:r>
        <w:t xml:space="preserve"> El mercado crece un 1,9 % al año [17] y las declaraciones con profesional, un 0,6 % [18]. Intuit lleva TurboTax Live a la asistida (+37 %) y anunció agentes de IA y rebajas de precio [19, 20]. Direct File está suspendido [1].</w:t>
      </w:r>
    </w:p>
    <w:p>
      <w:pPr>
        <w:spacing w:after="100"/>
      </w:pPr>
      <w:r>
        <w:rPr>
          <w:b/>
        </w:rPr>
        <w:t xml:space="preserve">Finanzas.</w:t>
      </w:r>
      <w:r>
        <w:t xml:space="preserve"> Ventas de 3.945 M USD (+4,9 %) y BPA ajustado de 5,31 USD en FY2026 (+14 %); la guía de FY2027 es de 6,04-6,24 (+14-18 %) [2]. El BPA ajustado crece un 10,9 % al año desde FY2022 con ventas al 3,3 %: la diferencia son las recompras (2.462 M en cinco años; las acciones medias, de 171 M a 129 M). Flujo libre de 756 M (conversión del 103 %) y deuda neta de 533 M, 0,5 veces el EBITDA.</w:t>
      </w:r>
    </w:p>
    <w:p>
      <w:pPr>
        <w:spacing w:after="100"/>
      </w:pPr>
      <w:r>
        <w:rPr>
          <w:b/>
        </w:rPr>
        <w:t xml:space="preserve">Equipo y gobierno.</w:t>
      </w:r>
      <w:r>
        <w:t xml:space="preserve"> Curtis Campbell dirige desde enero de 2026 con un presidente independiente; la guía se ha cumplido o superado en dos de tres años [2, 25]. Resta: ninguna compra de directivos y ventas del ex consejero delegado por 13,9 M sin plan 10b5-1 [28].</w:t>
      </w:r>
    </w:p>
    <w:p>
      <w:pPr>
        <w:spacing w:after="100"/>
      </w:pPr>
      <w:r>
        <w:rPr>
          <w:b/>
        </w:rPr>
        <w:t xml:space="preserve">Valoración.</w:t>
      </w:r>
      <w:r>
        <w:t xml:space="preserve"> El DCF da 79,61 USD (+63,6 %) y el precio descuenta una caída de ventas del 4,3 % anual: el mercado apuesta a que la IA rompe la asistida. La regla a 12 meses sube el PER de 7,7 a 8,4 veces, por debajo de su mediana adelantada (9,2). Coincidimos con el consenso en FY2027 (6,17 frente a 6,15) y quedamos un 3 % por debajo en FY2028 por las recompras.</w:t>
      </w:r>
    </w:p>
    <w:p>
      <w:pPr>
        <w:spacing w:after="100"/>
      </w:pPr>
      <w:r>
        <w:rPr>
          <w:b/>
        </w:rPr>
        <w:t xml:space="preserve">Riesgos y catalizadores.</w:t>
      </w:r>
      <w:r>
        <w:t xml:space="preserve"> El riesgo dominante es la IA (bajista a 43,65 USD, −45 % frente al base), seguido de la guerra de precios de Intuit y de un múltiplo que se quede en 6-7 veces. Catalizadores: precios de la temporada (enero de 2027), estadísticas del IRS (febrero) y resultados del 3T (mayo de 2027).</w:t>
      </w:r>
    </w:p>
    <w:p>
      <w:pPr>
        <w:spacing w:after="100"/>
      </w:pPr>
      <w:r>
        <w:rPr>
          <w:b/>
        </w:rPr>
        <w:t xml:space="preserve">Qué cambiaría la decisión.</w:t>
      </w:r>
      <w:r>
        <w:t xml:space="preserve"> Por debajo de 48,81 USD la regla da Comprar, pero no basta: haría falta pasar la sostenibilidad a «Sí», con una temporada de 2027 de volumen asistido estable o creciente y un NAC de +3 % o más. Vender por encima de 62,37 USD. Declaraciones asistidas por debajo de 11 M o rebajas de precio propias nos llevarían a revisar a la baja.</w:t>
      </w:r>
    </w:p>
    <w:p>
      <w:r>
        <w:br w:type="page"/>
      </w:r>
    </w:p>
    <w:p>
      <w:pPr>
        <w:pStyle w:val="Heading1"/>
      </w:pPr>
      <w:r>
        <w:t xml:space="preserve">Resumen ejecutivo</w:t>
      </w:r>
    </w:p>
    <w:p>
      <w:pPr>
        <w:spacing w:after="100"/>
      </w:pPr>
      <w:r>
        <w:rPr>
          <w:b/>
          <w:bCs/>
        </w:rPr>
        <w:t xml:space="preserve">Recomendación: Mantener</w:t>
      </w:r>
      <w:r>
        <w:t xml:space="preserve"> · Convicción: Media · Horizonte: 12 meses · Objetivo a 12 meses: </w:t>
      </w:r>
      <w:r>
        <w:rPr>
          <w:b/>
          <w:bCs/>
        </w:rPr>
        <w:t xml:space="preserve">54,46 USD</w:t>
      </w:r>
      <w:r>
        <w:t xml:space="preserve"> (rentabilidad +15,3 % (base +18,9 %)) · Valor intrínseco: 77,95 USD (+60,2 % sobre 48,67) · con la prima implícita del mercado: 86,81 (+78,4 %)</w:t>
      </w:r>
    </w:p>
    <w:p>
      <w:pPr>
        <w:spacing w:after="100"/>
      </w:pPr>
      <w:r>
        <w:t xml:space="preserve">H&amp;R Block es el mayor preparador de impuestos con oficina de EE. UU.: 11,3 M declaraciones asistidas en 8.600 oficinas y 3,6 M de pago en su software, con un margen EBITDA del 26 %, una inversión del 2 % de las ventas y un ROIC exigente del 40 % [1, 2]. Devuelve casi todo el flujo libre (756 M en FY2026) con recompras y dividendo, y así el BPA ajustado crece un 8-14 % al año con ventas al 3-5 %.</w:t>
      </w:r>
    </w:p>
    <w:p>
      <w:pPr>
        <w:spacing w:after="100"/>
      </w:pPr>
      <w:r>
        <w:t xml:space="preserve">El precio (48,67 USD, 7,7 veces el BPA de los próximos 12 meses y 6,5 el EBITDA) descuenta un declive: con nuestro margen, las ventas tendrían que caer un 4,3 % al año para que valga lo que cuesta. Es el múltiplo más bajo del grupo después de Western Union y está cerca de su mínimo de cinco años (6,2 veces en junio de 2026) [30, 31].</w:t>
      </w:r>
    </w:p>
    <w:p>
      <w:pPr>
        <w:spacing w:after="100"/>
      </w:pPr>
      <w:r>
        <w:t xml:space="preserve">Para invertir hay que creer que la IA cambia cómo se prepara la declaración, pero no quién la firma: que la mitad de los contribuyentes que pagan a un profesional seguirá queriendo una persona y una garantía, y que H&amp;R Block usará la IA para preparar más declaraciones con menos horas. Las dos últimas temporadas apoyan esa idea (volumen estable, precio +4-6 %), pero no la prueban: la IA con agentes y la guerra de precios de Intuit llegan en la temporada de 2027. El mercado puede tener razón; el precio paga bien la espera, no la certeza.</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FY2028e, ponderado 30/50/20)</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54,46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6,2x × 5,37 = 33,29 · 8,4x × 6,69 = 56,20 · 11,4x × 7,18 = 81,85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15,3 % / 18,9 %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51,67 (nuestro base +8,8 %)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77,95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89,4 % / -10,3 %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8,68x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13,6 % frente a 9,2 % y 8,4 %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8,4 %)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86,81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más de 20x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(FY2027e-FY2034e)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-4,3 % frente a 1,3 %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(2,8 %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48,81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48,81 y 62,37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62,37 (ponderada a 12 meses ≤ -10 %)</w:t>
            </w:r>
          </w:p>
        </w:tc>
      </w:tr>
    </w:tbl>
    <w:p>
      <w:pPr>
        <w:spacing w:after="160" w:before="0"/>
      </w:pPr>
    </w:p>
    <w:p>
      <w:pPr>
        <w:spacing w:after="100"/>
      </w:pPr>
      <w:r>
        <w:rPr>
          <w:b/>
          <w:bCs/>
        </w:rPr>
        <w:t xml:space="preserve">Por qué la recomendación se aparta de la regla.</w:t>
      </w:r>
    </w:p>
    <w:p>
      <w:pPr>
        <w:spacing w:after="100"/>
      </w:pPr>
      <w:r>
        <w:t xml:space="preserve">La regla a 12 meses da Comprar por muy poco (ponderada del 15,3 % frente al umbral del 15 %, base del 18,9 % y valor intrínseco de 77,95 USD), pero nos apartamos de ella por dos razones que la valoración no recoge del todo. Primera, la calidad: la sostenibilidad del crecimiento es «En parte», porque todo el crecimiento sale de subir el precio por declaración mientras el volumen asistido no crece y la IA e Intuit presionan precisamente esa línea; con «En parte» el método no compra aunque toque su precio. Segunda, la robustez: con la regla v2 de control (historia al cierre) la ponderada es del 9,7 %, por debajo del 10 %, así que la compra no es robusta. La acción está barata si la temporada de 2027 confirma que el volumen asistido aguanta; antes de verlo, Mantener.</w:t>
      </w:r>
    </w:p>
    <w:p>
      <w:pPr>
        <w:pStyle w:val="Heading2"/>
      </w:pPr>
      <w:r>
        <w:t xml:space="preserve">Qué cambiaría la recomendación</w:t>
      </w:r>
    </w:p>
    <w:p>
      <w:pPr>
        <w:pStyle w:val="ListParagraph"/>
        <w:numPr>
          <w:ilvl w:val="0"/>
          <w:numId w:val="2"/>
        </w:numPr>
        <w:spacing w:after="60"/>
      </w:pPr>
      <w:r>
        <w:t xml:space="preserve">Temporada de 2027 con declaraciones asistidas estables o crecientes (≥ 11,3 M) y NAC ≥ +3 %: la sostenibilidad pasaría a «Sí» y, con el precio por debajo de 48,81 USD, Comprar.</w:t>
      </w:r>
    </w:p>
    <w:p>
      <w:pPr>
        <w:pStyle w:val="ListParagraph"/>
        <w:numPr>
          <w:ilvl w:val="0"/>
          <w:numId w:val="2"/>
        </w:numPr>
        <w:spacing w:after="60"/>
      </w:pPr>
      <w:r>
        <w:t xml:space="preserve">Precio por debajo de 44,11 USD (límite robusto: v3 y v2 pasan aun con el BPA un 10 % menor): solo con la sostenibilidad en «Sí»; el precio por sí solo no basta.</w:t>
      </w:r>
    </w:p>
    <w:p>
      <w:pPr>
        <w:pStyle w:val="ListParagraph"/>
        <w:numPr>
          <w:ilvl w:val="0"/>
          <w:numId w:val="2"/>
        </w:numPr>
        <w:spacing w:after="60"/>
      </w:pPr>
      <w:r>
        <w:t xml:space="preserve">Declaraciones asistidas por debajo de 11 M o rebajas de precio propias en la temporada de 2027: revisar el caso base a la baja y valorar Vender.</w:t>
      </w:r>
    </w:p>
    <w:p>
      <w:pPr>
        <w:pStyle w:val="ListParagraph"/>
        <w:numPr>
          <w:ilvl w:val="0"/>
          <w:numId w:val="2"/>
        </w:numPr>
        <w:spacing w:after="60"/>
      </w:pPr>
      <w:r>
        <w:t xml:space="preserve">Precio por encima de 62,37 USD: Vender o reducir.</w:t>
      </w:r>
    </w:p>
    <w:p>
      <w:pPr>
        <w:pStyle w:val="ListParagraph"/>
        <w:numPr>
          <w:ilvl w:val="0"/>
          <w:numId w:val="2"/>
        </w:numPr>
        <w:spacing w:after="60"/>
      </w:pPr>
      <w:r>
        <w:t xml:space="preserve">Restablecimiento o ampliación de Direct File por el IRS: revisar el bajista al alza de probabilidad.</w:t>
      </w:r>
    </w:p>
    <w:p>
      <w:pPr>
        <w:pStyle w:val="Heading2"/>
      </w:pPr>
      <w:r>
        <w:t xml:space="preserve">Dónde discrepamos del mercado</w:t>
      </w:r>
    </w:p>
    <w:p>
      <w:pPr>
        <w:keepNext/>
        <w:spacing w:after="100"/>
      </w:pPr>
      <w:r>
        <w:rPr>
          <w:b/>
          <w:bCs/>
        </w:rPr>
        <w:t xml:space="preserve">Lo que descuenta el precio.</w:t>
      </w:r>
    </w:p>
    <w:p>
      <w:pPr>
        <w:spacing w:after="100"/>
      </w:pPr>
      <w:r>
        <w:t xml:space="preserve">Que la IA y TurboTax Live vacían las oficinas: con el precio actual, las ventas caerían un 4,3 % al año con el margen de hoy. Los analistas, más prudentes (objetivo medio de 51,67 USD, uno con Vender a 32), recortaron un 11 % el BPA de FY2028 en 90 días.</w:t>
      </w:r>
    </w:p>
    <w:p>
      <w:pPr>
        <w:keepNext/>
        <w:spacing w:after="100"/>
      </w:pPr>
      <w:r>
        <w:rPr>
          <w:b/>
          <w:bCs/>
        </w:rPr>
        <w:t xml:space="preserve">Lo que creemos nosotros.</w:t>
      </w:r>
    </w:p>
    <w:p>
      <w:pPr>
        <w:spacing w:after="100"/>
      </w:pPr>
      <w:r>
        <w:t xml:space="preserve">Que el volumen asistido se mantiene unos años y empieza a caer poco (−0,5 % al año desde FY2030), con el precio subiendo menos que hasta ahora. Es un negocio maduro, no uno en derrumbe: vale más de lo que cuesta, pero su crecimiento depende de una sola palanca, el precio, que es la que la IA amenaza.</w:t>
      </w:r>
    </w:p>
    <w:p>
      <w:pPr>
        <w:keepNext/>
        <w:spacing w:after="100"/>
      </w:pPr>
      <w:r>
        <w:rPr>
          <w:b/>
          <w:bCs/>
        </w:rPr>
        <w:t xml:space="preserve">Por qué podemos tener razón.</w:t>
      </w:r>
    </w:p>
    <w:p>
      <w:pPr>
        <w:spacing w:after="100"/>
      </w:pPr>
      <w:r>
        <w:t xml:space="preserve">La declaración asistida no cayó cuando llegaron el software gratuito, Free File ni Direct File; los clientes de oficina pagan por delegar y por la garantía, y en 2026 el número de clientes nuevos en oficinas propias subió. Pero no hay precedente de un agente de IA gratuito y bueno: por eso no compramos antes de ver la temporada de 2027.</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48,67"/>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r>
    </w:tbl>
    <w:p>
      <w:pPr>
        <w:spacing w:after="160" w:before="0"/>
      </w:pPr>
    </w:p>
    <w:p>
      <w:pPr>
        <w:pStyle w:val="Heading2"/>
      </w:pPr>
      <w:r>
        <w:t xml:space="preserve">A favor</w:t>
      </w:r>
    </w:p>
    <w:p>
      <w:pPr>
        <w:pStyle w:val="ListParagraph"/>
        <w:numPr>
          <w:ilvl w:val="0"/>
          <w:numId w:val="2"/>
        </w:numPr>
        <w:spacing w:after="60"/>
      </w:pPr>
      <w:r>
        <w:rPr>
          <w:b/>
        </w:rPr>
        <w:t xml:space="preserve">Barata</w:t>
      </w:r>
      <w:r>
        <w:t xml:space="preserve">: 7,7 veces el BPA de los próximos 12 meses y 6,5 el EBITDA; el precio descuenta ventas −4,3 % al año.</w:t>
      </w:r>
    </w:p>
    <w:p>
      <w:pPr>
        <w:pStyle w:val="ListParagraph"/>
        <w:numPr>
          <w:ilvl w:val="0"/>
          <w:numId w:val="2"/>
        </w:numPr>
        <w:spacing w:after="60"/>
      </w:pPr>
      <w:r>
        <w:rPr>
          <w:b/>
        </w:rPr>
        <w:t xml:space="preserve">Rentable y sin capital</w:t>
      </w:r>
      <w:r>
        <w:t xml:space="preserve">: ROIC exigente del 40 % con una inversión del 2,1 % de las ventas.</w:t>
      </w:r>
    </w:p>
    <w:p>
      <w:pPr>
        <w:pStyle w:val="ListParagraph"/>
        <w:numPr>
          <w:ilvl w:val="0"/>
          <w:numId w:val="2"/>
        </w:numPr>
        <w:spacing w:after="60"/>
      </w:pPr>
      <w:r>
        <w:rPr>
          <w:b/>
        </w:rPr>
        <w:t xml:space="preserve">Retorno al accionista</w:t>
      </w:r>
      <w:r>
        <w:t xml:space="preserve">: 724 M devueltos en FY2026 (≈ 12 % de la capitalización), dividendo +10 %.</w:t>
      </w:r>
    </w:p>
    <w:p>
      <w:pPr>
        <w:pStyle w:val="ListParagraph"/>
        <w:numPr>
          <w:ilvl w:val="0"/>
          <w:numId w:val="2"/>
        </w:numPr>
        <w:spacing w:after="60"/>
      </w:pPr>
      <w:r>
        <w:rPr>
          <w:b/>
        </w:rPr>
        <w:t xml:space="preserve">Guía al alza</w:t>
      </w:r>
      <w:r>
        <w:t xml:space="preserve">: BPA ajustado de FY2027 de 6,04-6,24 USD (+14-18 %).</w:t>
      </w:r>
    </w:p>
    <w:p>
      <w:pPr>
        <w:pStyle w:val="ListParagraph"/>
        <w:numPr>
          <w:ilvl w:val="0"/>
          <w:numId w:val="2"/>
        </w:numPr>
        <w:spacing w:after="60"/>
      </w:pPr>
      <w:r>
        <w:rPr>
          <w:b/>
        </w:rPr>
        <w:t xml:space="preserve">Marca y red</w:t>
      </w:r>
      <w:r>
        <w:t xml:space="preserve">: 8.600 oficinas y 22,3 M declaraciones; Direct File suspendido.</w:t>
      </w:r>
    </w:p>
    <w:p>
      <w:pPr>
        <w:pStyle w:val="Heading2"/>
      </w:pPr>
      <w:r>
        <w:t xml:space="preserve">En contra</w:t>
      </w:r>
    </w:p>
    <w:p>
      <w:pPr>
        <w:pStyle w:val="ListParagraph"/>
        <w:numPr>
          <w:ilvl w:val="0"/>
          <w:numId w:val="2"/>
        </w:numPr>
        <w:spacing w:after="60"/>
      </w:pPr>
      <w:r>
        <w:rPr>
          <w:b/>
        </w:rPr>
        <w:t xml:space="preserve">IA</w:t>
      </w:r>
      <w:r>
        <w:t xml:space="preserve">: agentes que preparan una declaración sencilla; bajista a 43,65 USD (−45 % frente al base).</w:t>
      </w:r>
    </w:p>
    <w:p>
      <w:pPr>
        <w:pStyle w:val="ListParagraph"/>
        <w:numPr>
          <w:ilvl w:val="0"/>
          <w:numId w:val="2"/>
        </w:numPr>
        <w:spacing w:after="60"/>
      </w:pPr>
      <w:r>
        <w:rPr>
          <w:b/>
        </w:rPr>
        <w:t xml:space="preserve">Volumen plano</w:t>
      </w:r>
      <w:r>
        <w:t xml:space="preserve">: 11,3 M declaraciones asistidas (−0,1 %); todo el crecimiento es precio.</w:t>
      </w:r>
    </w:p>
    <w:p>
      <w:pPr>
        <w:pStyle w:val="ListParagraph"/>
        <w:numPr>
          <w:ilvl w:val="0"/>
          <w:numId w:val="2"/>
        </w:numPr>
        <w:spacing w:after="60"/>
      </w:pPr>
      <w:r>
        <w:rPr>
          <w:b/>
        </w:rPr>
        <w:t xml:space="preserve">Intuit</w:t>
      </w:r>
      <w:r>
        <w:t xml:space="preserve">: TurboTax Live +37 % y rebajas de precio frente a rivales de IA.</w:t>
      </w:r>
    </w:p>
    <w:p>
      <w:pPr>
        <w:pStyle w:val="ListParagraph"/>
        <w:numPr>
          <w:ilvl w:val="0"/>
          <w:numId w:val="2"/>
        </w:numPr>
        <w:spacing w:after="60"/>
      </w:pPr>
      <w:r>
        <w:rPr>
          <w:b/>
        </w:rPr>
        <w:t xml:space="preserve">Compra no robusta</w:t>
      </w:r>
      <w:r>
        <w:t xml:space="preserve">: la regla v2 de control da un 9,7 % y la v3 pasa por 0,3 puntos.</w:t>
      </w:r>
    </w:p>
    <w:p>
      <w:pPr>
        <w:pStyle w:val="ListParagraph"/>
        <w:numPr>
          <w:ilvl w:val="0"/>
          <w:numId w:val="2"/>
        </w:numPr>
        <w:spacing w:after="60"/>
      </w:pPr>
      <w:r>
        <w:rPr>
          <w:b/>
        </w:rPr>
        <w:t xml:space="preserve">Directivos</w:t>
      </w:r>
      <w:r>
        <w:t xml:space="preserve">: ninguna compra en 12 meses; 13,9 M vendidos por el ex consejero delegado.</w:t>
      </w:r>
    </w:p>
    <w:p>
      <w:pPr>
        <w:pStyle w:val="Heading2"/>
      </w:pPr>
      <w:r>
        <w:t xml:space="preserve">Qué tiene que pasar para que la tesis funcione</w:t>
      </w:r>
    </w:p>
    <w:p>
      <w:pPr>
        <w:spacing w:after="100"/>
      </w:pPr>
      <w:r>
        <w:t xml:space="preserve">La tesis depende de que la declaración asistida conserve su volumen y su precio frente a la IA y a TurboTax Live. La señal en contra sería que las estadísticas del IRS de febrero de 2027 muestren las declaraciones con profesional cayendo más de un 2 %, que H&amp;R Block baje precios para la temporada o que el 3T FY2027 (mayo) traiga menos de 11 M declaraciones asistidas o un NAC por debajo del +2 %.</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Declaraciones asistidas en EE. UU.</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M (temporada de 2026, −0,1 %)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11,0 M</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la sustitución por IA y TurboTax Live.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medio por declaración asistida (NAC)</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 (oficinas propias, 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Todo el crecimiento proyectado sale del precio.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Declaraciones con profesional (IRS, semanal)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75,3 M a 8-may-2026 (+0,6 %)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−2 % en febrero-marzo de 2027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Termómetro del mercado entero antes que los resultados.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BPA ajustado (guía FY2027)</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6,04-6,24 USD</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6,04 USD</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del objetivo a 12 meses.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Unidades de TurboTax Live (Intuit)</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+37 % de ingresos en FY2026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+30 % con H&amp;R Block perdiendo volumen</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competidor que lleva lo digital a la asistida.</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6,5x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8,6x / 7,6x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7,4x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1,69x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(FY2022-FY2026)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125,3 %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0,5x · 0,6x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Henry y Richard Bloch fundaron la empresa en Kansas City en 1955 y la sacaron a bolsa en 1962; desde entonces paga dividendo trimestral sin interrupción [2]. Creció con la red de franquicias y oficinas propias hasta ser la marca de referencia de la renta asistida en EE. UU. Tras vender la banca (H&amp;R Block Bank) y otros negocios, en la década de 2010 se concentró en la preparación fiscal y empezó a recomprar acciones de forma masiva (más del 48 % desde 2016) [2]. En 2019 compró Wave para pequeñas empresas y en 2021 cambió el cierre del ejercicio de abril a junio [1]. En enero de 2026 Curtis Campbell, que había dirigido TaxAct y fue directivo de Intuit, sustituyó a Jeff Jones como consejero delegado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1955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en Kansas City por Henry y Richard Bloch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1962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dividendo trimestral ininterrumpido desde entonces [2].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Empieza la etapa de recompras masivas: más del 48 % de las acciones retiradas hasta 2026 [2].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Wave Financial (software para pequeñas empresas)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Cambio del cierre del ejercicio de abril a junio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IRS lanza Direct File (2024 y 2025); se suspende para 2026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Curtis Campbell, consejero delegado desde enero; nueva estrategia «experta y apoyada en tecnología» [1].</w:t>
            </w:r>
          </w:p>
        </w:tc>
      </w:tr>
    </w:tbl>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H&amp;R Block prepara declaraciones de la renta de particulares y pequeñas empresas en EE. UU., Canadá y Australia: en 6.802 oficinas propias y 1.814 franquiciadas (a 31-mar-2026), en remoto con un profesional, y con su programa de bricolaje (DIY) en línea, móvil y de escritorio, que incluye AI Tax Assist sin coste adicional [1]. En FY2026 sus profesionales firmaron 11,3 millones de declaraciones asistidas en EE. UU. y sus clientes presentaron 3,6 millones de declaraciones DIY de pago; en total, 22,3 millones de declaraciones pasaron por la empresa [1]. Alrededor vende productos ligados al reembolso: Refund Transfers (cobrar la tarifa del propio reembolso), la garantía ampliada Peace of Mind, protección de identidad, la tarjeta Emerald y la cuenta Spruce, y préstamos de un banco socio con cargo al reembolso [1]. Para pequeñas empresas tiene Block Advisors (contabilidad, nóminas) y Wave (software y cobros) [1].</w:t>
      </w:r>
    </w:p>
    <w:p>
      <w:pPr>
        <w:pStyle w:val="Heading2"/>
      </w:pPr>
      <w:r>
        <w:t xml:space="preserve">Cómo gana dinero</w:t>
      </w:r>
    </w:p>
    <w:p>
      <w:pPr>
        <w:spacing w:after="100"/>
      </w:pPr>
      <w:r>
        <w:t xml:space="preserve">El 88 % de los ingresos de FY2026 es preparación fiscal en EE. UU. (3.458 M de 3.945 M), y dentro de ella la asistida propia pesa 2.561 M [2]. Cobra por declaración: el ingreso depende del número de clientes y del cobro medio (NAC), que sube cada año con la complejidad y las subidas de tarifa (+4,0 % en FY2026) [1]. Las franquicias pagan ≈30 % de su facturación [1]. Es muy estacional: casi todo se gana entre febrero y abril, y de julio a diciembre la empresa pierde dinero [1]. Los costes son sobre todo salarios de temporada (73.400 personas en el pico frente a 4.600 fijos), alquileres y publicidad [1]: hay apalancamiento operativo en el NAC (cada subida de tarifa cae casi entera al margen) y riesgo si el volumen baja, porque oficinas y campañas son fijas.</w:t>
      </w:r>
    </w:p>
    <w:p>
      <w:pPr>
        <w:pStyle w:val="Heading2"/>
      </w:pPr>
      <w:r>
        <w:t xml:space="preserve">Segmentos (FY2026)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8"/>
        <w:gridCol w:w="1320"/>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Asistida EE. UU. (oficinas propias y virtual)</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2.561</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64,9 %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Royalties de franquicias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DIY EE. UU. (programa propio)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Otros servicios fiscales EE. UU.</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Servicios financieros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Internacional (Canadá y Australia)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Wave</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FY202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31"/>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FY2025</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Asistida EE. UU. (oficinas propias y virtual)</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2.413</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2.561</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Royalties de franquicias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DIY EE. UU. (programa propio)</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Otros servicios fiscales EE. UU.</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Servicios financieros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Internacional (Canadá y Australia)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Wave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origen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Clientes particulares, muy repartidos: ningún cliente pesa. La repetición es alta pero no está publicada; la dirección dijo en agosto que la retención mejoró 190 puntos básicos en FY2026 [1]. El poder de precios está demostrado: el NAC asistido sube cada año (+4,0 % en FY2026) mientras el volumen total de asistidas está plano (−0,1 %) [1]. El límite lo pone la alternativa: el programa DIY de Intuit y su servicio asistido virtual TurboTax Live, que creció un 37 % en ingresos en su FY2026 [19], y el bricolaje gratuito. En DIY, el NAC pagado subió un 4,2 % con ingresos planos [1].</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Declaraciones asistidas EE. UU. (millones)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Propias +2,0 %, franquicias a la baja por las compras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Declaraciones DIY en línea pagadas (millones)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n.d.</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NAC pagado +4,2 %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Declaraciones totales por H&amp;R Block (millones)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n.d.</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 Canadá y Australia, incluidas las gratuitas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Cobro medio por declaración asistida propia (NAC)</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palanca del crecimiento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Oficinas propias / franquiciadas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6.802 / 1.814</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n.d.</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31-mar-2026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Retención de clientes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 pb</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 pb</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Según la conferencia de agosto [14].</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la preparación de declaraciones de la renta de particulares en EE. UU. por profesionales (oficinas, contables, preparadores independientes y servicios virtuales), donde H&amp;R Block gana el 65 % de sus ingresos; el bricolaje por programa (Intuit TurboTax, H&amp;R Block, TaxAct, FreeTaxUSA) es el sustituto directo. Se usa la cifra de IBISWorld para el asistido (15.000 M USD en 2026) y se contrasta con los volúmenes del IRS: 75,3 millones de declaraciones presentadas por profesionales y 65,7 millones por los propios contribuyentes hasta el 8-may-2026 [17, 18]. Con el NAC de la propia empresa (≈ 200-280 USD) el asistido vale entre 15.000 y 21.000 M, coherente con IBISWorld.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15.000 M USD en 2026 (preparación profesional en EE. UU.) [17]; más ≈ 5.300 M de TurboTax de Intuit en DIY y virtual [19]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IBISWorld, preparación profesional en EE. UU.))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Número de declaraciones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Declaraciones electrónicas recibidas +1,1 % hasta el 8-may-2026 (141,0 millones) [18].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Complejidad fiscal (ley fiscal de 2025: propinas, horas extra, deducciones nuevas)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reembolso medio subió un 11,5 % (3.276 USD) y H&amp;R Block subió su NAC un 4,0 % [1, 18].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Paso de lo asistido a lo hecho por uno mismo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Declaraciones de profesionales +0,6 % frente a autopreparadas +1,7 % en 2026 [18].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 y asistido virtual de bajo coste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TurboTax Live creció un 37 % en ingresos en el FY2026 de Intuit; Intuit baja precios de TurboTax para recuperar clientes que se van a alternativas de IA más baratas [19, 20].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Programas públicos gratuitos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 File del IRS suspendido para la temporada 2026; Free File con la industria hasta octubre de 2029 [1].</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Intuit, con TurboTax Live, ataca el asistido con precio y tecnología (+37 % en ingresos) [19]; miles de preparadores independientes compiten en precio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Particulares sin poder individual, pero que cambian de canal: la principal razón para dejar TurboTax es el precio, según Intuit [20].</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insumo es mano de obra de temporada (73.400 personas en el pico) y alquileres; salarios de campo +7,5 % en FY2026 [1, 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Entrantes «nativos de IA» en fiscalidad y contabilidad, citados por Goldman Sachs [21]; la marca, la red de oficinas y la garantía de exactitud siguen pesando en lo asistido.</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DIY gratuito, Free File, posible vuelta de Direct File y agentes de IA que rellenan la declaración: el riesgo central [1, 20].</w:t>
            </w:r>
          </w:p>
        </w:tc>
      </w:tr>
    </w:tbl>
    <w:p>
      <w:pPr>
        <w:spacing w:after="160" w:before="0"/>
      </w:pPr>
    </w:p>
    <w:p>
      <w:pPr>
        <w:pStyle w:val="Heading2"/>
      </w:pPr>
      <w:r>
        <w:t xml:space="preserve">Ciclo</w:t>
      </w:r>
    </w:p>
    <w:p>
      <w:pPr>
        <w:spacing w:after="100"/>
      </w:pPr>
      <w:r>
        <w:t xml:space="preserve">Es un mercado poco cíclico: la renta se presenta en cualquier ciclo. En 2008-09 H&amp;R Block mantuvo sus ingresos fiscales; en 2020 el aplazamiento del plazo al 15 de julio movió ingresos de un ejercicio a otro (FY2020 −15 %, FY2021 +29 % en las cuentas a abril) sin perderlos [1]. El volumen total crece al ritmo de la población que declara (≈1 %); lo que cambia es el reparto entre canales [18].</w:t>
      </w:r>
    </w:p>
    <w:p>
      <w:pPr>
        <w:pStyle w:val="Heading2"/>
      </w:pPr>
      <w:r>
        <w:t xml:space="preserve">Regulación</w:t>
      </w:r>
    </w:p>
    <w:p>
      <w:pPr>
        <w:spacing w:after="100"/>
      </w:pPr>
      <w:r>
        <w:t xml:space="preserve">El IRS ofreció Direct File (presentación gratuita directa) en 2024 y 2025 y lo suspendió para la temporada 2026; la empresa avisa de que puede volver o ampliarse [1]. El acuerdo Free File entre el IRS y la industria vence en octubre de 2029 [1]. Hay propuestas recurrentes para que la Administración prerrellene las declaraciones con los datos de empresas y bancos [1]. La ley fiscal de 2025 («One Big Beautiful Bill») añadió deducciones (propinas, horas extra) que hacen la declaración de 2026 más compleja [1]. Reguladores federales y estatales vigilan los productos ligados al reembolso y el uso de datos (píxeles) [1].</w:t>
      </w:r>
    </w:p>
    <w:p>
      <w:pPr>
        <w:pStyle w:val="Heading2"/>
      </w:pPr>
      <w:r>
        <w:t xml:space="preserve">Tendencias y disrupción</w:t>
      </w:r>
    </w:p>
    <w:p>
      <w:pPr>
        <w:spacing w:after="100"/>
      </w:pPr>
      <w:r>
        <w:t xml:space="preserve">La IA generativa cambia el bricolaje: Intuit integró asistentes en TurboTax, se alió con Anthropic en febrero de 2026 y presentó en septiembre un modelo «hecho por ti» que combina agentes de software y expertos humanos, mientras baja los precios de TurboTax [20]. H&amp;R Block responde con AI Tax Assist, ayuda de profesionales en su DIY y un modelo omnicanal [1]. La lectura del mercado es que la IA abarata la declaración simple y empuja a los preparadores a clientes complejos y asesoría (IBISWorld) [17]: H&amp;R Block gana si mantiene a los complejos y pierde los sencillos.</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2.º en preparación fiscal de EE. UU. por ingresos tras Intuit; ≈15 % de las declaraciones presentadas por profesionales (11,3 de 75,3 millones) y ≈5 % de las autopreparadas (3,6 millones DIY de pago) [1, 18]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 estrecha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Intuit (TurboTax y TurboTax Live)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INTU</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TurboTax 5.300 M en su FY2026 (+7 %), de ellos TurboTax Live el 53 % (+37 %); 39,0 millones de unidades (−2 %) [19]. Margen del grupo, no del segmento.</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Jackson Hewitt</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Red de franquicias y oficinas en Walmart; de capital privado (Corsair) desde 2018, sin cuentas públicas.</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TaxAct</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DIY de bajo precio; guía 2022 de 249-250 M de ingresos y 89-91 M de resultado de segmento antes de venderse a Cinven por 720 M [22].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Liberty Tax</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Franquicias de preparación asistida; de NextPoint desde 2021.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Preparadores independientes y contables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127.000 empresas de preparación según IBISWorld; compiten en precio y cercanía [17].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hay: un cliente más no mejora el servicio a otro.</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Cambiar de preparador cuesta poco, pero la declaración del año anterior, la garantía y la relación con el profesional retienen; retención +190 pb en FY2026 [B1].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 de 70 años con 8.600 oficinas; sostiene subidas de NAC del 4 % anual con volumen plano [B1].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Escala en formación, software y publicidad (278 M en FY2026) frente a independientes [B6]; pero el virtual de Intuit tiene menos coste fijo.</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Solo dos grandes marcas nacionales en asistida; margen EBITDA del 26 % frente al de un preparador independiente.</w:t>
            </w:r>
          </w:p>
        </w:tc>
      </w:tr>
    </w:tbl>
    <w:p>
      <w:pPr>
        <w:spacing w:after="160" w:before="0"/>
      </w:pPr>
    </w:p>
    <w:p>
      <w:pPr>
        <w:pStyle w:val="Heading2"/>
      </w:pPr>
      <w:r>
        <w:t xml:space="preserve">Amenazas</w:t>
      </w:r>
    </w:p>
    <w:p>
      <w:pPr>
        <w:spacing w:after="100"/>
      </w:pPr>
      <w:r>
        <w:t xml:space="preserve">Tres amenazas, de mayor a menor probabilidad. (1) Intuit lleva su escala y su IA a lo asistido: TurboTax Live ya factura unos 2.800 M (53 % de TurboTax, +37 %) frente a 2.561 M de la asistida propia de H&amp;R Block (+6,1 %) [2, 19]; Goldman Sachs citó en febrero el riesgo de pérdida de cuota [21]. (2) Agentes de IA que hacen la declaración entera por poco dinero y vacían la base de clientes sencillos, que es la que paga la red de oficinas. (3) Un programa público gratuito (Direct File) que vuelva con otra Administración [1]. Probabilidad de erosión material del volumen en 5 años: media.</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3.945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14 %</w:t>
            </w:r>
          </w:p>
        </w:tc>
      </w:tr>
    </w:tbl>
    <w:p>
      <w:pPr>
        <w:spacing w:after="160" w:before="0"/>
      </w:pPr>
    </w:p>
    <w:p>
      <w:pPr>
        <w:spacing w:after="100"/>
      </w:pPr>
      <w:r>
        <w:t xml:space="preserve">Crecimiento anual compuesto FY2022-FY2026: ingresos </w:t>
      </w:r>
      <w:r>
        <w:rPr>
          <w:b/>
          <w:bCs/>
        </w:rPr>
        <w:t xml:space="preserve">3,3 %</w:t>
      </w:r>
      <w:r>
        <w:t xml:space="preserve">, EBITDA </w:t>
      </w:r>
      <w:r>
        <w:rPr>
          <w:b/>
          <w:bCs/>
        </w:rPr>
        <w:t xml:space="preserve">3,8 %</w:t>
      </w:r>
      <w:r>
        <w:t xml:space="preserve">, BPA </w:t>
      </w:r>
      <w:r>
        <w:rPr>
          <w:b/>
          <w:bCs/>
        </w:rPr>
        <w:t xml:space="preserve">15,1 %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Los ingresos pasan de 3.463 M USD en FY2022 a 3.945 M en FY2026 (+3,3 % anual), casi todo por precio: el cobro medio por declaración asistida (NAC) subió un 4,0 % en FY2026 y las declaraciones asistidas propias un 2,0 %, mientras el total de asistidas (propias y franquiciadas) bajó un 0,1 % [1]. Las compras de franquicias pasan ingresos de royalties (−3,9 %) a preparación asistida (+6,1 %); el bricolaje (DIY) quedó plano (+0,2 %, con un NAC pagado +4,2 %), internacional creció un 7,4 % por divisa y Wave un 12,3 % [1, 2]. El margen EBIT sube de 21,5 % en FY2022 a 23,0 % en FY2026: los gastos crecieron un 3,6 % frente al 4,9 % de los ingresos (salarios de campo +7,5 %, alquileres +4,2 %, publicidad −2,8 %) [2]. El negocio es estacional: pierde dinero de julio a diciembre y gana casi todo entre febrero y abril [1].</w:t>
      </w:r>
    </w:p>
    <w:p>
      <w:pPr>
        <w:pStyle w:val="Heading2"/>
      </w:pPr>
      <w:r>
        <w:t xml:space="preserve">Ajustes y partidas no recurrentes</w:t>
      </w:r>
    </w:p>
    <w:p>
      <w:pPr>
        <w:spacing w:after="100"/>
      </w:pPr>
      <w:r>
        <w:t xml:space="preserve">La empresa publica un BPA ajustado que suma la amortización de intangibles comprados (46,9 M antes de impuestos en FY2026, 44,7 M en FY2025) y quita efectos fiscales discretos: en FY2026, un beneficio fiscal de 84,1 M (0,65 USD por acción) por cerrar la inspección del IRS de 2020 y las devoluciones de 2015-2018 [2]. Así, BPA publicado de operaciones continuadas 5,69 USD y ajustado 5,31 (FY2025: 4,42 y 4,66) [2]. BPA ajustado por ejercicio: FY2021 3,94, FY2022 3,51, FY2023 3,82, FY2024 4,41, FY2025 4,66, FY2026 5,31 [2, 6, 8, 9, 10]. FY2021 no es comparable: el cambio de ejercicio y el plazo de la renta 2020 aplazado al 15 de julio metieron 15 días de otra temporada [10]. El EBITDA que publica la empresa (1.056,9 M) incluye otros ingresos (26,8 M); el de este informe (1.030,1 M) no. Las cifras de la cuenta son consolidadas (con la pérdida de actividades interrumpidas, −2,7 M en FY2026).</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8"/>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4T26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Trimestres del ejercicio a 30 de junio (1T = jul-sep, pérdidas; 3T = ene-mar, la temporada). EBITDA y BPA en la definición de la empresa (BPA ajustado; EBITDA con otros ingresos) [2, 3, 4, 5]. Los tres últimos batieron al consenso de BPA ajustado: 2T26 −1,84 frente a −1,89, 3T26 6,02 frente a 5,77 y 4T26 2,38 frente a 2,21 [16]. En febrero (2T26) la dirección solo reiteró la guía (ingresos 3.875-3.895 M, BPA ajustado 4,85-5,00) y los analistas preguntaron por qué la cuota en asistidas no crece pese a la mayor complejidad fiscal de la ley de 2025 (el consejero delegado admitió problemas de retención) y si la IA amenaza al negocio asistido (respuesta: la IA «aumenta» al profesional, no lo sustituye) [4, 15]. En mayo (3T26) subió la guía a BPA ajustado de 5,10-5,20 tras una temporada con clientes más complejos [3], y en agosto cerró FY2026 en 5,31 y guió FY2027 en ingresos de 4.110-4.160 M, EBITDA ajustado de 1.110-1.140 M, tipo fiscal del 23 % y BPA ajustado de 6,04-6,24 [2]. En la conferencia de agosto dijo que la retención mejoró 190 puntos básicos, que el uso de AI Tax Assist casi se duplicó, que espera que el crecimiento del sector se modere pero mantener o ganar cuota en asistidas, y que planea unos 400 M de recompras en FY2027 [14]. No dio cifras de cuota en asistidas ni de declaraciones de la competencia virtual.</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3.256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1,1x</w:t>
            </w:r>
          </w:p>
        </w:tc>
      </w:tr>
    </w:tbl>
    <w:p>
      <w:pPr>
        <w:spacing w:after="160" w:before="0"/>
      </w:pPr>
    </w:p>
    <w:p>
      <w:pPr>
        <w:pStyle w:val="Nota"/>
        <w:spacing w:after="100"/>
      </w:pPr>
      <w:r>
        <w:t xml:space="preserve">Días de inventario y de pago calculados sobre el coste de ventas.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El patrimonio neto es casi nulo (117,5 M en FY2026; −48,7 M de reservas en FY2023) porque la empresa ha recomprado más del 48 % de sus acciones desde 2016 [2]: no es un problema de solvencia, sino de cómo se mide. La deuda bruta está fija en unos 1.490 M desde FY2022 y la caja de cierre de junio (959 M) es la del pico estacional menos las recompras; la deuda neta de junio es 533 M, 0,5 veces el EBITDA. El circulante comercial es negativo (clientes 58 M frente a proveedores 156 M): la temporada se cobra al contado o del propio reembolso.</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FY2022-FY2026: FCF </w:t>
      </w:r>
      <w:r>
        <w:rPr>
          <w:b/>
          <w:bCs/>
        </w:rPr>
        <w:t xml:space="preserve">3.511</w:t>
      </w:r>
      <w:r>
        <w:t xml:space="preserve">, conversión </w:t>
      </w:r>
      <w:r>
        <w:rPr>
          <w:b/>
          <w:bCs/>
        </w:rPr>
        <w:t xml:space="preserve">115 %</w:t>
      </w:r>
      <w:r>
        <w:t xml:space="preserve"> del beneficio neto; adquisiciones 221, dividendos 953, recompras 2.462.</w:t>
      </w:r>
    </w:p>
    <w:p>
      <w:pPr>
        <w:spacing w:after="100"/>
      </w:pPr>
      <w:r>
        <w:t xml:space="preserve">El flujo operativo fue de 809 M en FY2022, 822 M en FY2023, 721 M en FY2024, 681 M en FY2025 y 839 M en FY2026 [2, 7]; FY2024 y FY2025 pagaron más impuestos de los devengados y FY2026 se benefició de salarios y cobros diferidos, con la liberación de reservas fiscales restando [1]. El capex es pequeño (2 % de las ventas: 82,6 M en FY2026, sobre todo oficinas y software) y la empresa compra franquicias y competidores cada año (57,6 M en FY2026) [2]: estimación propia, el mantenimiento es casi todo el capex y las compras de franquicias son la inversión de crecimiento. Desde FY2022 ha pagado 953 M en dividendos y 2.462 M en recompras, más que el flujo libre acumulado (unos 3.500 M) [2, 7, 9, 10].</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Deloitte &amp; Touche LLP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(sin salvedades); cuestión clave de auditoría: posiciones fiscales inciertas por precios de transferencia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FY2026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Deloitte audita a la empresa desde 2007 y la única cuestión clave de auditoría son las posiciones fiscales inciertas por precios de transferencia [1]: es donde está el juicio, como mostró el beneficio fiscal de 84,1 M de FY2026 al cerrar la inspección de 2020 [2]. Los ingresos se reconocen cuando se presenta la declaración (o al prestar el servicio): sin cobros por adelantado relevantes. La remuneración en acciones es modesta (30,5 M en FY2026, 4 % del beneficio) [2]. Los ajustes del BPA son pequeños y explicados (amortización de intangibles comprados y efectos fiscales discretos) [2]. El riesgo contable está en los préstamos ligados al reembolso (Emerald Advance, con una dotación de 64,9 M en FY2026) y en las provisiones de litigios no desglosadas [1]. Los indicadores del motor (Altman, Piotroski, Beneish) se leen con cuidado: el patrimonio casi nulo por recompras hunde el Altman Z sin que haya tensión de liquidez.</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Patrimonio casi nulo por recompras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Deforma ROE, Altman Z y ROIC del motor; la deuda neta es 0,5 veces el EBITDA.</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fiscal no recurrente en FY2026</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84,1 M (0,65 USD por acción) por cerrar la inspección del IRS de 2020; excluido del BPA ajustado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Litigios del programa Free File y píxeles sin cifra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Provisión incluida en la de contingencias, sin importe; pérdida adicional posible «no material» según la empresa [1].</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5"/>
        <w:gridCol w:w="985"/>
        <w:gridCol w:w="985"/>
        <w:gridCol w:w="985"/>
        <w:gridCol w:w="1095"/>
        <w:gridCol w:w="1095"/>
        <w:gridCol w:w="1095"/>
        <w:gridCol w:w="1204"/>
        <w:gridCol w:w="1209"/>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c>
          <w:tcPr>
            <w:tcW w:type="dxa" w:w="12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 sin f. de comercio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15,45x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814</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1.193,4 %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26,02x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674</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970,3 %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51,27x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675,0 %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36,12x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564</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710,9 %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31,59x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625</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Fondo de comercio y compras</w:t>
      </w:r>
    </w:p>
    <w:p>
      <w:pPr>
        <w:spacing w:after="100"/>
      </w:pPr>
      <w:r>
        <w:t xml:space="preserve">Fondo de comercio: 813 M en FY2026 (el 129 % del capital invertido medio); ha subido más de un 5 % en 0 de 4 años: sin compras. Sin compras relevantes: el publicado ya es el ROIC del negocio.</w:t>
      </w:r>
    </w:p>
    <w:p>
      <w:pPr>
        <w:spacing w:after="100"/>
      </w:pPr>
      <w:r>
        <w:rPr>
          <w:b/>
          <w:bCs/>
        </w:rPr>
        <w:t xml:space="preserve">ROIC incremental</w:t>
      </w:r>
      <w:r>
        <w:t xml:space="preserve"> (variación del NOPAT sobre variación del capital invertido en el periodo): n.d. · </w:t>
      </w:r>
      <w:r>
        <w:rPr>
          <w:b/>
          <w:bCs/>
        </w:rPr>
        <w:t xml:space="preserve">WACC</w:t>
      </w:r>
      <w:r>
        <w:t xml:space="preserve">: 9,2 %.</w:t>
      </w:r>
    </w:p>
    <w:p>
      <w:pPr>
        <w:spacing w:after="100"/>
      </w:pPr>
      <w:r>
        <w:t xml:space="preserve">El ROIC contable del motor (77,9 % en FY2022, 125,3 % en FY2026) y el ROE (710,9 %) son artificiales: H&amp;R Block ha recomprado 2.462 M USD de acciones en cinco años (las acciones medias bajaron de 171 M a 129 M) y el patrimonio es de solo 117,5 M [2, 12]. La medida exigente, con los fondos de comercio de las franquicias compradas y los locales alquilados dentro del capital (1.720 M), da un 40 % después de impuestos en FY2026, frente a un WACC del 9,22 %: ≈ +31 puntos [38]. La rentabilidad es real y viene de lo que el negocio no necesita: 2,1 % de las ventas en inversión, circulante negativo (los clientes pagan al recoger la declaración) y una red de 8.600 oficinas casi toda alquilada [1]. El margen EBITDA subió del 25,6 % al 26,1 % en cinco años, con el precio por declaración (+4-6 % al año) compensando un volumen plano. El riesgo está en el numerador, no en el capital: si la IA y TurboTax Live bajan el precio de la declaración asistida, el ROIC cae rápido aunque el capital no cambie.</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77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610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958,7 M USD (más 19,2 M restringida) a 30-jun-2026 y línea de crédito comprometida de 1.500 M sin disponer, con vencimiento en julio de 2030 [1, 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Moody's Baa3 (estable) y S&amp;P BBB (estable) para la deuda de Block Financial LLC [1]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Deuda: bonos de 500 M al 2,50 % (julio de 2028), 650 M al 3,875 % (agosto de 2030) y 350 M al 5,375 % (septiembre de 2032; emitidos en agosto de 2025 para devolver los de 2025) [1, 13]. La línea de 1.500 M se usa cada año de noviembre a marzo para financiar las pérdidas de la temporada baja (2.375 M dispuestos y devueltos en FY2026) [2]. Arrendamientos operativos de oficinas: 610,9 M de pasivo (US GAAP: el alquiler ya está en el EBITDA, no van a la deuda) [2]. Pasivos fiscales por posiciones inciertas: 266,2 M a corto y 163,7 M a largo (bajaron tras cerrar la inspección de 2020) [2]. Litigios: reclamaciones colectivas, arbitrajes masivos e investigaciones públicas sobre el programa Free File del IRS y el uso de píxeles en el DIY, con una provisión no desglosada; la empresa estima que la pérdida razonablemente posible por encima de lo provisionado no es material [1]. Garantía de exactitud y Peace of Mind: autoasegurados [1].</w:t>
      </w:r>
    </w:p>
    <w:p>
      <w:pPr>
        <w:pStyle w:val="Heading1"/>
      </w:pPr>
      <w:r>
        <w:t xml:space="preserve">12. Asignación de capital</w:t>
      </w:r>
    </w:p>
    <w:p>
      <w:pPr>
        <w:pStyle w:val="Confianza"/>
        <w:spacing w:after="100"/>
      </w:pPr>
      <w:r>
        <w:t xml:space="preserve">Confianza: Alta</w:t>
      </w:r>
    </w:p>
    <w:p>
      <w:pPr>
        <w:spacing w:after="100"/>
      </w:pPr>
      <w:r>
        <w:t xml:space="preserve">Prioridades declaradas: invertir en el negocio y en compras de franquicias, dividendo creciente (nueve subidas anuales seguidas; 0,46 USD trimestrales desde octubre de 2026, +10 %) y recompras con la caja sobrante [2]. Programa de recompras de 1.500 M aprobado en agosto de 2024, sin vencimiento, con 600 M disponibles a 30-jun-2026 [1]; la dirección planea unos 400 M de recompras en FY2027 [14].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FY2020</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Wave Financial (software y pagos para pequeñas empresas)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Wave de 122,7 M en FY2026 (+12,3 %), aún pequeños frente al grupo; sin deterioro del fondo de comercio [1, 12].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FY2022-FY2026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Franquicias y competidores pequeños (compras anuales)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221</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Pasan royalties (≈30 % de la facturación de la franquicia) a ingresos propios; derechos de franquicia recomprados de 432 M brutos en el balance [1, 2].</w:t>
            </w:r>
          </w:p>
        </w:tc>
      </w:tr>
    </w:tbl>
    <w:p>
      <w:pPr>
        <w:spacing w:after="160" w:before="0"/>
      </w:pPr>
    </w:p>
    <w:p>
      <w:pPr>
        <w:spacing w:after="100"/>
      </w:pPr>
      <w:r>
        <w:t xml:space="preserve">La dirección asigna el capital de forma disciplinada y casi todo vuelve al accionista: entre FY2022 y FY2026, 2.462 M en recompras y 953 M en dividendos frente a unos 3.500 M de flujo libre [2, 7, 9, 10]. Las acciones diluidas bajaron de 171 M en FY2022 a 129 M en FY2026 (−7 % anual) [12], y eso explica la mitad del crecimiento del BPA ajustado (de 3,51 a 5,31 USD). La recompra de FY2026 se hizo a 47,48 USD de media, cerca del precio actual, y la de FY2025 a 61,10 [1]. Las compras (Wave, franquicias) son pequeñas y no han traído deterioros.</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Curtis A. Campbell</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0,03 %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desde enero de 2026; antes presidente de Global Consumer Tax y director de producto (desde junio de 2024), consejero delegado de TaxAct (2018-2023) y vicepresidente de producto en Intuit (2014-2017) [1]. En su primer año, la temporada 2026 trajo NAC +4,0 % y BPA ajustado +13,9 % [2].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Tiffany L. Mason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financiera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financiera desde septiembre de 2024; antes en Driven Brands (2020-2023) y Lowe’s (2006-2019, incluida la dirección financiera interina)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Richard A. Johnson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(independiente)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Exconsejero delegado y presidente de Foot Locker (2014-2023) [23].</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Dara S. Redler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jurídica y de administración</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Antes directora jurídica de Tilray y abogada en Coca-Cola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Scott R. Manuel</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de estrategia y operaciones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Antes en Tribute Technology, McClatchy y Thomson Reuters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Mark Darling</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 de red de oficinas (Chief Retail Officer)</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la empresa desde 2019, responsable de las oficinas de EE. UU. desde 2023 [1].</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ajustado 4,10-4,30 USD; ingresos 3.530-3.585 M</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ajustado 4,41; ingresos 3.610 M</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ajustado 5,15-5,35 (con un tipo fiscal del 13 %); ingresos 3.690-3.750 M</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ajustado 4,66; ingresos 3.761 M (el cierre de inspecciones fiscales que bajaba el tipo se retrasó a FY2026)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ajustado 4,85-5,00; ingresos 3.875-3.895 M (subida en mayo a 5,10-5,20)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ajustado 5,31; ingresos 3.945 M</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FY2027</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BPA ajustado 6,04-6,24; ingresos 4.110-4.160 M; EBITDA ajustado 1.110-1.140 M</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curso</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Equipo nuevo en la cúpula: Campbell es consejero delegado desde enero de 2026 tras una sucesión anunciada en agosto de 2025 (Jones se quedó como asesor hasta septiembre de 2026), y la directora financiera llegó en septiembre de 2024 [1, 25]. Campbell conoce de primera mano al rival que más importa (fue directivo de Intuit) y el DIY de bajo coste (TaxAct) [1]. La guía se cumplió en FY2024 y FY2026 y falló en FY2025 por impuestos, no por el negocio [2]. Sucesión ordenada; el consejo se renueva (tres consejeros nuevos en enero de 2026 y dos salidas en noviembre) [26, 27].</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6,7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Richard A. Johnson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Presidencia del consejo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Curtis A. Campbell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Geralyn R. Breig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Gobierno y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Christian H. Charnaux</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Sean H. Cohan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Gobierno y Nombramientos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Anuradha (Anu) Gupta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Mia F. Mends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Stephanie C. Plaines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Victoria J. Reich</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Robert A. Gerard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(sale en la junta de 2026)</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Matthew E. Winter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(sale en la junta de 2026)</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Remuneración (presidente)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91 %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cambio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3,2 %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(sin salvedades); cuestión clave de auditoría: posiciones fiscales inciertas por precios de transferencia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0,00 / ventas 14,05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Según su 13G/A de enero de 2024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FMR (Fidelity)</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13G/A de febrero de 2026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AQR Capital Management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7,85 %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 (cuantitativo)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Nuevo 13G en agosto de 2026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Vanguard Capital Management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13G de abril de 2026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Consejeros y directivos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Internos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de Jones en noviembre de 2025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30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 Darling (Chief Retail Officer)</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19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Jeffrey J. Jones II (consejero delegado saliente)</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128.818</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12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Jeffrey J. Jones II (consejero delegado saliente)</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176.449</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8,20</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(FY2026)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5,76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0,82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0,96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3,85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96,5 %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consejero delegado cobró 5,76 M USD en FY2026 (fijo 0,82, variable anual 0,96, acciones 3,85; 8,46 M anualizado), 373 veces el empleado mediano, que es un temporero de cuatro meses [23]. El variable a largo plazo son acciones por objetivos (PSU) a tres años medidas por el EBITDA acumulado FY2026-FY2028, corregidas ±25 % por el rendimiento total para el accionista frente al S&amp;P 400, con tope del 200 % [23]; el anual mira ingresos, EBITDA y beneficio antes de impuestos [23]. Hay política de recuperación (clawback), prohibición de coberturas y pignoración, y obligación de mantener el 50 % de las PSU un año [23]. Premia el beneficio, no el crecimiento a cualquier precio; no mide el rendimiento del capital. El voto consultivo de 2025 salió con un 96,5 % a favor y un 3,2 % en contra del capital presente [24].</w:t>
      </w:r>
    </w:p>
    <w:p>
      <w:pPr>
        <w:pStyle w:val="Heading2"/>
      </w:pPr>
      <w:r>
        <w:t xml:space="preserve">Operaciones vinculadas, estructura de control y defensas</w:t>
      </w:r>
    </w:p>
    <w:p>
      <w:pPr>
        <w:spacing w:after="100"/>
      </w:pPr>
      <w:r>
        <w:t xml:space="preserve">Sin accionista de control: el mayor (BlackRock) tiene el 14,6 % y los cuatro primeros, todos institucionales, el 39,8 % [23]. Una acción, un voto, consejeros elegidos cada año por mayoría [24]. Los estatutos obligan a que el presidente sea un independiente que nunca haya sido directivo de la empresa [23]. No hay operaciones vinculadas relevantes en el proxy [23]. La posición corta es alta (20,7 % del capital flotante según Yahoo): no es una defensa, pero amplifica los movimientos del precio.</w:t>
      </w:r>
    </w:p>
    <w:p>
      <w:pPr>
        <w:pStyle w:val="Heading2"/>
      </w:pPr>
      <w:r>
        <w:t xml:space="preserve">Señales de alerta</w:t>
      </w:r>
    </w:p>
    <w:p>
      <w:pPr>
        <w:pStyle w:val="ListParagraph"/>
        <w:numPr>
          <w:ilvl w:val="0"/>
          <w:numId w:val="2"/>
        </w:numPr>
        <w:spacing w:after="60"/>
      </w:pPr>
      <w:r>
        <w:t xml:space="preserve">Ventas del consejero delegado saliente: Jeff Jones vendió 305.267 acciones (13,9 M USD) el 12 y el 19 de noviembre de 2025, sin plan 10b5-1, tras anunciar su retiro en agosto de 2025 [25, 28].</w:t>
      </w:r>
    </w:p>
    <w:p>
      <w:pPr>
        <w:pStyle w:val="ListParagraph"/>
        <w:numPr>
          <w:ilvl w:val="0"/>
          <w:numId w:val="2"/>
        </w:numPr>
        <w:spacing w:after="60"/>
      </w:pPr>
      <w:r>
        <w:t xml:space="preserve">Cambio de directora de contabilidad en octubre de 2025 (jubilación, sin desacuerdo) [29].</w:t>
      </w:r>
    </w:p>
    <w:p>
      <w:pPr>
        <w:pStyle w:val="ListParagraph"/>
        <w:numPr>
          <w:ilvl w:val="0"/>
          <w:numId w:val="2"/>
        </w:numPr>
        <w:spacing w:after="60"/>
      </w:pPr>
      <w:r>
        <w:t xml:space="preserve">Cambio de consejero delegado en enero de 2026 (sucesión anunciada en agosto de 2025) [25].</w:t>
      </w:r>
    </w:p>
    <w:p>
      <w:pPr>
        <w:pStyle w:val="ListParagraph"/>
        <w:numPr>
          <w:ilvl w:val="0"/>
          <w:numId w:val="2"/>
        </w:numPr>
        <w:spacing w:after="60"/>
      </w:pPr>
      <w:r>
        <w:t xml:space="preserve">Litigios y consultas públicas abiertas sobre Free File y píxeles [1].</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FY2027 (11-ago-2026): ingresos de 4.110-4.160 M USD (+4,2 % a +5,4 %), EBITDA ajustado de 1.110-1.140 M, tipo fiscal efectivo ≈ 23 % y BPA ajustado de 6,04-6,24 USD [16]. La dirección planea ≈ 400 M de recompras en FY2027 y espera que el crecimiento del sector se modere, manteniendo o ganando cuota en asistidas. No hay objetivo público a medio plazo. Sin cambios desde agosto.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45"/>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Yahoo Finance, 5 analistas [31]</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4.310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5 analistas [31]</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19"/>
        <w:gridCol w:w="1505"/>
        <w:gridCol w:w="1505"/>
        <w:gridCol w:w="1204"/>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4.137</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1.100</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4.279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4.310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 / 3 /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51,67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36,00 – 60,00</w:t>
            </w:r>
          </w:p>
        </w:tc>
      </w:tr>
    </w:tbl>
    <w:p>
      <w:pPr>
        <w:spacing w:after="160" w:before="0"/>
      </w:pPr>
    </w:p>
    <w:p>
      <w:pPr>
        <w:pStyle w:val="Heading2"/>
      </w:pPr>
      <w:r>
        <w:t xml:space="preserve">Revisiones de estimaciones</w:t>
      </w:r>
    </w:p>
    <w:p>
      <w:pPr>
        <w:spacing w:after="100"/>
      </w:pPr>
      <w:r>
        <w:t xml:space="preserve">Cobertura escasa (3-5 analistas). El BPA FY2027 del consenso subió de 5,8225 a 6,15 USD en 90 días, tras la guía de agosto, y el de FY2028 bajó de 7,74 a 6,92 (con solo cinco estimaciones, el cambio puede deberse a quién publica) [31]. Goldman Sachs bajó su objetivo a 32 USD desde 48 en febrero y mantiene Vender por riesgo de pérdida de cuota frente a TurboTax y a entrantes de IA [21]; Zacks mejoró la recomendación en octubre [34]. Una sola fuente gratuita con estimaciones completas (Yahoo); el objetivo medio se contrasta con los titulares de Seeking Alpha y MarketBeat.</w:t>
      </w:r>
    </w:p>
    <w:p>
      <w:pPr>
        <w:pStyle w:val="Heading1"/>
      </w:pPr>
      <w:r>
        <w:t xml:space="preserve">16. Comportamiento en bolsa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0,42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-55,5 %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20,7 %</w:t>
            </w:r>
          </w:p>
        </w:tc>
      </w:tr>
    </w:tbl>
    <w:p>
      <w:pPr>
        <w:spacing w:after="160" w:before="0"/>
      </w:pPr>
    </w:p>
    <w:p>
      <w:pPr>
        <w:spacing w:after="100"/>
      </w:pPr>
      <w:r>
        <w:t xml:space="preserve">H&amp;R Block ha rendido un 18,5 % anual en cinco años frente al 12,6 % del S&amp;P 500, pero un 7,3 % en tres años frente al 22,9 % [30]. La caída máxima de cinco años (−55,5 %, de agosto de 2024 a febrero de 2026) vino del miedo a que la IA y Intuit vacíen la renta asistida, que llevó la acción a 28,16 USD el 12-feb-2026, a menos de 6 veces el beneficio [21, 30]. Desde ahí rebotó con una buena temporada (+26 % en la semana de resultados de mayo) y con los resultados y la guía de agosto (+12-16 % el 12-ago, máximo de 58,67), y devolvió parte en septiembre cuando Intuit anunció bajadas de precio y su modelo de IA (−23 % en un mes hasta el 28-sep) [16, 20, 30]. La volatilidad (46 %) es la de una acción en disputa, no la de un negocio estable; la beta frente al S&amp;P es baja (0,42 mensual) porque el riesgo es propio.</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+8,5 % / +18,8 % / +51,4 % / -6,4 %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-11,4 % / +69,4 %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alcista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2026-11-05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cambia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3"/>
        <w:gridCol w:w="1098"/>
        <w:gridCol w:w="4147"/>
        <w:gridCol w:w="1220"/>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may-2026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 FY2026 (6-may): BPA ajustado de 6,02 USD frente a 5,77 de consenso, ingresos +5 % y guía de BPA subida a 5,10-5,20; rebote desde el mínimo de febrero (28,16) [3, 16].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ago-2026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FY2026 (11-ago): BPA ajustado de 5,31 USD por encima de la guía, guía de FY2027 de 6,04-6,24 (+14-18 %), dividendo +10 % y 600 M de recompras pendientes; +12-16 % el 12-ago [2, 16, 34].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sep-2026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Devuelve gran parte de la subida sin noticia propia: Intuit anunció rebajas de precio de TurboTax frente a rivales nativos de IA (25-ago) y presentó su plataforma de IA «hecha por ti» en el día del inversor del 17-sep, que hundió a todo el sector [19, 20].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30-jul-2026 (día)</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noticia de la empresa; antes de resultados y en una semana de ventas de software y servicios expuestos a la IA [34].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17-ago-2026 (día)</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Recogida de beneficios tras la subida del 12-ago por los resultados [34].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8-sep-2026 (día)</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noticia de la empresa; coincide con la caída de Intuit antes de su día del inversor [20].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9"/>
        <w:gridCol w:w="1585"/>
        <w:gridCol w:w="3904"/>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2026-05-06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Temporada de 2026: 11,3 M declaraciones asistidas en EE. UU. (−0,1 %), DIY de pago +4,2 % de precio; sube la guía de FY2026 [3].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2026-08-11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FY2026: ingresos 3.945 M (+4,9 %), BPA ajustado 5,31 USD; guía FY2027 de BPA 6,04-6,24 y EBITDA 1.110-1.140 M; dividendo +10 % [2].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2026-08-14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 de referencia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AQR declara un 7,85 % (13G, inversor pasivo); BlackRock 14,6 %, Fidelity 11,9 %, Vanguard 5,4 % [23].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2026-08-14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Dos consejeros (Gerard y Winter) no se presentan a la reelección; Jeff Jones, ex consejero delegado, sale el 2-sep tras el relevo por Curtis Campbell en enero [25, 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2026-09-30</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 2.700 acciones a 40,69 USD de un directivo (Darling); en noviembre de 2025 Jones vendió 13,9 M USD sin plan 10b5-1. Ninguna compra en 12 meses [28].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2026-10-07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Zacks sube la recomendación; Goldman Sachs mantiene Vender con objetivo de 32 USD desde febrero (TurboTax en la asistida y rivales nativos de IA) [21, 34].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2026-11-05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1T FY2027 (fecha estimada, sin confirmar): trimestre de pérdidas estacionales, poco informativo para la temporada [5].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2026-11-10</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demanda o regulador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Junta de accionistas; siguen las demandas colectivas por Free File y por los píxeles de seguimiento, sin provisión material; Direct File del IRS suspendido para 2026 y acuerdo de Free File hasta octubre de 2029 [1, 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p>
      <w:pPr>
        <w:spacing w:after="100"/>
      </w:pPr>
      <w:r>
        <w:t xml:space="preserve">La acción ha subido un 69 % desde el mínimo de febrero con dos resultados mejores de lo esperado y una guía de FY2027 de +14-18 % de BPA, y ha devuelto parte en septiembre por las rebajas de precio y la IA de Intuit, sin noticia propia. No hay colocaciones, ampliaciones ni ofertas pendientes; las ventas de directivos son pequeñas o de un consejero delegado ya retirado. Los resultados del 1T (≈ 5-nov, a 17 días) son un trimestre de pérdidas estacionales que no suele mover la tesis, y la tendencia es alcista (precio un 23,5 % sobre la media de 200 sesiones): nada retrasa la decisión. Búsquedas: notas y 8-K de la SEC, Form 4, Yahoo, Seeking Alpha y MarketBeat.</w:t>
      </w:r>
    </w:p>
    <w:p>
      <w:pPr>
        <w:pStyle w:val="Heading1"/>
      </w:pPr>
      <w:r>
        <w:t xml:space="preserve">17. Múltiplos frente a su historia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H&amp;R Block cotiza a 6,5 veces el EBITDA y a 8,6 veces el BPA GAAP de los últimos 12 meses, en el percentil 40 y 20 de sus cinco últimos cierres de junio (medias de 7,5 y 11,0 veces). En la base de la regla (PER adelantado sobre el BPA ajustado), la serie va de 6,2 veces (junio de 2026, tras la caída por la IA) a 11,6 (junio de 2024), con una mediana de 9,2 y un PER actual de 7,7 [30, 38]. La compresión no es un accidente: el mercado paga menos por un negocio que crece al 3-5 % y cuyo volumen asistido no crece, y lo ha hecho con cada noticia de Intuit sobre IA. El múltiplo bajo es la tesis, pero también su riesgo: puede quedarse ahí.</w:t>
      </w:r>
    </w:p>
    <w:p>
      <w:pPr>
        <w:pStyle w:val="Heading1"/>
      </w:pPr>
      <w:r>
        <w:t xml:space="preserve">18. Comparables cotizados</w:t>
      </w:r>
    </w:p>
    <w:p>
      <w:pPr>
        <w:pStyle w:val="Confianza"/>
        <w:spacing w:after="100"/>
      </w:pPr>
      <w:r>
        <w:t xml:space="preserve">Confianza: Media</w:t>
      </w:r>
    </w:p>
    <w:p>
      <w:pPr>
        <w:spacing w:after="100"/>
      </w:pPr>
      <w:r>
        <w:t xml:space="preserve">No hay otra preparadora de impuestos cotizada de tamaño parecido: Jackson Hewitt y TaxAct son de capital privado. Se usan Intuit (el rival directo en DIY y, con TurboTax Live, en asistida) y servicios al consumidor y a pequeñas empresas con demanda recurrente, marca y redes de oficinas o franquicias: Paychex y ADP (nóminas para pymes, como Wave y Block Advisors), Frontdoor, Service Corporation, Rollins, Grand Canyon Education y Western Union (cobros de particulares que la tecnología presiona). Todas con datos de Yahoo del mismo día [31].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2"/>
        <w:gridCol w:w="504"/>
        <w:gridCol w:w="908"/>
        <w:gridCol w:w="706"/>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H&amp;R Block</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6.069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Intuit Inc.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85.447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Paychex, Inc.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39.122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Automatic Data Processing, Inc.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113.255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Frontdoor, Inc.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Service Corporation International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11.002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Rollins, Inc.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15.695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Grand Canyon Education, Inc.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The Western Union Company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94"/>
        <w:gridCol w:w="1056"/>
        <w:gridCol w:w="1188"/>
        <w:gridCol w:w="1056"/>
        <w:gridCol w:w="1056"/>
        <w:gridCol w:w="118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31,5 %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 / 12,6x / 15,1x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89,90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98,78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119,85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+103,0 %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13,6x / 16,4x / 18,5x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86,99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104,39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118,27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+114,5 %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3.945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3,3x / 3,9x / 4,6x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100,07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118,50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140,41</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+143,5 %</w:t>
            </w:r>
          </w:p>
        </w:tc>
      </w:tr>
    </w:tbl>
    <w:p>
      <w:pPr>
        <w:spacing w:after="160" w:before="0"/>
      </w:pPr>
    </w:p>
    <w:p>
      <w:pPr>
        <w:spacing w:after="100"/>
      </w:pPr>
      <w:r>
        <w:t xml:space="preserve">No hay otro preparador de impuestos cotizado de tamaño parecido. Frente a Intuit, su rival directo (11,9 veces el BPA adelantado tras caer más de un 50 % en el año), H&amp;R Block cotiza a 7,6 veces; frente a la mediana del grupo de servicios recurrentes (16,4 veces el BPA y 12,6 el EBITDA), a menos de la mitad [31]. El descuento se explica por el crecimiento (4,7 % frente a 6,0 %), por la exposición a la IA, que el mercado ve en la declaración asistida más que en las nóminas de Paychex o ADP, y por un volumen que no crece. Solo Western Union (4,1 veces), otro negocio de particulares presionado por la tecnología, cotiza más barato. Los comparables pesan un 10 %: dan valores (87-118 USD) que el mercado no va a pagar mientras la amenaza de la IA no se despeje.</w:t>
      </w:r>
    </w:p>
    <w:p>
      <w:pPr>
        <w:pStyle w:val="Heading1"/>
      </w:pPr>
      <w:r>
        <w:t xml:space="preserve">19. Transacciones precedentes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71"/>
        <w:gridCol w:w="1780"/>
        <w:gridCol w:w="1676"/>
        <w:gridCol w:w="838"/>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TaxAct (DIY fiscal)</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Cinven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Múltiplo sobre la guía 2022 de TaxAct (ingresos 249,5 M y resultado de segmento ≈ 90 M, antes de costes corporativos): EV/resultado operativo ≈ 8,0x [22].</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Liberty Tax</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NextPoint Financial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Contraprestación total de 255,3 M (181,2 M en caja y 74,1 M en acciones) [35]; sin ingresos ni EBITDA publicados para calcular el múltiplo.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2018-05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Jackson Hewitt</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Corsair Capital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Términos no publicados [36].</w:t>
            </w:r>
          </w:p>
        </w:tc>
      </w:tr>
    </w:tbl>
    <w:p>
      <w:pPr>
        <w:spacing w:after="160" w:before="0"/>
      </w:pPr>
    </w:p>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2" name="Gráfico 22"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t xml:space="preserve">Solo TaxAct tiene múltiplo calculable: Cinven pagó unas 8 veces el resultado operativo de un negocio DIY que crecía (+10 %) en plena era previa a la IA generativa [22]. Es una referencia de valor de control para el negocio de software, no para la red de oficinas. H&amp;R Block, con 5.900 M de capitalización, sin accionista de control y con un flujo de caja estable, podría interesar a un fondo, pero no hay ninguna noticia de interés.</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FY2027e +4,8 %, en la guía (4.110-4.160 M USD) [2]: precio por declaración asistida +3-4 % (NAC +4,0 % en la temporada de 2026), algo de volumen en DIY y en pequeñas empresas, y compras de franquicias que pasan de royalties a ingresos propios. Después, +3,5 % en FY2028e y descenso hasta el 2,0 % desde FY2032e: por debajo del 3,3 % anual de FY2022-FY2026, en línea con el mercado de preparación de EE. UU. (+1,9 % anual en 2021-2026 [17]) y con un volumen asistido que proyectamos plano y luego en ligera caída (−0,5 % al año desde FY2030e) por la IA y TurboTax Live.</w:t>
      </w:r>
    </w:p>
    <w:p>
      <w:pPr>
        <w:keepNext/>
        <w:spacing w:after="100"/>
      </w:pPr>
      <w:r>
        <w:rPr>
          <w:b/>
          <w:bCs/>
        </w:rPr>
        <w:t xml:space="preserve">Márgenes.</w:t>
      </w:r>
    </w:p>
    <w:p>
      <w:pPr>
        <w:spacing w:after="100"/>
      </w:pPr>
      <w:r>
        <w:t xml:space="preserve">Margen EBITDA del DCF (sin los ≈ 27 M de otros ingresos que la empresa sí suma) del 26,6 % en FY2027e, calibrado con la guía de EBITDA ajustado (1.110-1.140 M) [2]; sube al 26,8 % en FY2028e-FY2029e por la mezcla (DIY, Wave, eficiencia de oficinas) y se erosiona 0,2 puntos al año hasta el 26,0 % por la presión de precios de Intuit y de las herramientas de IA. Es el margen de FY2026 (26,1 %), sin la mejora que la dirección promete por automatizar la preparación.</w:t>
      </w:r>
    </w:p>
    <w:p>
      <w:pPr>
        <w:keepNext/>
        <w:spacing w:after="100"/>
      </w:pPr>
      <w:r>
        <w:rPr>
          <w:b/>
          <w:bCs/>
        </w:rPr>
        <w:t xml:space="preserve">Inversión y circulante.</w:t>
      </w:r>
    </w:p>
    <w:p>
      <w:pPr>
        <w:spacing w:after="100"/>
      </w:pPr>
      <w:r>
        <w:t xml:space="preserve">Inversión del 3,4 % de las ventas: capex del 2,1 % (82,6 M en FY2026) más las compras de franquicias y competidores (57,6 M), que son recurrentes y alimentan el crecimiento; amortización del 3,1 % (122,4 M, con intangibles comprados). Circulante del −2,5 % de las ventas, como en FY2026 [2].</w:t>
      </w:r>
    </w:p>
    <w:p>
      <w:pPr>
        <w:keepNext/>
        <w:spacing w:after="100"/>
      </w:pPr>
      <w:r>
        <w:rPr>
          <w:b/>
          <w:bCs/>
        </w:rPr>
        <w:t xml:space="preserve">Coste del capital.</w:t>
      </w:r>
    </w:p>
    <w:p>
      <w:pPr>
        <w:spacing w:after="100"/>
      </w:pPr>
      <w:r>
        <w:t xml:space="preserve">Tasa libre del 5,09 % (bono del Tesoro a 10 años, 16-oct-2026 [32]); beta de 0,80 en lugar de la medida (0,42 mensual a 5 años, 0,61 ajustada [30]), porque el riesgo propio de la empresa, la sustitución por IA, no se mueve con el S&amp;P 500; más 1,0 punto de prima específica por ese riesgo. Coste de la deuda del 5,4 % (bonos de 2030 y 2032 al 3,875-5,375 %, calificación BBB/Baa3 [1]) y peso del 20 % a valor de mercado. WACC del 9,22 %. Con la prima implícita del mercado (4,2 % [33]) baja al 8,39 % y el DCF sube a 90,29 USD.</w:t>
      </w:r>
    </w:p>
    <w:p>
      <w:pPr>
        <w:keepNext/>
        <w:spacing w:after="100"/>
      </w:pPr>
      <w:r>
        <w:rPr>
          <w:b/>
          <w:bCs/>
        </w:rPr>
        <w:t xml:space="preserve">Valor terminal.</w:t>
      </w:r>
    </w:p>
    <w:p>
      <w:pPr>
        <w:spacing w:after="100"/>
      </w:pPr>
      <w:r>
        <w:t xml:space="preserve">Crecimiento a perpetuidad del 2,0 %, por debajo de la inflación esperada más el crecimiento de la población que declara: supone que H&amp;R Block conserva su base de clientes en términos nominales. El múltiplo implícito (9,4 veces el EBITDA) está por encima de las 6,5 a las que cotiza hoy y por debajo de las 12,6 del grupo de comparables; con un múltiplo de salida de 8,0 veces el valor terminal bajaría un 15 %. El valor terminal pesa un 58 %.</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8,39 %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4.818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4.914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450</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3" name="Gráfico 23"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11.992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10.222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10.537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9.927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79,61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98,43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105,15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90,36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95,83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83,50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88,01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77,59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81,36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72,45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75,63</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77,28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82,69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81,23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86,90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85,18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91,11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89,13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95,31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93,08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99,52</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M (1 %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 la reinversión bruta (capex + circulante): crecimiento que financia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 (reinvierte el 19 %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la reinversión bruta</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 frente al 2,8 %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La proyección apenas necesita inversión neta de la amortización (reinversión acumulada de 87 M, el 1 % del NOPAT, con un capex bruto medio del 3,4 % de las ventas). En un negocio de activos ligeros, el crecimiento medio del 2,8 %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+0,5 % (DIY y pequeñas empresas; asistidas planas), precio +3,3 % (NAC de la temporada de 2026 +4,0 %, con algo de rebaja por la competencia) y +1 punto por compras de franquicias y divisa; dentro de la guía de 4.110-4.160 M [2, 3].</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plano y precio +3,0 %: el precio sube menos porque Intuit baja los de TurboTax frente a los rivales de IA [19].</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plano y precio +2,5 %.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−0,5 % (la IA y la declaración asistida de Intuit quitan clientes de declaraciones sencillas) y precio +2,5 %.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FY2031e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−0,5 % y precio +2,5 %.</w:t>
            </w:r>
          </w:p>
        </w:tc>
      </w:tr>
    </w:tbl>
    <w:p>
      <w:pPr>
        <w:spacing w:after="160" w:before="0"/>
      </w:pPr>
    </w:p>
    <w:p>
      <w:pPr>
        <w:spacing w:after="100"/>
      </w:pPr>
      <w:r>
        <w:t xml:space="preserve">El crecimiento proyectado (2,8 % anual medio) es menor que el histórico (3,3 % en FY2022-FY2026) y no necesita capital: la inversión neta es casi nula y el circulante, negativo. El motor da «Sí». Lo rebajamos a «En parte» por la calidad del crecimiento, no por su cantidad: todo sale del precio por declaración, porque el volumen asistido no crece (11,3 M en 2026, −0,1 %) y el mercado de declaraciones con profesional apenas sube (+0,6 % según el IRS [18]), mientras Intuit lleva TurboTax Live a la asistida (+37 % en FY2026) y baja precios frente a rivales nativos de IA [19, 20]. El foso (marca, 8.600 oficinas, 73.400 preparadores en temporada, garantías) protege frente a lo digital, pero no ha demostrado que la subida de precios del 4-6 % anual resista una alternativa de IA más barata. El caso base ya resta volumen desde FY2030e.</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(FY2027e-FY2034e)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-4,3 % (base: 2,8 %)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17,7 % (base: 26,0 %)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13,6 % (WACC: 9,2 %)</w:t>
            </w:r>
          </w:p>
        </w:tc>
      </w:tr>
    </w:tbl>
    <w:p>
      <w:pPr>
        <w:spacing w:after="160" w:before="0"/>
      </w:pPr>
    </w:p>
    <w:p>
      <w:pPr>
        <w:spacing w:after="100"/>
      </w:pPr>
      <w:r>
        <w:t xml:space="preserve">El DCF da 79,61 USD por acción (+63,6 %), con un WACC del 9,22 % y un valor terminal del 58 %. El DCF inverso dice que el precio descuenta una caída de las ventas del 4,3 % anual con nuestro margen (frente a +2,8 % en el base), o un margen del 17,7 % con nuestras ventas: el mercado descuenta que la IA rompe el negocio de declaraciones asistidas. El bajista (crecimiento −4 puntos y margen −3 puntos: volumen asistido en caída y precio a la baja) vale 43,65 USD, un 10 % bajo el precio. La distancia entre el precio y el valor no es la tasa sino la pregunta de la IA: si el volumen se mantiene, la acción está barata; si cae un 4 % al año, el precio es justo.</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herramientas de IA (TurboTax con agentes, rivales nativos, asistentes generales) y los precios bajos de Intuit quitan declaraciones sencillas a las oficinas: el volumen asistido cae un 3-4 % al año y el precio por declaración deja de subir. Crecimiento 4 puntos menor y margen 3 puntos menor (el coste de las oficinas es casi fijo durante la temporada); el IRS reabre un Direct File ampliado.</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79,61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+63,6 %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asistido plano y luego en ligera caída, precio por declaración +2,5-3,3 % al año, DIY y pequeñas empresas creciendo algo; margen EBITDA del 26-27 % y recompras de ≈ 400 M al año.</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92,17</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+89,4 %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IA baja el coste de preparación (menos horas por declaración) y H&amp;R Block la usa para ganar cuota en la asistida a la que Intuit empuja a sus clientes: 1,5 puntos más de crecimiento y 1 punto más de margen.</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Valor por acción por escenario (USD) · precio actual 48,67"/>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spacing w:after="100"/>
      </w:pPr>
      <w:r>
        <w:rPr>
          <w:b/>
          <w:bCs/>
        </w:rPr>
        <w:t xml:space="preserve">Valor ponderado por probabilidad:</w:t>
      </w:r>
      <w:r>
        <w:t xml:space="preserve"> 71,33 USD (+46,6 %).</w:t>
      </w:r>
    </w:p>
    <w:p>
      <w:pPr>
        <w:spacing w:after="100"/>
      </w:pPr>
      <w:r>
        <w:t xml:space="preserve">La asimetría es favorable en precio (alcista +89,4 %, bajista −10,3 %; asimetría de 8,68), porque el precio ya descuenta un bajista severo: con 48,67 USD el mercado paga el negocio como si las ventas cayeran un 4,3 % al año. La probabilidad del bajista (30 %) es alta a propósito: la IA es el riesgo central y no tiene historia para medirlo. El valor ponderado de los escenarios (≈ 71 USD) queda un 46 % sobre el precio; la duda no es cuánto vale si el negocio aguanta, sino si aguanta.</w:t>
      </w:r>
    </w:p>
    <w:p>
      <w:pPr>
        <w:pStyle w:val="Heading1"/>
      </w:pPr>
      <w:r>
        <w:t xml:space="preserve">22. Suma de partes</w:t>
      </w:r>
    </w:p>
    <w:p>
      <w:pPr>
        <w:pStyle w:val="Confianza"/>
        <w:spacing w:after="100"/>
      </w:pPr>
      <w:r>
        <w:t xml:space="preserve">Confianza: Media</w:t>
      </w:r>
    </w:p>
    <w:p>
      <w:pPr>
        <w:spacing w:after="100"/>
      </w:pPr>
      <w:r>
        <w:t xml:space="preserve">No aplica: la empresa publica un solo segmento y la preparación fiscal en EE. UU. da el 88 % de los ingresos [2]; Wave (122,7 M de ingresos, 3 %) y los servicios financieros (99,5 M) dependen de la misma base de clientes y no cambian el total.</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6" name="Gráfico 26" descr="Valor por acción según cada método (USD) · precio actual 48,67"/>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58,67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51,67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104,39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118,27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79,61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90,36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71,33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92,17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90,29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98,16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48,67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48,91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r>
    </w:tbl>
    <w:p>
      <w:pPr>
        <w:spacing w:after="160" w:before="0"/>
      </w:pPr>
    </w:p>
    <w:p>
      <w:pPr>
        <w:spacing w:after="100"/>
      </w:pPr>
      <w:r>
        <w:rPr>
          <w:b/>
          <w:bCs/>
        </w:rPr>
        <w:t xml:space="preserve">Valor intrínseco ponderado (largo plazo):</w:t>
      </w:r>
      <w:r>
        <w:t xml:space="preserve"> 77,95 USD (+60,2 % sobre 48,67).</w:t>
      </w:r>
    </w:p>
    <w:p>
      <w:pPr>
        <w:spacing w:after="100"/>
      </w:pPr>
      <w:r>
        <w:t xml:space="preserve">Pesos: escenarios 50 %, DCF 40 % y comparables 10 %. Los escenarios pesan más que el DCF porque la tesis es binaria (la IA rompe o no la asistida) y el bajista recibe un 30 %. Los comparables pesan poco: el grupo (Paychex, ADP, Rollins) no sufre la misma amenaza y da valores (87-118 USD) que el mercado no paga; las transacciones no pesan (solo TaxAct tiene múltiplo, unas 8 veces el resultado de 2022). El valor objetivo de la síntesis (77,95 USD, +60,2 %) es una referencia de largo plazo; la decisión la marca la regla a 12 meses (54,46 USD), que da Comprar en el límite y no pasa la v2 ni la sostenibilidad.</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5,37</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33,29</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6,69</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(7.7x) a mitad de camino hacia la mediana de 5 años (9.2x)</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7,18</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1.35</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81,85</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+71,6 %</w:t>
            </w:r>
          </w:p>
        </w:tc>
      </w:tr>
    </w:tbl>
    <w:p>
      <w:pPr>
        <w:spacing w:after="160" w:before="0"/>
      </w:pPr>
    </w:p>
    <w:p>
      <w:pPr>
        <w:spacing w:after="100"/>
      </w:pPr>
      <w:r>
        <w:rPr>
          <w:b/>
          <w:bCs/>
        </w:rPr>
        <w:t xml:space="preserve">Objetivo a 12 meses (ponderado):</w:t>
      </w:r>
      <w:r>
        <w:t xml:space="preserve"> 54,46 USD · rentabilidad +15,3 % (base +18,9 %) · señal Comprar.</w:t>
      </w:r>
    </w:p>
    <w:p>
      <w:pPr>
        <w:spacing w:after="100"/>
      </w:pPr>
      <w:r>
        <w:t xml:space="preserve">Para comparar, con la regla v2 (historia al cierre, mismo precio): 7,2x / 7,7x / 10,0x, 9,7 % Mantener.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ajustado de FY2027e (6,17 USD) coincide con el consenso (6,15) y con la parte alta de la guía (6,04-6,24) [2, 31]. El de FY2028e (6,69) queda un 3,3 % por debajo del consenso (6,92), que en 90 días bajó de 7,74: nosotros no contamos recompras más allá de las guiadas para FY2027 (quedan 600 M autorizados, cada 400 M al año añaden ≈ 3,5 puntos de BPA) y erosionamos el margen. El objetivo medio de los analistas (51,67 USD, 3 analistas, de 36 a 60) queda un 8 % por debajo de nuestro base (56,20): la diferencia es el múltiplo, que la regla lleva de 7,7 a 8,4 veces.</w:t>
      </w:r>
    </w:p>
    <w:p>
      <w:pPr>
        <w:keepNext/>
        <w:spacing w:after="100"/>
      </w:pPr>
      <w:r>
        <w:rPr>
          <w:b/>
          <w:bCs/>
        </w:rPr>
        <w:t xml:space="preserve">Del valor intrínseco al objetivo a 12 meses.</w:t>
      </w:r>
    </w:p>
    <w:p>
      <w:pPr>
        <w:spacing w:after="100"/>
      </w:pPr>
      <w:r>
        <w:t xml:space="preserve">El objetivo a 12 meses (54,46 USD, ponderado) queda un 11,9 % sobre el precio (15,3 % con el dividendo del 3,5 %) y el valor intrínseco (77,95) un 60 %. El base (56,20 USD, 18,9 % con dividendo) supone que el BPA ajustado crece un 12,2 % anual desde 5,31 USD, con la guía y las recompras, y que el PER sube de 7,7 a 8,4 veces, a mitad de camino hacia su mediana adelantada (9,2) con el tope de ×1,1. El bajista (33,29) es el PER de junio de 2026 (6,2 veces) sobre un BPA un 20 % menor. Con la regla v2 de control (historia al cierre, mediana de 10,1) la ponderada es del 9,7 %: la compra no es robusta.</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2026-11-05 (estimada)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1T FY2027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Trimestre de pérdidas estacionales; reiteración de la guía (BPA 6,04-6,24) y ritmo de recompras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2026-11-10</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Junta de accionistas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junta con Campbell de consejero delegado; renovación del consejo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2026-12 / 2027-01</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Precios de TurboTax y de H&amp;R Block para la temporada de 2027 y lanzamientos de IA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la guerra de precios que anunció Intuit</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2027-02 (inicio de la temporada)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Primeras estadísticas semanales del IRS y resultados del 2T FY2027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 declaraciones con profesional frente al de autopreparación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2027-05</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 FY2027 (la temporada)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Declaraciones asistidas y precio medio: la prueba de la tesis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2027-08</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FY2027 y guía de FY2028</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frente a los 6,92 USD del consenso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fecha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Política del IRS (Direct File, Free File hasta 2029) y demandas colectivas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Direct File ampliado restaría clientes de declaraciones sencillas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Continuo</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Recompras (600 M USD pendientes) y dividendo (0,46 USD trimestral)</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+3-4 % de BPA al año y un 3,8 % de rentabilidad por dividendo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Sustitución por IA: asistentes y agentes que preparan una declaración sencilla por poco o nada, y TurboTax Live llevando a la asistida a sus 39 M de clientes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Tecnología y 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−45 % sobre el DCF base (bajista: 43,65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 oficinas y garantías para quien no quiere hacerlo solo; 3,6 M de clientes DIY propios y la IA usada para bajar costes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Declaraciones asistidas por debajo de 11 M o NAC por debajo de +2 % en la temporada de 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Guerra de precios de Intuit (rebajas de TurboTax frente a rivales nativos de IA)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a −15 %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medio de las oficinas muy por encima del DIY; clientes poco sensibles al precio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Rebajas de H&amp;R Block en DIY o en la asistida en enero de 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comprimido de forma permanente: el mercado paga 6-8 veces a un negocio sin crecimiento de volumen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−20 % en 12 meses (bajista de la regla: 33,29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Recompras y dividendo (≈ 12 % de la capitalización al año)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adelantado por debajo de 6 veces tras una buena temporada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Regulación: Direct File del IRS reabierto o ampliado, cambios en Free File, simplificación fiscal</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a −20 %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 File suspendido para 2026; acuerdo de Free File hasta 2029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Presupuesto del IRS o ley que restablezca Direct File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Ejecución del nuevo consejero delegado (Campbell, desde enero de 2026) y salida de consejeros veteranos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Experiencia en TaxAct e Intuit; presidente independiente; directora financiera en el cargo desde 2024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FY2028 por debajo del consenso o cambios de estrategia con gasto alto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Litigios (Free File, píxeles de seguimiento y datos de clientes) y ciberseguridad</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Legal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a −4 %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provisiones materiales; seguros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Acuerdo o sentencia por encima de 50 M USD</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Temporada concentrada en 10 semanas y en EE. UU. (88 % de los ingresos)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Plazo del IRS fijo; temporadas aplazadas solo en 2020-2021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Aplazamiento del plazo del IRS o fallo de sistemas en marzo-abril</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Apalancamiento con patrimonio casi nulo (deuda neta 533 M, 0,5 veces el EBITDA) y bonos a refinanciar en 2028-2032</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Calificación BBB/Baa3 y flujo libre de 756 M</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Refinanciación de los bonos de 2028 por encima del 6 %</w:t>
            </w:r>
          </w:p>
        </w:tc>
      </w:tr>
    </w:tbl>
    <w:p>
      <w:pPr>
        <w:spacing w:after="160" w:before="0"/>
      </w:pPr>
    </w:p>
    <w:p>
      <w:pPr>
        <w:pStyle w:val="Heading2"/>
      </w:pPr>
      <w:r>
        <w:t xml:space="preserve">Pre-mortem</w:t>
      </w:r>
    </w:p>
    <w:p>
      <w:pPr>
        <w:spacing w:after="100"/>
      </w:pPr>
      <w:r>
        <w:t xml:space="preserve">Octubre de 2029: la acción ha perdido un 40 %. La temporada de 2027 fue la primera en la que los asistentes de IA, con acceso a los formularios W-2 y 1099 del cliente, prepararon una declaración sencilla en minutos y gratis o por 20-30 USD; Intuit los integró en TurboTax y bajó el precio de TurboTax Live para atraer a quien antes iba a una oficina. H&amp;R Block mantuvo sus precios en 2027 y perdió un 3 % de declaraciones asistidas; en 2028 bajó precios para frenar la sangría y el precio medio cayó por primera vez en una década. Con las oficinas y los 73.400 preparadores como coste casi fijo de la temporada, el EBITDA cayó un 20 % en dos años y el BPA dejó de crecer pese a las recompras. El mercado, que ya pagaba 7-8 veces, pasó a pagar 5-6 como a un negocio en declive, y el dividendo dejó de subir. Lo habrían anticipado las estadísticas semanales del IRS de febrero de 2027 (declaraciones con profesional cayendo más de un 2 %), el NAC de la temporada por debajo del 2 % y la caída de los clientes nuevos en las oficinas propias.</w:t>
      </w:r>
    </w:p>
    <w:p>
      <w:pPr>
        <w:pStyle w:val="Heading2"/>
      </w:pPr>
      <w:r>
        <w:t xml:space="preserve">Riesgo de inteligencia artificial</w:t>
      </w:r>
    </w:p>
    <w:p>
      <w:pPr>
        <w:spacing w:after="100"/>
      </w:pPr>
      <w:r>
        <w:rPr>
          <w:b/>
          <w:bCs/>
        </w:rPr>
        <w:t xml:space="preserve">Exposición:</w:t>
      </w:r>
      <w:r>
        <w:t xml:space="preserve"> Alta · </w:t>
      </w:r>
      <w:r>
        <w:rPr>
          <w:b/>
          <w:bCs/>
        </w:rPr>
        <w:t xml:space="preserve">Sentido:</w:t>
      </w:r>
      <w:r>
        <w:t xml:space="preserve"> Amenaza · </w:t>
      </w:r>
      <w:r>
        <w:rPr>
          <w:b/>
          <w:bCs/>
        </w:rPr>
        <w:t xml:space="preserve">Efecto en valor (3-5 años):</w:t>
      </w:r>
      <w:r>
        <w:t xml:space="preserve"> −20 a −45 % a 3-5 años (bajista del motor: 43,65 USD, −45 % frente al DCF base)</w:t>
      </w:r>
    </w:p>
    <w:p>
      <w:pPr>
        <w:spacing w:after="100"/>
      </w:pPr>
      <w:r>
        <w:t xml:space="preserve">La IA toca el centro del negocio: el 65 % de los ingresos es la preparación asistida en EE. UU. (2.561 M USD) y la mayoría de esas declaraciones son sencillas (asalariados con W-2), justo lo que un agente de IA ya puede hacer [1, 2]. Intuit lleva TurboTax Live a la asistida (+37 % en FY2026) y en septiembre presentó una plataforma «hecha por ti» con agentes y rebajas de precio; el mercado ya lo descuenta (Intuit −52 % en el año) [19, 20]. H&amp;R Block usa IA (AI Tax Assist) para bajar horas por declaración y defiende el valor de la persona y de la garantía; la sostenibilidad es «En parte» por esto. La señal que avisaría: declaraciones asistidas por debajo de 11 M o un precio medio que deja de subir en la temporada de 2027, y las cifras semanales del IRS de febrero.</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Lo que más mueve las cifras es la protección de datos y del consumidor: H&amp;R Block guarda datos fiscales y bancarios de 22 millones de declaraciones al año [1] y está demandada (acciones colectivas, arbitrajes masivos e investigaciones públicas) por el uso de píxeles en su web y por el programa Free File [1]. El segundo asunto es el trato a 73.400 trabajadores de temporada (salarios de campo de 997 M, +7,5 %) [1, 2]. El tercero, los productos financieros ligados al reembolso, vigilados por los reguladores de consumo [1].</w:t>
      </w:r>
    </w:p>
    <w:p>
      <w:pPr>
        <w:pStyle w:val="Heading2"/>
      </w:pPr>
      <w:r>
        <w:t xml:space="preserve">Controversias</w:t>
      </w:r>
    </w:p>
    <w:p>
      <w:pPr>
        <w:spacing w:after="100"/>
      </w:pPr>
      <w:r>
        <w:t xml:space="preserve">Demandas colectivas, arbitrajes masivos e investigaciones públicas abiertas sobre el programa Free File del IRS y el uso de píxeles de seguimiento en el DIY, con provisión no desglosada [1]. No se ha encontrado una sanción de un regulador de los últimos tres años en las fuentes primarias revisadas.</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 y volumen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¿Cuántos clientes de la asistida se fueron a DIY o a TurboTax Live en 2026, y cuántos nuevos llegaron? ¿Qué parte de las 11,3 M declaraciones es de asalariados con W-2 sin complicaciones?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escenario bajista (−45 % sobre el DCF base): mide qué parte del volumen puede sustituir la IA.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del +4,0 % de NAC de 2026 fue precio de lista y cuánto mezcla, y qué precios fijará para 2027 tras las rebajas de Intuit?</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Todo el crecimiento proyectado sale del precio; si deja de subir, el base no se cumple.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con 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¿Cuántas horas por declaración ha ahorrado AI Tax Assist y cuántos preparadores menos necesita la temporada?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IA como ahorro de costes es el escenario alcista.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Estrategia de Campbell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cambiará el nuevo consejero delegado (precios, DIY, oficinas, compras) y cuánto costará?</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Viene de TaxAct e Intuit; un giro hacia DIY barato sacrificaría margen.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Recompras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mantendrán los ≈ 400-500 M USD de recompras al año con el patrimonio casi nulo y bonos que vencen en 2028?</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recompras suman 3-4 puntos de BPA al año, la mitad del crecimiento.</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Stocktwits ($HRB)</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Euforia el 12-ago con la subida tras resultados («por encima de 100 en seis meses») y mensajes de corto plazo; en septiembre, quejas de la caída del 20 % «sin un solo comentario»; poco debate de fondo [37].</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(artículos y comentarios)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mayoría de los autores la ve barata (6-7 veces el beneficio, recompras, dividendo): «Potential To Double», «A Boring Business With An Interesting Return»; la tesis contraria, «The Melting Ice Cube» (mayo), sostiene que la IA y el DIY la derriten [16].</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MarketBeat (titulares y notas)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Cobertura de resultados positiva en agosto, mejora de Zacks en octubre y la venta de 2.700 acciones de un directivo; sin debate sobre Intuit [34].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IA y TurboTax vacían la renta asistida («cubito de hielo que se derrite»)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datos no lo confirman todavía: asistidas totales −0,1 % y NAC +4,0 % en FY2026, pero TurboTax Live crece un 37 % y las declaraciones de profesionales del IRS solo +0,6 %. Es el riesgo central del informe.</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Barata: 6-7 veces el beneficio con recompras del 7-8 % anual</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Cierto en cifras (BPA ajustado 5,31 y guía 6,04-6,24 frente a un precio de 48,67); la pregunta es si el beneficio aguanta, no el múltiplo.</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Volatilidad y posición corta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Posición corta del 20,7 % del flotante y volatilidad del 46 %: los movimientos de ±20 % en semanas son habituales.</w:t>
            </w:r>
          </w:p>
        </w:tc>
      </w:tr>
    </w:tbl>
    <w:p>
      <w:pPr>
        <w:spacing w:after="160" w:before="0"/>
      </w:pPr>
    </w:p>
    <w:p>
      <w:pPr>
        <w:spacing w:after="100"/>
      </w:pPr>
      <w:r>
        <w:t xml:space="preserve">El inversor particular está dividido entre el valor (múltiplo de 7 veces, dividendo del 3,8 %, recompras) y el miedo a la IA, igual que los analistas. No hay euforia ni capitulación: la acción rebotó un 70 % desde el mínimo de febrero y ha devuelto parte. El sentimiento no aporta un riesgo que el informe no recoja; confirma que la tesis depende de si la temporada de 2027 vuelve a mostrar volumen estable frente a TurboTax Live.</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19 de 20 controles correctos y 1 explicados. Fuentes: 38 (25 primarias); citas distintas en el texto: 37.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«En parte»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-2,5 % frente a -2,5 % real: genera una variación de circulante de -5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58 %.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Compra robusta (v3 y v2 dan Comprar)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regla v2 (historia al cierre) da Mantener con 9,7 %: para comprar o ampliar hace falta motivo de negocio propio; para mantener basta la vigente. Explicación: La regla vigente (v3) da una ponderada del 15,3 %, a solo 0,3 puntos del umbral, y la v2 de control (historia al cierre) un 9,7 %: la empresa queda marcada y no se compra sin motivo de negocio propio. No lo hay: la sostenibilidad del crecimiento es «En parte» (la IA y TurboTax Live presionan el volumen asistido), y con «En parte» el método no compra aunque toque su precio. Por eso la recomendación del informe es Mantener y no la Comprar que sale de la regla.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regla da «Comprar» y el análisis recomienda «Mantener»: hace falta «justificacion_recomendacion».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38 fuentes (25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11.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kpis (declaraciones asistidas y DIY de FY2025)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FY2026, sección de negocio (solo FY2026); 2) nota del 4T FY2025 (sin volúmenes); 3) 10-K FY2025 por grep de «tax returns» (cifras de otra definición)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y proxy 2026 (no publican calificaciones); 2) web de inversores (informe de impacto sin calificaciones de agencias); 3) búsqueda MSCI/Sustainalytics (sin página abierta con la nota)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cr5_pct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IBISWorld (cuota solo de pago); 2) IRS (volúmenes sin reparto por preparador); 3) derivarlo con Intuit y H&amp;R Block (sin datos del resto)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operaciones (múltiplos de Liberty Tax y Jackson Hewitt)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8-K de Blucora (TaxAct: sí hay múltiplo); 2) 10-K 2021 de Franchise Group (Liberty Tax: precio sin ingresos ni EBITDA); 3) búsqueda de la compra de Jackson Hewitt por Corsair (términos no publicados)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estimaciones de EBITDA y FY2029e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Yahoo earningsTrend (solo BPA y ventas de dos ejercicios); 2) MarketScreener (no abre sin WebFetch y no se usó para cifras); 3) guía de la empresa (solo FY2027)</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10-K del ejercicio FY2026 (cerrado el 30-jun-2026): negocio, volúmenes, riesgos, deuda, litigios, segmento único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H&amp;R Block,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https://www.sec.gov/Archives/edgar/data/12659/000001265926000026/hrb-20260630.htm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H&amp;R Block Reports Fiscal 2026 Results (nota del 4T FY2026 con cuenta, balance, flujos, conciliaciones y guía FY2027)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H&amp;R Block, Inc.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https://www.sec.gov/Archives/edgar/data/12659/000001265926000019/q4fy26earningsrelease.htm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del 3T FY2026 (temporada de la renta 2026; sube la guía FY2026)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H&amp;R Block, Inc.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https://www.sec.gov/Archives/edgar/data/12659/000001265926000015/q3fy26earningrelease.htm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del 2T FY2026 (reitera la guía FY2026)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H&amp;R Block, Inc.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https://www.sec.gov/Archives/edgar/data/12659/000001265926000005/q2fy26earningrelease.htm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del 1T FY2026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H&amp;R Block, Inc.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https://www.sec.gov/Archives/edgar/data/12659/000001265925000014/q1fy26earningrelease.htm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del 4T FY2025 (BPA ajustado FY2024-FY2025; guía FY2026)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H&amp;R Block, Inc.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https://www.sec.gov/Archives/edgar/data/12659/000160529725000012/q4fy25earningsrelease.htm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del ejercicio FY2025 (flujos FY2023-FY2025, recompras)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H&amp;R Block,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https://www.sec.gov/Archives/edgar/data/12659/000160529725000016/hrb-20250630.htm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del 4T FY2024 (BPA ajustado FY2023-FY2024, EBITDA, guía FY2025)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H&amp;R Block, Inc.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ago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https://www.sec.gov/Archives/edgar/data/12659/000183886224000028/q4fy24earningsrelease.htm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del 4T FY2023 (BPA ajustado FY2022-FY2023, guía FY2024)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H&amp;R Block, Inc.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ago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https://www.sec.gov/Archives/edgar/data/12659/000183886223000023/q4fy23earningsrelease.htm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del 4T FY2022 (BPA ajustado FY2021-FY2022, recompras)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H&amp;R Block, Inc.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ago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https://www.sec.gov/Archives/edgar/data/12659/000183886222000021/q4fy22earningsrelease.htm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10-Q del 3T FY2026 (31-mar-2026)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H&amp;R Block,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https://www.sec.gov/Archives/edgar/data/12659/000001265926000017/hrb-20260331.htm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XBRL de la SEC (companyfacts, CIK 12659): cuenta, balance y flujos FY2022-FY2026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https://data.sec.gov/api/xbrl/companyfacts/CIK0000012659.json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8-K: emisión de 350 M USD de bonos al 5,375 % con vencimiento en 2032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H&amp;R Block, Inc.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https://www.sec.gov/Archives/edgar/data/12659/000110465925083093/tm2522221d5_8k.htm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H&amp;R Block (HRB) Q4 2026 earnings summary (resumen de la conferencia del 11-ago-2026)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Quartr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https://quartr.com/events/h-r-block-inc-hrb-q4-2026_3YCNDInb</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must-read analyst questions from H&amp;R Block’s Q4 (CY2025) earnings call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StockStory (Finviz)</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https://finviz.com/news/306243/5-must-read-analyst-questions-from-hr-blocks-q4-earnings-call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 titulares de resultados (BPA ajustado frente al consenso: 4T +0,17; 3T +0,25; 2T +0,05)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 (RSS)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https://seekingalpha.com/api/sa/combined/HRB.xml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Tax Preparation Services in the US: tamaño del mercado (15.000 M USD en 2026; TCAC 2021-2026 del 1,9 %)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IBISWorld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https://www.ibisworld.com/united-states/industry/tax-preparation-services/1399/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 Filing season statistics, week ending May 8,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Internal Revenue Service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https://www.irs.gov/newsroom/filing-season-statistics-for-week-ending-may-8-2026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Reports Fourth Quarter and Full Year Fiscal 2026 Results (TurboTax 5.300 M, TurboTax Live +37 %, unidades −2 %)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Inc.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https://www.sec.gov/Archives/edgar/data/896878/000089687826000029/fy26q4earningspressrelease.htm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Stock Falls 52% YTD as CEO Pitches AI-Native Platform at Investor Day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Pomegra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https://pomegra.io/briefs/2026-09-17-intuit-investor-day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Goldman Sachs Lowers its Price Target on H&amp;R Block to $32 and Maintains a Sell Rating (TurboTax en asistida, entrantes nativos de 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Insider Monkey (Yahoo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https://finance.yahoo.com/news/goldman-sachs-lowers-price-target-102833491.html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Blucora: venta de TaxAct a Cinven por 720 M USD y guía 2022 del negocio de software fiscal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Blucora, Inc.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nov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https://www.sec.gov/Archives/edgar/data/1068875/000106887522000109/ex-991erq32022.htm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statement 2026 (DEF 14A): consejo, remuneración, accionistas significativos, pay ratio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H&amp;R Block,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https://www.sec.gov/Archives/edgar/data/12659/000110465926111942/tm2617324-4_def14a.htm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8-K 5.07: resultados de la junta del 5-nov-2025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H&amp;R Block,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https://www.sec.gov/Archives/edgar/data/12659/000001265925000018/hrb-20251105.htm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8-K: plan de sucesión (Jeff Jones se retira; Curtis Campbell, consejero delegado electo)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H&amp;R Block,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https://www.sec.gov/Archives/edgar/data/12659/000110465925076182/tm2523074d1_ex99-1.htm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8-K: tres consejeros nuevos (Breig, Charnaux, Plaines)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H&amp;R Block,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https://www.sec.gov/Archives/edgar/data/12659/000001265926000003/finalbodrelease2.htm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8-K: Gerard y Winter no se presentarán a la reelección en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H&amp;R Block,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https://www.sec.gov/Archives/edgar/data/12659/000001265926000028/hrb-20260812.htm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presentados entre el 19-oct-2025 y el 19-oct-2026 (herramientas/form4.mjs)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https://www.sec.gov/cgi-bin/browse-edgar?action=getcompany&amp;CIK=0000012659&amp;type=4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8-K: jubilación de la directora de contabilidad (Logerwell) y nombramiento de Wasleski</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H&amp;R Block,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https://www.sec.gov/Archives/edgar/data/12659/000160529725000017/hrb-20250813.htm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HRB, SPY y XLY (herramientas/bolsa.mjs): precio, rango, rentabilidades, beta, cierres de ejercicio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https://finance.yahoo.com/quote/HRB/history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quoteSummary del 19-oct-2026 (consenso, objetivos, acciones, posición corta, comparables)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https://finance.yahoo.com/quote/HRB/analysis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Daily Treasury Par Yield Curve Rates 2026 (10 años: 5,09 % el 16-oct-2026)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Department of the Treasury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https://home.treasury.gov/resource-center/data-chart-center/interest-rates/daily-treasury-rates.csv/2026/all?type=daily_treasury_yield_curve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de 2026,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HRB News Today (titulares jun-oct 2026: subida tras resultados, mejora de Zacks, venta de Darling)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https://www.marketbeat.com/stocks/NYSE/HRB/news/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Franchise Group: venta de Liberty Tax a NextPoint por 255,3 M USD (10-K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Franchise Group,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https://www.sec.gov/Archives/edgar/data/1528930/000152893022000004/tax-20211225.htm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Corsair Capital compra Jackson Hewitt a H.I.G. (términos no publicados)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Simpson Thacher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may 2018</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https://www.stblaw.com/about-us/news/view/2018/05/31/corsair-capital-acquires-jackson-hewitt-tax-service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 flujo de mensajes de $HRB (agosto-octubre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https://api.stocktwits.com/api/2/streams/symbol/HRB.json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Cálculo propio del BPA FY2027e-FY2028e y de la historia del PER adelantada (notas/propio.mjs)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informes/hr-block-2026-10-19/notas/propio.mjs</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89,1 %</w:t>
      </w:r>
      <w:r>
        <w:t xml:space="preserve"> · Secciones con menos del 60 % de campos cubiertos: </w:t>
      </w:r>
      <w:r>
        <w:rPr>
          <w:b/>
          <w:bCs/>
        </w:rPr>
        <w:t xml:space="preserve">ninguna</w:t>
      </w:r>
      <w:r>
        <w:t xml:space="preserve"> · Generado el 19 oct 2026.</w:t>
      </w:r>
    </w:p>
    <w:p>
      <w:pPr>
        <w:pStyle w:val="Nota"/>
        <w:spacing w:after="100"/>
      </w:pPr>
      <w:r>
        <w:t xml:space="preserve">Cifras en millones de USD, ejercicio a 30 de junio etiquetado por el año en que termina (FY2026 = jul-25 a jun-26). Hasta FY2021 el ejercicio cerraba el 30 de abril: la herramienta de cuentas tomaba ese cierre antiguo por ser el más repetido y se forzó el de 30 de junio (FY2022-FY2026) con una copia corregida, sin tocar el repo; la historia anterior no se usa. El último ejercicio real es FY2026 y no hay trimestres posteriores (el 1T FY2027 se publicará hacia el 5-nov-2026, fecha aún sin confirmar). El negocio es muy estacional: pierde dinero de julio a enero y gana el año entero de febrero a abril; el puente es el balance de junio, después de la temporada. Precio del informe: cierre del 16-oct-2026 (48,67 USD); la sesión del 19-oct estaba abierta (48,02 USD a las 10:54 de Nueva York [31] y 48,31 a las 11:17) y la decisión se comprueba con el precio del día en las pruebas de robustez. El BPA de la regla a 12 meses y su historia están en la base AJUSTADA de la empresa (sin amortización de intangibles comprados ni efectos fiscales discretos), la misma que la guía y el consenso; el GAAP de FY2026 (5,69 USD de actividades continuadas) incluye 84,1 M de beneficio fiscal discreto (0,65 USD por acción). El consenso viene de una sola fuente (Yahoo, 3-7 analistas).</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19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H&amp;R Block, Inc. (HRB)</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48,67</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(28,16 – 58,67)</c:v>
                </c:pt>
                <c:pt idx="1">
                  <c:v>Precio objetivo de los analistas (36,00 – 60,00)</c:v>
                </c:pt>
                <c:pt idx="2">
                  <c:v>Comparables: PER NTM (86,99 – 118,27)</c:v>
                </c:pt>
                <c:pt idx="3">
                  <c:v>DCF (WACC y g ± 0,5) (71,43 – 90,36)</c:v>
                </c:pt>
                <c:pt idx="4">
                  <c:v>Escenarios (bajista – alcista) (43,65 – 92,17)</c:v>
                </c:pt>
                <c:pt idx="5">
                  <c:v>DCF con la prima implícita del mercado (4,2 %)</c:v>
                </c:pt>
                <c:pt idx="6">
                  <c:v>Precio actual (48,67)</c:v>
                </c:pt>
              </c:strCache>
            </c:strRef>
          </c:cat>
          <c:val>
            <c:numRef>
              <c:f>Hoja1!$B$2:$B$8</c:f>
              <c:numCache>
                <c:formatCode>#,##0</c:formatCode>
                <c:ptCount val="7"/>
                <c:pt idx="0">
                  <c:v>28.16</c:v>
                </c:pt>
                <c:pt idx="1">
                  <c:v>36</c:v>
                </c:pt>
                <c:pt idx="2">
                  <c:v>86.99</c:v>
                </c:pt>
                <c:pt idx="3">
                  <c:v>71.43</c:v>
                </c:pt>
                <c:pt idx="4">
                  <c:v>43.65</c:v>
                </c:pt>
                <c:pt idx="5">
                  <c:v>83.56</c:v>
                </c:pt>
                <c:pt idx="6">
                  <c:v>48.43</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(28,16 – 58,67)</c:v>
                </c:pt>
                <c:pt idx="1">
                  <c:v>Precio objetivo de los analistas (36,00 – 60,00)</c:v>
                </c:pt>
                <c:pt idx="2">
                  <c:v>Comparables: PER NTM (86,99 – 118,27)</c:v>
                </c:pt>
                <c:pt idx="3">
                  <c:v>DCF (WACC y g ± 0,5) (71,43 – 90,36)</c:v>
                </c:pt>
                <c:pt idx="4">
                  <c:v>Escenarios (bajista – alcista) (43,65 – 92,17)</c:v>
                </c:pt>
                <c:pt idx="5">
                  <c:v>DCF con la prima implícita del mercado (4,2 %)</c:v>
                </c:pt>
                <c:pt idx="6">
                  <c:v>Precio actual (48,67)</c:v>
                </c:pt>
              </c:strCache>
            </c:strRef>
          </c:cat>
          <c:val>
            <c:numRef>
              <c:f>Hoja1!$C$2:$C$8</c:f>
              <c:numCache>
                <c:formatCode>#,##0</c:formatCode>
                <c:ptCount val="7"/>
                <c:pt idx="0">
                  <c:v>30.51</c:v>
                </c:pt>
                <c:pt idx="1">
                  <c:v>24</c:v>
                </c:pt>
                <c:pt idx="2">
                  <c:v>31.28</c:v>
                </c:pt>
                <c:pt idx="3">
                  <c:v>18.929999999999993</c:v>
                </c:pt>
                <c:pt idx="4">
                  <c:v>48.52</c:v>
                </c:pt>
                <c:pt idx="5">
                  <c:v>14.599999999999994</c:v>
                </c:pt>
                <c:pt idx="6">
                  <c:v>0.4799999999999969</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Asistida EE. UU. (oficinas propias y virtual)</c:v>
                </c:pt>
              </c:strCache>
            </c:strRef>
          </c:tx>
          <c:spPr>
            <a:solidFill>
              <a:srgbClr val="2A78D6"/>
            </a:solidFill>
            <a:ln w="12700">
              <a:solidFill>
                <a:srgbClr val="FFFFFF"/>
              </a:solidFill>
            </a:ln>
          </c:spPr>
          <c:invertIfNegative val="0"/>
          <c:cat>
            <c:strRef>
              <c:f>Hoja1!$A$2:$A$3</c:f>
              <c:strCache>
                <c:ptCount val="2"/>
                <c:pt idx="0">
                  <c:v>FY2025</c:v>
                </c:pt>
                <c:pt idx="1">
                  <c:v>FY2026</c:v>
                </c:pt>
              </c:strCache>
            </c:strRef>
          </c:cat>
          <c:val>
            <c:numRef>
              <c:f>Hoja1!$B$2:$B$3</c:f>
              <c:numCache>
                <c:formatCode>#,##0</c:formatCode>
                <c:ptCount val="2"/>
                <c:pt idx="0">
                  <c:v>2413.2</c:v>
                </c:pt>
                <c:pt idx="1">
                  <c:v>2560.9</c:v>
                </c:pt>
              </c:numCache>
            </c:numRef>
          </c:val>
        </c:ser>
        <c:ser>
          <c:idx val="1"/>
          <c:order val="1"/>
          <c:tx>
            <c:strRef>
              <c:f>Hoja1!$C$1</c:f>
              <c:strCache>
                <c:ptCount val="1"/>
                <c:pt idx="0">
                  <c:v>Royalties de franquicias</c:v>
                </c:pt>
              </c:strCache>
            </c:strRef>
          </c:tx>
          <c:spPr>
            <a:solidFill>
              <a:srgbClr val="EB6834"/>
            </a:solidFill>
            <a:ln w="12700">
              <a:solidFill>
                <a:srgbClr val="FFFFFF"/>
              </a:solidFill>
            </a:ln>
          </c:spPr>
          <c:invertIfNegative val="0"/>
          <c:cat>
            <c:strRef>
              <c:f>Hoja1!$A$2:$A$3</c:f>
              <c:strCache>
                <c:ptCount val="2"/>
                <c:pt idx="0">
                  <c:v>FY2025</c:v>
                </c:pt>
                <c:pt idx="1">
                  <c:v>FY2026</c:v>
                </c:pt>
              </c:strCache>
            </c:strRef>
          </c:cat>
          <c:val>
            <c:numRef>
              <c:f>Hoja1!$C$2:$C$3</c:f>
              <c:numCache>
                <c:formatCode>#,##0</c:formatCode>
                <c:ptCount val="2"/>
                <c:pt idx="0">
                  <c:v>192.9</c:v>
                </c:pt>
                <c:pt idx="1">
                  <c:v>185.4</c:v>
                </c:pt>
              </c:numCache>
            </c:numRef>
          </c:val>
        </c:ser>
        <c:ser>
          <c:idx val="2"/>
          <c:order val="2"/>
          <c:tx>
            <c:strRef>
              <c:f>Hoja1!$D$1</c:f>
              <c:strCache>
                <c:ptCount val="1"/>
                <c:pt idx="0">
                  <c:v>DIY EE. UU. (programa propio)</c:v>
                </c:pt>
              </c:strCache>
            </c:strRef>
          </c:tx>
          <c:spPr>
            <a:solidFill>
              <a:srgbClr val="1BAF7A"/>
            </a:solidFill>
            <a:ln w="12700">
              <a:solidFill>
                <a:srgbClr val="FFFFFF"/>
              </a:solidFill>
            </a:ln>
          </c:spPr>
          <c:invertIfNegative val="0"/>
          <c:cat>
            <c:strRef>
              <c:f>Hoja1!$A$2:$A$3</c:f>
              <c:strCache>
                <c:ptCount val="2"/>
                <c:pt idx="0">
                  <c:v>FY2025</c:v>
                </c:pt>
                <c:pt idx="1">
                  <c:v>FY2026</c:v>
                </c:pt>
              </c:strCache>
            </c:strRef>
          </c:cat>
          <c:val>
            <c:numRef>
              <c:f>Hoja1!$D$2:$D$3</c:f>
              <c:numCache>
                <c:formatCode>#,##0</c:formatCode>
                <c:ptCount val="2"/>
                <c:pt idx="0">
                  <c:v>383.7</c:v>
                </c:pt>
                <c:pt idx="1">
                  <c:v>384.6</c:v>
                </c:pt>
              </c:numCache>
            </c:numRef>
          </c:val>
        </c:ser>
        <c:ser>
          <c:idx val="3"/>
          <c:order val="3"/>
          <c:tx>
            <c:strRef>
              <c:f>Hoja1!$E$1</c:f>
              <c:strCache>
                <c:ptCount val="1"/>
                <c:pt idx="0">
                  <c:v>Otros servicios fiscales EE. UU.</c:v>
                </c:pt>
              </c:strCache>
            </c:strRef>
          </c:tx>
          <c:spPr>
            <a:solidFill>
              <a:srgbClr val="EDA100"/>
            </a:solidFill>
            <a:ln w="12700">
              <a:solidFill>
                <a:srgbClr val="FFFFFF"/>
              </a:solidFill>
            </a:ln>
          </c:spPr>
          <c:invertIfNegative val="0"/>
          <c:cat>
            <c:strRef>
              <c:f>Hoja1!$A$2:$A$3</c:f>
              <c:strCache>
                <c:ptCount val="2"/>
                <c:pt idx="0">
                  <c:v>FY2025</c:v>
                </c:pt>
                <c:pt idx="1">
                  <c:v>FY2026</c:v>
                </c:pt>
              </c:strCache>
            </c:strRef>
          </c:cat>
          <c:val>
            <c:numRef>
              <c:f>Hoja1!$E$2:$E$3</c:f>
              <c:numCache>
                <c:formatCode>#,##0</c:formatCode>
                <c:ptCount val="2"/>
                <c:pt idx="0">
                  <c:v>313.1</c:v>
                </c:pt>
                <c:pt idx="1">
                  <c:v>326.9</c:v>
                </c:pt>
              </c:numCache>
            </c:numRef>
          </c:val>
        </c:ser>
        <c:ser>
          <c:idx val="4"/>
          <c:order val="4"/>
          <c:tx>
            <c:strRef>
              <c:f>Hoja1!$F$1</c:f>
              <c:strCache>
                <c:ptCount val="1"/>
                <c:pt idx="0">
                  <c:v>Servicios financieros</c:v>
                </c:pt>
              </c:strCache>
            </c:strRef>
          </c:tx>
          <c:spPr>
            <a:solidFill>
              <a:srgbClr val="E87BA4"/>
            </a:solidFill>
            <a:ln w="12700">
              <a:solidFill>
                <a:srgbClr val="FFFFFF"/>
              </a:solidFill>
            </a:ln>
          </c:spPr>
          <c:invertIfNegative val="0"/>
          <c:cat>
            <c:strRef>
              <c:f>Hoja1!$A$2:$A$3</c:f>
              <c:strCache>
                <c:ptCount val="2"/>
                <c:pt idx="0">
                  <c:v>FY2025</c:v>
                </c:pt>
                <c:pt idx="1">
                  <c:v>FY2026</c:v>
                </c:pt>
              </c:strCache>
            </c:strRef>
          </c:cat>
          <c:val>
            <c:numRef>
              <c:f>Hoja1!$F$2:$F$3</c:f>
              <c:numCache>
                <c:formatCode>#,##0</c:formatCode>
                <c:ptCount val="2"/>
                <c:pt idx="0">
                  <c:v>101.8</c:v>
                </c:pt>
                <c:pt idx="1">
                  <c:v>99.5</c:v>
                </c:pt>
              </c:numCache>
            </c:numRef>
          </c:val>
        </c:ser>
        <c:ser>
          <c:idx val="5"/>
          <c:order val="5"/>
          <c:tx>
            <c:strRef>
              <c:f>Hoja1!$G$1</c:f>
              <c:strCache>
                <c:ptCount val="1"/>
                <c:pt idx="0">
                  <c:v>Internacional (Canadá y Australia)</c:v>
                </c:pt>
              </c:strCache>
            </c:strRef>
          </c:tx>
          <c:spPr>
            <a:solidFill>
              <a:srgbClr val="008300"/>
            </a:solidFill>
            <a:ln w="12700">
              <a:solidFill>
                <a:srgbClr val="FFFFFF"/>
              </a:solidFill>
            </a:ln>
          </c:spPr>
          <c:invertIfNegative val="0"/>
          <c:cat>
            <c:strRef>
              <c:f>Hoja1!$A$2:$A$3</c:f>
              <c:strCache>
                <c:ptCount val="2"/>
                <c:pt idx="0">
                  <c:v>FY2025</c:v>
                </c:pt>
                <c:pt idx="1">
                  <c:v>FY2026</c:v>
                </c:pt>
              </c:strCache>
            </c:strRef>
          </c:cat>
          <c:val>
            <c:numRef>
              <c:f>Hoja1!$G$2:$G$3</c:f>
              <c:numCache>
                <c:formatCode>#,##0</c:formatCode>
                <c:ptCount val="2"/>
                <c:pt idx="0">
                  <c:v>247</c:v>
                </c:pt>
                <c:pt idx="1">
                  <c:v>265.4</c:v>
                </c:pt>
              </c:numCache>
            </c:numRef>
          </c:val>
        </c:ser>
        <c:ser>
          <c:idx val="6"/>
          <c:order val="6"/>
          <c:tx>
            <c:strRef>
              <c:f>Hoja1!$H$1</c:f>
              <c:strCache>
                <c:ptCount val="1"/>
                <c:pt idx="0">
                  <c:v>Wave</c:v>
                </c:pt>
              </c:strCache>
            </c:strRef>
          </c:tx>
          <c:spPr>
            <a:solidFill>
              <a:srgbClr val="4A3AA7"/>
            </a:solidFill>
            <a:ln w="12700">
              <a:solidFill>
                <a:srgbClr val="FFFFFF"/>
              </a:solidFill>
            </a:ln>
          </c:spPr>
          <c:invertIfNegative val="0"/>
          <c:cat>
            <c:strRef>
              <c:f>Hoja1!$A$2:$A$3</c:f>
              <c:strCache>
                <c:ptCount val="2"/>
                <c:pt idx="0">
                  <c:v>FY2025</c:v>
                </c:pt>
                <c:pt idx="1">
                  <c:v>FY2026</c:v>
                </c:pt>
              </c:strCache>
            </c:strRef>
          </c:cat>
          <c:val>
            <c:numRef>
              <c:f>Hoja1!$H$2:$H$3</c:f>
              <c:numCache>
                <c:formatCode>#,##0</c:formatCode>
                <c:ptCount val="2"/>
                <c:pt idx="0">
                  <c:v>109.2</c:v>
                </c:pt>
                <c:pt idx="1">
                  <c:v>122.7</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(FY2026)</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Pt>
            <c:idx val="4"/>
            <c:bubble3D val="0"/>
            <c:spPr>
              <a:solidFill>
                <a:srgbClr val="E87BA4"/>
              </a:solidFill>
              <a:ln w="19050">
                <a:solidFill>
                  <a:srgbClr val="FFFFFF"/>
                </a:solidFill>
              </a:ln>
            </c:spPr>
          </c:dPt>
          <c:dPt>
            <c:idx val="5"/>
            <c:bubble3D val="0"/>
            <c:spPr>
              <a:solidFill>
                <a:srgbClr val="008300"/>
              </a:solidFill>
              <a:ln w="19050">
                <a:solidFill>
                  <a:srgbClr val="FFFFFF"/>
                </a:solidFill>
              </a:ln>
            </c:spPr>
          </c:dPt>
          <c:dPt>
            <c:idx val="6"/>
            <c:bubble3D val="0"/>
            <c:spPr>
              <a:solidFill>
                <a:srgbClr val="4A3AA7"/>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Hoja1!$A$2:$A$8</c:f>
              <c:strCache>
                <c:ptCount val="7"/>
                <c:pt idx="0">
                  <c:v>Asistida EE. UU. (oficinas propias y virtual)</c:v>
                </c:pt>
                <c:pt idx="1">
                  <c:v>Royalties de franquicias</c:v>
                </c:pt>
                <c:pt idx="2">
                  <c:v>DIY EE. UU. (programa propio)</c:v>
                </c:pt>
                <c:pt idx="3">
                  <c:v>Otros servicios fiscales EE. UU.</c:v>
                </c:pt>
                <c:pt idx="4">
                  <c:v>Servicios financieros</c:v>
                </c:pt>
                <c:pt idx="5">
                  <c:v>Internacional (Canadá y Australia)</c:v>
                </c:pt>
                <c:pt idx="6">
                  <c:v>Wave</c:v>
                </c:pt>
              </c:strCache>
            </c:strRef>
          </c:cat>
          <c:val>
            <c:numRef>
              <c:f>Hoja1!$B$2:$B$8</c:f>
              <c:numCache>
                <c:formatCode>General</c:formatCode>
                <c:ptCount val="7"/>
                <c:pt idx="0">
                  <c:v>64.9</c:v>
                </c:pt>
                <c:pt idx="1">
                  <c:v>4.7</c:v>
                </c:pt>
                <c:pt idx="2">
                  <c:v>9.7</c:v>
                </c:pt>
                <c:pt idx="3">
                  <c:v>8.3</c:v>
                </c:pt>
                <c:pt idx="4">
                  <c:v>2.5</c:v>
                </c:pt>
                <c:pt idx="5">
                  <c:v>6.7</c:v>
                </c:pt>
                <c:pt idx="6">
                  <c:v>3.1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origen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Estados Unidos</c:v>
                </c:pt>
                <c:pt idx="1">
                  <c:v>Canadá y Australia</c:v>
                </c:pt>
              </c:strCache>
            </c:strRef>
          </c:cat>
          <c:val>
            <c:numRef>
              <c:f>Hoja1!$B$2:$B$3</c:f>
              <c:numCache>
                <c:formatCode>0"%"</c:formatCode>
                <c:ptCount val="2"/>
                <c:pt idx="0">
                  <c:v>93.3</c:v>
                </c:pt>
                <c:pt idx="1">
                  <c:v>6.7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(IBISWorld, preparación profesional en EE. UU.))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2021</c:v>
                </c:pt>
                <c:pt idx="1">
                  <c:v>2026</c:v>
                </c:pt>
                <c:pt idx="2">
                  <c:v>2031e</c:v>
                </c:pt>
              </c:strCache>
            </c:strRef>
          </c:cat>
          <c:val>
            <c:numRef>
              <c:f>Hoja1!$B$2:$B$4</c:f>
              <c:numCache>
                <c:formatCode>#,##0</c:formatCode>
                <c:ptCount val="3"/>
                <c:pt idx="0">
                  <c:v>13650</c:v>
                </c:pt>
                <c:pt idx="1">
                  <c:v>15000</c:v>
                </c:pt>
                <c:pt idx="2">
                  <c:v>16000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4</c:v>
                </c:pt>
                <c:pt idx="1">
                  <c:v>3</c:v>
                </c:pt>
                <c:pt idx="2">
                  <c:v>2</c:v>
                </c:pt>
                <c:pt idx="3">
                  <c:v>3</c:v>
                </c:pt>
                <c:pt idx="4">
                  <c:v>4</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H&amp;R Block</c:v>
                </c:pt>
                <c:pt idx="1">
                  <c:v>Intuit (TurboTax y TurboTax Live)</c:v>
                </c:pt>
                <c:pt idx="2">
                  <c:v>Jackson Hewitt</c:v>
                </c:pt>
                <c:pt idx="3">
                  <c:v>TaxAct</c:v>
                </c:pt>
                <c:pt idx="4">
                  <c:v>Liberty Tax</c:v>
                </c:pt>
                <c:pt idx="5">
                  <c:v>Preparadores independientes y contables</c:v>
                </c:pt>
              </c:strCache>
            </c:strRef>
          </c:cat>
          <c:val>
            <c:numRef>
              <c:f>Hoja1!$B$2:$B$7</c:f>
              <c:numCache>
                <c:formatCode>0.0"%"</c:formatCode>
                <c:ptCount val="6"/>
                <c:pt idx="0">
                  <c:v>23</c:v>
                </c:pt>
                <c:pt idx="3">
                  <c:v>36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0</c:v>
                </c:pt>
                <c:pt idx="1">
                  <c:v>2</c:v>
                </c:pt>
                <c:pt idx="2">
                  <c:v>3</c:v>
                </c:pt>
                <c:pt idx="3">
                  <c:v>2</c:v>
                </c:pt>
                <c:pt idx="4">
                  <c:v>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Hoja1!$A$2:$A$14</c:f>
              <c:strCache>
                <c:ptCount val="13"/>
                <c:pt idx="0">
                  <c:v>FY2022</c:v>
                </c:pt>
                <c:pt idx="1">
                  <c:v>FY2023</c:v>
                </c:pt>
                <c:pt idx="2">
                  <c:v>FY2024</c:v>
                </c:pt>
                <c:pt idx="3">
                  <c:v>FY2025</c:v>
                </c:pt>
                <c:pt idx="4">
                  <c:v>FY2026</c:v>
                </c:pt>
                <c:pt idx="5">
                  <c:v>FY2027e</c:v>
                </c:pt>
                <c:pt idx="6">
                  <c:v>FY2028e</c:v>
                </c:pt>
                <c:pt idx="7">
                  <c:v>FY2029e</c:v>
                </c:pt>
                <c:pt idx="8">
                  <c:v>FY2030e</c:v>
                </c:pt>
                <c:pt idx="9">
                  <c:v>FY2031e</c:v>
                </c:pt>
                <c:pt idx="10">
                  <c:v>FY2032e</c:v>
                </c:pt>
                <c:pt idx="11">
                  <c:v>FY2033e</c:v>
                </c:pt>
                <c:pt idx="12">
                  <c:v>FY2034e</c:v>
                </c:pt>
              </c:strCache>
            </c:strRef>
          </c:cat>
          <c:val>
            <c:numRef>
              <c:f>Hoja1!$B$2:$B$14</c:f>
              <c:numCache>
                <c:formatCode>#,##0</c:formatCode>
                <c:ptCount val="13"/>
                <c:pt idx="0">
                  <c:v>3463.3</c:v>
                </c:pt>
                <c:pt idx="1">
                  <c:v>3472.2</c:v>
                </c:pt>
                <c:pt idx="2">
                  <c:v>3610.3</c:v>
                </c:pt>
                <c:pt idx="3">
                  <c:v>3761</c:v>
                </c:pt>
                <c:pt idx="4">
                  <c:v>3945.4</c:v>
                </c:pt>
                <c:pt idx="5">
                  <c:v>4135</c:v>
                </c:pt>
                <c:pt idx="6">
                  <c:v>4279</c:v>
                </c:pt>
                <c:pt idx="7">
                  <c:v>4408</c:v>
                </c:pt>
                <c:pt idx="8">
                  <c:v>4518</c:v>
                </c:pt>
                <c:pt idx="9">
                  <c:v>4631</c:v>
                </c:pt>
                <c:pt idx="10">
                  <c:v>4724</c:v>
                </c:pt>
                <c:pt idx="11">
                  <c:v>4818</c:v>
                </c:pt>
                <c:pt idx="12">
                  <c:v>4914</c:v>
                </c:pt>
              </c:numCache>
            </c:numRef>
          </c:val>
        </c:ser>
        <c:ser>
          <c:idx val="1"/>
          <c:order val="1"/>
          <c:tx>
            <c:strRef>
              <c:f>Hoja1!$C$1</c:f>
              <c:strCache>
                <c:ptCount val="1"/>
                <c:pt idx="0">
                  <c:v>EBITDA</c:v>
                </c:pt>
              </c:strCache>
            </c:strRef>
          </c:tx>
          <c:spPr>
            <a:solidFill>
              <a:srgbClr val="EB6834"/>
            </a:solidFill>
            <a:ln w="9525">
              <a:noFill/>
            </a:ln>
          </c:spPr>
          <c:invertIfNegative val="0"/>
          <c:cat>
            <c:strRef>
              <c:f>Hoja1!$A$2:$A$14</c:f>
              <c:strCache>
                <c:ptCount val="13"/>
                <c:pt idx="0">
                  <c:v>FY2022</c:v>
                </c:pt>
                <c:pt idx="1">
                  <c:v>FY2023</c:v>
                </c:pt>
                <c:pt idx="2">
                  <c:v>FY2024</c:v>
                </c:pt>
                <c:pt idx="3">
                  <c:v>FY2025</c:v>
                </c:pt>
                <c:pt idx="4">
                  <c:v>FY2026</c:v>
                </c:pt>
                <c:pt idx="5">
                  <c:v>FY2027e</c:v>
                </c:pt>
                <c:pt idx="6">
                  <c:v>FY2028e</c:v>
                </c:pt>
                <c:pt idx="7">
                  <c:v>FY2029e</c:v>
                </c:pt>
                <c:pt idx="8">
                  <c:v>FY2030e</c:v>
                </c:pt>
                <c:pt idx="9">
                  <c:v>FY2031e</c:v>
                </c:pt>
                <c:pt idx="10">
                  <c:v>FY2032e</c:v>
                </c:pt>
                <c:pt idx="11">
                  <c:v>FY2033e</c:v>
                </c:pt>
                <c:pt idx="12">
                  <c:v>FY2034e</c:v>
                </c:pt>
              </c:strCache>
            </c:strRef>
          </c:cat>
          <c:val>
            <c:numRef>
              <c:f>Hoja1!$C$2:$C$14</c:f>
              <c:numCache>
                <c:formatCode>#,##0</c:formatCode>
                <c:ptCount val="13"/>
                <c:pt idx="0">
                  <c:v>887.1</c:v>
                </c:pt>
                <c:pt idx="1">
                  <c:v>879.2</c:v>
                </c:pt>
                <c:pt idx="2">
                  <c:v>927</c:v>
                </c:pt>
                <c:pt idx="3">
                  <c:v>944.8</c:v>
                </c:pt>
                <c:pt idx="4">
                  <c:v>1030.1</c:v>
                </c:pt>
                <c:pt idx="5">
                  <c:v>1100</c:v>
                </c:pt>
                <c:pt idx="6">
                  <c:v>1147</c:v>
                </c:pt>
                <c:pt idx="7">
                  <c:v>1181</c:v>
                </c:pt>
                <c:pt idx="8">
                  <c:v>1202</c:v>
                </c:pt>
                <c:pt idx="9">
                  <c:v>1223</c:v>
                </c:pt>
                <c:pt idx="10">
                  <c:v>1238</c:v>
                </c:pt>
                <c:pt idx="11">
                  <c:v>1253</c:v>
                </c:pt>
                <c:pt idx="12">
                  <c:v>1278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Hoja1!$B$2:$B$6</c:f>
              <c:numCache>
                <c:formatCode>0"%"</c:formatCode>
                <c:ptCount val="5"/>
                <c:pt idx="0">
                  <c:v>45.7</c:v>
                </c:pt>
                <c:pt idx="1">
                  <c:v>44.6</c:v>
                </c:pt>
                <c:pt idx="2">
                  <c:v>44.8</c:v>
                </c:pt>
                <c:pt idx="3">
                  <c:v>44.5</c:v>
                </c:pt>
                <c:pt idx="4">
                  <c:v>44.3</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Hoja1!$C$2:$C$6</c:f>
              <c:numCache>
                <c:formatCode>0"%"</c:formatCode>
                <c:ptCount val="5"/>
                <c:pt idx="0">
                  <c:v>25.6</c:v>
                </c:pt>
                <c:pt idx="1">
                  <c:v>25.3</c:v>
                </c:pt>
                <c:pt idx="2">
                  <c:v>25.7</c:v>
                </c:pt>
                <c:pt idx="3">
                  <c:v>25.1</c:v>
                </c:pt>
                <c:pt idx="4">
                  <c:v>26.1</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Hoja1!$D$2:$D$6</c:f>
              <c:numCache>
                <c:formatCode>0"%"</c:formatCode>
                <c:ptCount val="5"/>
                <c:pt idx="0">
                  <c:v>21.5</c:v>
                </c:pt>
                <c:pt idx="1">
                  <c:v>21.6</c:v>
                </c:pt>
                <c:pt idx="2">
                  <c:v>22.3</c:v>
                </c:pt>
                <c:pt idx="3">
                  <c:v>22</c:v>
                </c:pt>
                <c:pt idx="4">
                  <c:v>23</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Hoja1!$E$2:$E$6</c:f>
              <c:numCache>
                <c:formatCode>0"%"</c:formatCode>
                <c:ptCount val="5"/>
                <c:pt idx="0">
                  <c:v>16</c:v>
                </c:pt>
                <c:pt idx="1">
                  <c:v>15.9</c:v>
                </c:pt>
                <c:pt idx="2">
                  <c:v>16.5</c:v>
                </c:pt>
                <c:pt idx="3">
                  <c:v>16.1</c:v>
                </c:pt>
                <c:pt idx="4">
                  <c:v>18.6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1T25</c:v>
                </c:pt>
                <c:pt idx="1">
                  <c:v>2T25</c:v>
                </c:pt>
                <c:pt idx="2">
                  <c:v>3T25</c:v>
                </c:pt>
                <c:pt idx="3">
                  <c:v>4T25</c:v>
                </c:pt>
                <c:pt idx="4">
                  <c:v>1T26</c:v>
                </c:pt>
                <c:pt idx="5">
                  <c:v>2T26</c:v>
                </c:pt>
                <c:pt idx="6">
                  <c:v>3T26</c:v>
                </c:pt>
                <c:pt idx="7">
                  <c:v>4T26</c:v>
                </c:pt>
              </c:strCache>
            </c:strRef>
          </c:cat>
          <c:val>
            <c:numRef>
              <c:f>Hoja1!$B$2:$B$9</c:f>
              <c:numCache>
                <c:formatCode>0.0"%"</c:formatCode>
                <c:ptCount val="8"/>
                <c:pt idx="4">
                  <c:v>5</c:v>
                </c:pt>
                <c:pt idx="5">
                  <c:v>11.1</c:v>
                </c:pt>
                <c:pt idx="6">
                  <c:v>5.3</c:v>
                </c:pt>
                <c:pt idx="7">
                  <c:v>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Hoja1!$B$2:$B$6</c:f>
              <c:numCache>
                <c:formatCode>0</c:formatCode>
                <c:ptCount val="5"/>
                <c:pt idx="0">
                  <c:v>6</c:v>
                </c:pt>
                <c:pt idx="1">
                  <c:v>6</c:v>
                </c:pt>
                <c:pt idx="2">
                  <c:v>7</c:v>
                </c:pt>
                <c:pt idx="3">
                  <c:v>6</c:v>
                </c:pt>
                <c:pt idx="4">
                  <c:v>5</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Hoja1!$C$2:$C$6</c:f>
              <c:numCache>
                <c:formatCode>0</c:formatCode>
                <c:ptCount val="5"/>
                <c:pt idx="0">
                  <c:v>0</c:v>
                </c:pt>
                <c:pt idx="1">
                  <c:v>0</c:v>
                </c:pt>
                <c:pt idx="2">
                  <c:v>0</c:v>
                </c:pt>
                <c:pt idx="3">
                  <c:v>0</c:v>
                </c:pt>
                <c:pt idx="4">
                  <c:v>0</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Hoja1!$D$2:$D$6</c:f>
              <c:numCache>
                <c:formatCode>0</c:formatCode>
                <c:ptCount val="5"/>
                <c:pt idx="0">
                  <c:v>31</c:v>
                </c:pt>
                <c:pt idx="1">
                  <c:v>30</c:v>
                </c:pt>
                <c:pt idx="2">
                  <c:v>29</c:v>
                </c:pt>
                <c:pt idx="3">
                  <c:v>25</c:v>
                </c:pt>
                <c:pt idx="4">
                  <c:v>26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FY2022</c:v>
                </c:pt>
                <c:pt idx="1">
                  <c:v>FY2023</c:v>
                </c:pt>
                <c:pt idx="2">
                  <c:v>FY2024</c:v>
                </c:pt>
                <c:pt idx="3">
                  <c:v>FY2025</c:v>
                </c:pt>
                <c:pt idx="4">
                  <c:v>FY2026</c:v>
                </c:pt>
              </c:strCache>
            </c:strRef>
          </c:cat>
          <c:val>
            <c:numRef>
              <c:f>Hoja1!$B$2:$B$6</c:f>
              <c:numCache>
                <c:formatCode>#,##0</c:formatCode>
                <c:ptCount val="5"/>
                <c:pt idx="0">
                  <c:v>746.5</c:v>
                </c:pt>
                <c:pt idx="1">
                  <c:v>752.0999999999999</c:v>
                </c:pt>
                <c:pt idx="2">
                  <c:v>657.1999999999999</c:v>
                </c:pt>
                <c:pt idx="3">
                  <c:v>598.9</c:v>
                </c:pt>
                <c:pt idx="4">
                  <c:v>756.1</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FY2022</c:v>
                </c:pt>
                <c:pt idx="1">
                  <c:v>FY2023</c:v>
                </c:pt>
                <c:pt idx="2">
                  <c:v>FY2024</c:v>
                </c:pt>
                <c:pt idx="3">
                  <c:v>FY2025</c:v>
                </c:pt>
                <c:pt idx="4">
                  <c:v>FY2026</c:v>
                </c:pt>
              </c:strCache>
            </c:strRef>
          </c:cat>
          <c:val>
            <c:numRef>
              <c:f>Hoja1!$C$2:$C$6</c:f>
              <c:numCache>
                <c:formatCode>#,##0</c:formatCode>
                <c:ptCount val="5"/>
                <c:pt idx="0">
                  <c:v>553.7</c:v>
                </c:pt>
                <c:pt idx="1">
                  <c:v>553.7</c:v>
                </c:pt>
                <c:pt idx="2">
                  <c:v>595.3</c:v>
                </c:pt>
                <c:pt idx="3">
                  <c:v>605.8</c:v>
                </c:pt>
                <c:pt idx="4">
                  <c:v>733.6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Hoja1!$B$2:$B$6</c:f>
              <c:numCache>
                <c:formatCode>0"%"</c:formatCode>
                <c:ptCount val="5"/>
                <c:pt idx="0">
                  <c:v>77.9</c:v>
                </c:pt>
                <c:pt idx="1">
                  <c:v>87.8</c:v>
                </c:pt>
                <c:pt idx="2">
                  <c:v>118.9</c:v>
                </c:pt>
                <c:pt idx="3">
                  <c:v>114.6</c:v>
                </c:pt>
                <c:pt idx="4">
                  <c:v>125.3</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Hoja1!$C$2:$C$6</c:f>
              <c:numCache>
                <c:formatCode>0"%"</c:formatCode>
                <c:ptCount val="5"/>
                <c:pt idx="0">
                  <c:v>9.2</c:v>
                </c:pt>
                <c:pt idx="1">
                  <c:v>9.2</c:v>
                </c:pt>
                <c:pt idx="2">
                  <c:v>9.2</c:v>
                </c:pt>
                <c:pt idx="3">
                  <c:v>9.2</c:v>
                </c:pt>
                <c:pt idx="4">
                  <c:v>9.2</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Hoja1!$D$2:$D$6</c:f>
              <c:numCache>
                <c:formatCode>0"%"</c:formatCode>
                <c:ptCount val="5"/>
                <c:pt idx="0">
                  <c:v>261.7</c:v>
                </c:pt>
                <c:pt idx="1">
                  <c:v>454.4</c:v>
                </c:pt>
                <c:pt idx="2">
                  <c:v>970.3</c:v>
                </c:pt>
                <c:pt idx="3">
                  <c:v>675</c:v>
                </c:pt>
                <c:pt idx="4">
                  <c:v>710.9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FY2022</c:v>
                </c:pt>
                <c:pt idx="1">
                  <c:v>FY2023</c:v>
                </c:pt>
                <c:pt idx="2">
                  <c:v>FY2024</c:v>
                </c:pt>
                <c:pt idx="3">
                  <c:v>FY2025</c:v>
                </c:pt>
                <c:pt idx="4">
                  <c:v>FY2026</c:v>
                </c:pt>
              </c:strCache>
            </c:strRef>
          </c:cat>
          <c:val>
            <c:numRef>
              <c:f>Hoja1!$B$2:$B$6</c:f>
              <c:numCache>
                <c:formatCode>0.0"x"</c:formatCode>
                <c:ptCount val="5"/>
                <c:pt idx="0">
                  <c:v>0.68</c:v>
                </c:pt>
                <c:pt idx="1">
                  <c:v>0.57</c:v>
                </c:pt>
                <c:pt idx="2">
                  <c:v>0.47</c:v>
                </c:pt>
                <c:pt idx="3">
                  <c:v>0.54</c:v>
                </c:pt>
                <c:pt idx="4">
                  <c:v>0.52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(USD,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2028</c:v>
                </c:pt>
                <c:pt idx="1">
                  <c:v>2030</c:v>
                </c:pt>
                <c:pt idx="2">
                  <c:v>2032</c:v>
                </c:pt>
              </c:strCache>
            </c:strRef>
          </c:cat>
          <c:val>
            <c:numRef>
              <c:f>Hoja1!$B$2:$B$4</c:f>
              <c:numCache>
                <c:formatCode>#,##0</c:formatCode>
                <c:ptCount val="3"/>
                <c:pt idx="0">
                  <c:v>500</c:v>
                </c:pt>
                <c:pt idx="1">
                  <c:v>650</c:v>
                </c:pt>
                <c:pt idx="2">
                  <c:v>350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FY2022</c:v>
                </c:pt>
                <c:pt idx="1">
                  <c:v>FY2023</c:v>
                </c:pt>
                <c:pt idx="2">
                  <c:v>FY2024</c:v>
                </c:pt>
                <c:pt idx="3">
                  <c:v>FY2025</c:v>
                </c:pt>
                <c:pt idx="4">
                  <c:v>FY2026</c:v>
                </c:pt>
              </c:strCache>
            </c:strRef>
          </c:cat>
          <c:val>
            <c:numRef>
              <c:f>Hoja1!$B$2:$B$6</c:f>
              <c:numCache>
                <c:formatCode>#,##0</c:formatCode>
                <c:ptCount val="5"/>
                <c:pt idx="0">
                  <c:v>35.9</c:v>
                </c:pt>
                <c:pt idx="1">
                  <c:v>48.2</c:v>
                </c:pt>
                <c:pt idx="2">
                  <c:v>43.4</c:v>
                </c:pt>
                <c:pt idx="3">
                  <c:v>35.5</c:v>
                </c:pt>
                <c:pt idx="4">
                  <c:v>57.6</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FY2022</c:v>
                </c:pt>
                <c:pt idx="1">
                  <c:v>FY2023</c:v>
                </c:pt>
                <c:pt idx="2">
                  <c:v>FY2024</c:v>
                </c:pt>
                <c:pt idx="3">
                  <c:v>FY2025</c:v>
                </c:pt>
                <c:pt idx="4">
                  <c:v>FY2026</c:v>
                </c:pt>
              </c:strCache>
            </c:strRef>
          </c:cat>
          <c:val>
            <c:numRef>
              <c:f>Hoja1!$C$2:$C$6</c:f>
              <c:numCache>
                <c:formatCode>#,##0</c:formatCode>
                <c:ptCount val="5"/>
                <c:pt idx="0">
                  <c:v>186.5</c:v>
                </c:pt>
                <c:pt idx="1">
                  <c:v>177.9</c:v>
                </c:pt>
                <c:pt idx="2">
                  <c:v>179.8</c:v>
                </c:pt>
                <c:pt idx="3">
                  <c:v>197.3</c:v>
                </c:pt>
                <c:pt idx="4">
                  <c:v>211</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FY2022</c:v>
                </c:pt>
                <c:pt idx="1">
                  <c:v>FY2023</c:v>
                </c:pt>
                <c:pt idx="2">
                  <c:v>FY2024</c:v>
                </c:pt>
                <c:pt idx="3">
                  <c:v>FY2025</c:v>
                </c:pt>
                <c:pt idx="4">
                  <c:v>FY2026</c:v>
                </c:pt>
              </c:strCache>
            </c:strRef>
          </c:cat>
          <c:val>
            <c:numRef>
              <c:f>Hoja1!$D$2:$D$6</c:f>
              <c:numCache>
                <c:formatCode>#,##0</c:formatCode>
                <c:ptCount val="5"/>
                <c:pt idx="0">
                  <c:v>563.2</c:v>
                </c:pt>
                <c:pt idx="1">
                  <c:v>569</c:v>
                </c:pt>
                <c:pt idx="2">
                  <c:v>379.6</c:v>
                </c:pt>
                <c:pt idx="3">
                  <c:v>437.1</c:v>
                </c:pt>
                <c:pt idx="4">
                  <c:v>512.9</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Independiente</c:v>
                </c:pt>
                <c:pt idx="1">
                  <c:v>Ejecutivo</c:v>
                </c:pt>
              </c:strCache>
            </c:strRef>
          </c:cat>
          <c:val>
            <c:numRef>
              <c:f>Hoja1!$B$2:$B$3</c:f>
              <c:numCache>
                <c:formatCode>0</c:formatCode>
                <c:ptCount val="2"/>
                <c:pt idx="0">
                  <c:v>10</c:v>
                </c:pt>
                <c:pt idx="1">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BlackRock</c:v>
                </c:pt>
                <c:pt idx="1">
                  <c:v>FMR (Fidelity)</c:v>
                </c:pt>
                <c:pt idx="2">
                  <c:v>AQR Capital Management</c:v>
                </c:pt>
                <c:pt idx="3">
                  <c:v>Vanguard Capital Management</c:v>
                </c:pt>
                <c:pt idx="4">
                  <c:v>Consejeros y directivos</c:v>
                </c:pt>
              </c:strCache>
            </c:strRef>
          </c:cat>
          <c:val>
            <c:numRef>
              <c:f>Hoja1!$B$2:$B$6</c:f>
              <c:numCache>
                <c:formatCode>0.0"%"</c:formatCode>
                <c:ptCount val="5"/>
                <c:pt idx="0">
                  <c:v>14.6</c:v>
                </c:pt>
                <c:pt idx="1">
                  <c:v>11.89</c:v>
                </c:pt>
                <c:pt idx="2">
                  <c:v>7.85</c:v>
                </c:pt>
                <c:pt idx="3">
                  <c:v>5.41</c:v>
                </c:pt>
                <c:pt idx="4">
                  <c:v>0.7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-28.4</c:v>
                </c:pt>
                <c:pt idx="1">
                  <c:v>18.2</c:v>
                </c:pt>
                <c:pt idx="2">
                  <c:v>0.5</c:v>
                </c:pt>
                <c:pt idx="3">
                  <c:v>-3.5</c:v>
                </c:pt>
                <c:pt idx="4">
                  <c:v>-28</c:v>
                </c:pt>
                <c:pt idx="5">
                  <c:v>55.4</c:v>
                </c:pt>
                <c:pt idx="6">
                  <c:v>59.9</c:v>
                </c:pt>
                <c:pt idx="7">
                  <c:v>36.9</c:v>
                </c:pt>
                <c:pt idx="8">
                  <c:v>12</c:v>
                </c:pt>
                <c:pt idx="9">
                  <c:v>-14.9</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12</c:v>
                </c:pt>
                <c:pt idx="1">
                  <c:v>21.7</c:v>
                </c:pt>
                <c:pt idx="2">
                  <c:v>-4.6</c:v>
                </c:pt>
                <c:pt idx="3">
                  <c:v>31.2</c:v>
                </c:pt>
                <c:pt idx="4">
                  <c:v>18.3</c:v>
                </c:pt>
                <c:pt idx="5">
                  <c:v>28.7</c:v>
                </c:pt>
                <c:pt idx="6">
                  <c:v>-18.2</c:v>
                </c:pt>
                <c:pt idx="7">
                  <c:v>26.2</c:v>
                </c:pt>
                <c:pt idx="8">
                  <c:v>24.9</c:v>
                </c:pt>
                <c:pt idx="9">
                  <c:v>17.7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Hoja1!$B$2:$B$6</c:f>
              <c:numCache>
                <c:formatCode>0.0"x"</c:formatCode>
                <c:ptCount val="5"/>
                <c:pt idx="0">
                  <c:v>7.5</c:v>
                </c:pt>
                <c:pt idx="1">
                  <c:v>6.3</c:v>
                </c:pt>
                <c:pt idx="2">
                  <c:v>8.9</c:v>
                </c:pt>
                <c:pt idx="3">
                  <c:v>8.5</c:v>
                </c:pt>
                <c:pt idx="4">
                  <c:v>5.3</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Hoja1!$C$2:$C$6</c:f>
              <c:numCache>
                <c:formatCode>0.0"x"</c:formatCode>
                <c:ptCount val="5"/>
                <c:pt idx="0">
                  <c:v>7.5</c:v>
                </c:pt>
                <c:pt idx="1">
                  <c:v>7.5</c:v>
                </c:pt>
                <c:pt idx="2">
                  <c:v>7.5</c:v>
                </c:pt>
                <c:pt idx="3">
                  <c:v>7.5</c:v>
                </c:pt>
                <c:pt idx="4">
                  <c:v>7.5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TaxAct (DIY fiscal)</c:v>
                </c:pt>
                <c:pt idx="1">
                  <c:v>Liberty Tax</c:v>
                </c:pt>
                <c:pt idx="2">
                  <c:v>Jackson Hewitt</c:v>
                </c:pt>
              </c:strCache>
            </c:strRef>
          </c:cat>
          <c:val>
            <c:numRef>
              <c:f>Hoja1!$B$2:$B$4</c:f>
              <c:numCache>
                <c:formatCode>0.0"x"</c:formatCode>
                <c:ptCount val="3"/>
                <c:pt idx="0">
                  <c:v>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FY2027e</c:v>
                </c:pt>
                <c:pt idx="1">
                  <c:v>FY2028e</c:v>
                </c:pt>
                <c:pt idx="2">
                  <c:v>FY2029e</c:v>
                </c:pt>
                <c:pt idx="3">
                  <c:v>FY2030e</c:v>
                </c:pt>
                <c:pt idx="4">
                  <c:v>FY2031e</c:v>
                </c:pt>
                <c:pt idx="5">
                  <c:v>FY2032e</c:v>
                </c:pt>
                <c:pt idx="6">
                  <c:v>FY2033e</c:v>
                </c:pt>
                <c:pt idx="7">
                  <c:v>FY2034e</c:v>
                </c:pt>
              </c:strCache>
            </c:strRef>
          </c:cat>
          <c:val>
            <c:numRef>
              <c:f>Hoja1!$B$2:$B$9</c:f>
              <c:numCache>
                <c:formatCode>#,##0</c:formatCode>
                <c:ptCount val="8"/>
                <c:pt idx="0">
                  <c:v>736</c:v>
                </c:pt>
                <c:pt idx="1">
                  <c:v>767</c:v>
                </c:pt>
                <c:pt idx="2">
                  <c:v>789</c:v>
                </c:pt>
                <c:pt idx="3">
                  <c:v>801</c:v>
                </c:pt>
                <c:pt idx="4">
                  <c:v>814</c:v>
                </c:pt>
                <c:pt idx="5">
                  <c:v>823</c:v>
                </c:pt>
                <c:pt idx="6">
                  <c:v>832</c:v>
                </c:pt>
                <c:pt idx="7">
                  <c:v>849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4454</c:v>
                </c:pt>
                <c:pt idx="1">
                  <c:v>6084</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48,67</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43.65</c:v>
                </c:pt>
                <c:pt idx="1">
                  <c:v>79.61</c:v>
                </c:pt>
                <c:pt idx="2">
                  <c:v>92.17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48,67</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(28,16 – 58,67)</c:v>
                </c:pt>
                <c:pt idx="1">
                  <c:v>Precio objetivo de los analistas (36,00 – 60,00)</c:v>
                </c:pt>
                <c:pt idx="2">
                  <c:v>Comparables: PER NTM (86,99 – 118,27)</c:v>
                </c:pt>
                <c:pt idx="3">
                  <c:v>DCF (WACC y g ± 0,5) (71,43 – 90,36)</c:v>
                </c:pt>
                <c:pt idx="4">
                  <c:v>Escenarios (bajista – alcista) (43,65 – 92,17)</c:v>
                </c:pt>
                <c:pt idx="5">
                  <c:v>DCF con la prima implícita del mercado (4,2 %)</c:v>
                </c:pt>
                <c:pt idx="6">
                  <c:v>Precio actual (48,67)</c:v>
                </c:pt>
              </c:strCache>
            </c:strRef>
          </c:cat>
          <c:val>
            <c:numRef>
              <c:f>Hoja1!$B$2:$B$8</c:f>
              <c:numCache>
                <c:formatCode>#,##0</c:formatCode>
                <c:ptCount val="7"/>
                <c:pt idx="0">
                  <c:v>28.16</c:v>
                </c:pt>
                <c:pt idx="1">
                  <c:v>36</c:v>
                </c:pt>
                <c:pt idx="2">
                  <c:v>86.99</c:v>
                </c:pt>
                <c:pt idx="3">
                  <c:v>71.43</c:v>
                </c:pt>
                <c:pt idx="4">
                  <c:v>43.65</c:v>
                </c:pt>
                <c:pt idx="5">
                  <c:v>83.56</c:v>
                </c:pt>
                <c:pt idx="6">
                  <c:v>48.43</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(28,16 – 58,67)</c:v>
                </c:pt>
                <c:pt idx="1">
                  <c:v>Precio objetivo de los analistas (36,00 – 60,00)</c:v>
                </c:pt>
                <c:pt idx="2">
                  <c:v>Comparables: PER NTM (86,99 – 118,27)</c:v>
                </c:pt>
                <c:pt idx="3">
                  <c:v>DCF (WACC y g ± 0,5) (71,43 – 90,36)</c:v>
                </c:pt>
                <c:pt idx="4">
                  <c:v>Escenarios (bajista – alcista) (43,65 – 92,17)</c:v>
                </c:pt>
                <c:pt idx="5">
                  <c:v>DCF con la prima implícita del mercado (4,2 %)</c:v>
                </c:pt>
                <c:pt idx="6">
                  <c:v>Precio actual (48,67)</c:v>
                </c:pt>
              </c:strCache>
            </c:strRef>
          </c:cat>
          <c:val>
            <c:numRef>
              <c:f>Hoja1!$C$2:$C$8</c:f>
              <c:numCache>
                <c:formatCode>#,##0</c:formatCode>
                <c:ptCount val="7"/>
                <c:pt idx="0">
                  <c:v>30.51</c:v>
                </c:pt>
                <c:pt idx="1">
                  <c:v>24</c:v>
                </c:pt>
                <c:pt idx="2">
                  <c:v>31.28</c:v>
                </c:pt>
                <c:pt idx="3">
                  <c:v>18.929999999999993</c:v>
                </c:pt>
                <c:pt idx="4">
                  <c:v>48.52</c:v>
                </c:pt>
                <c:pt idx="5">
                  <c:v>14.599999999999994</c:v>
                </c:pt>
                <c:pt idx="6">
                  <c:v>0.4799999999999969</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