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Brady Corporation</w:t>
      </w:r>
    </w:p>
    <w:p>
      <w:pPr>
        <w:spacing w:after="60"/>
        <w:rPr>
          <w:color w:val="52514E"/>
          <w:sz w:val="22"/>
          <w:szCs w:val="22"/>
        </w:rPr>
      </w:pPr>
      <w:r>
        <w:rPr>
          <w:color w:val="52514E"/>
          <w:sz w:val="22"/>
          <w:szCs w:val="22"/>
        </w:rPr>
        <w:t xml:space="preserve">BRC · New York Stock Exchange (clase A sin voto) · ISIN US1046741062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83,65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96,98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+17,1 % (base +13,0 %)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101,73 USD · mercado 118,48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Brady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BRC / US1046741062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(clase A sin voto)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 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Commercial Services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 1914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www.bradyid.com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83,65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70,57 – 99,29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96,98 USD</w:t>
      </w:r>
      <w:r>
        <w:t xml:space="preserve"> frente a 83,65 · Rentabilidad a 12 meses </w:t>
      </w:r>
      <w:r>
        <w:rPr>
          <w:b/>
          <w:bCs/>
        </w:rPr>
        <w:t xml:space="preserve">+17,1 % (base +13,0 %)</w:t>
      </w:r>
      <w:r>
        <w:t xml:space="preserve"> · Valor intrínseco 101,73 USD · con la prima implícita del mercado: 118,48 (+41,6 %) · Alcista / bajista +34,7 % / -18,9 %</w:t>
      </w:r>
    </w:p>
    <w:p>
      <w:pPr>
        <w:spacing w:after="100"/>
      </w:pPr>
      <w:r>
        <w:rPr>
          <w:b/>
        </w:rPr>
        <w:t xml:space="preserve">La recomendación y por qué.</w:t>
      </w:r>
      <w:r>
        <w:t xml:space="preserve"> Mantener, con convicción media, apartándonos de la regla, que da Comprar. Nuestro objetivo a 12 meses es de 96,98 USD (rentabilidad ponderada del 17,1 % y del base del 13,0 %, con dividendo) y el valor intrínseco de 101,73 USD (+21,6 %), ambos por debajo del objetivo medio de los dos analistas (110). La razón principal: el objetivo depende de PSS, el negocio de ordenadores móviles y escáneres comprado a Honeywell el 3-ago-2026, que aún no ha publicado un trimestre dentro de Brady. La convicción es media porque las cifras de Brady son de calidad y el precio no descuenta crecimiento; subiría con un margen del segmento IPS ≥ 11 % en el 1T27 (17-nov) y bajaría si queda por debajo del 10 %.</w:t>
      </w:r>
    </w:p>
    <w:p>
      <w:pPr>
        <w:spacing w:after="100"/>
      </w:pPr>
      <w:r>
        <w:rPr>
          <w:b/>
        </w:rPr>
        <w:t xml:space="preserve">El negocio.</w:t>
      </w:r>
      <w:r>
        <w:t xml:space="preserve"> Brady es identificación industrial: etiquetas de material propio, impresoras que solo usan sus consumibles, marcadores de cables y señalización de seguridad, con un margen bruto del 51,7 % y un margen EBITDA normalizado en máximos (21,1 %, desde el 14,2 % de FY2017) [1, 2]. El ROIC es del 21,0 % frente a un WACC del 9,12 % (11,9 puntos), pero con PSS baja a ≈12,4 % (estimación propia), unos 3 puntos sobre el WACC. Veredicto de calidad: </w:t>
      </w:r>
      <w:r>
        <w:rPr>
          <w:b/>
        </w:rPr>
        <w:t xml:space="preserve">en parte</w:t>
      </w:r>
      <w:r>
        <w:t xml:space="preserve">. La sostenibilidad del crecimiento es «En parte»: identificación crece un 5 % casi sin inversión, pero el salto del grupo es comprado con deuda y PSS rinde ≈8 % antes de sinergias.</w:t>
      </w:r>
    </w:p>
    <w:p>
      <w:pPr>
        <w:spacing w:after="100"/>
      </w:pPr>
      <w:r>
        <w:rPr>
          <w:b/>
        </w:rPr>
        <w:t xml:space="preserve">Finanzas.</w:t>
      </w:r>
      <w:r>
        <w:t xml:space="preserve"> Orgánico del 5,3 % en FY2026 (8,4 % en el 4T, por centros de datos y Asia) y flujo libre del 94 % del beneficio [2, 3]. La compra lleva la deuda neta ajustada a 1.228 M, ≈2,5 veces el EBITDA pro forma, desde una caja neta de 172 M [6, 8]. El BPA publicado (4,30 USD) y el ajustado (5,29) se separan más con la amortización de PSS: usamos el ajustado, en la misma base que la historia y el consenso.</w:t>
      </w:r>
    </w:p>
    <w:p>
      <w:pPr>
        <w:spacing w:after="100"/>
      </w:pPr>
      <w:r>
        <w:rPr>
          <w:b/>
        </w:rPr>
        <w:t xml:space="preserve">Equipo y gobierno.</w:t>
      </w:r>
      <w:r>
        <w:t xml:space="preserve"> Resta. La familia Brady tiene todo el voto con la clase B y la acción cotizada no vota [1]. El CEO se jubiló de golpe el 8-jun (−15,1 % ese día) y le sustituyó un consejero con experiencia en Honeywell, que compró 1 M USD de acciones; el resto de directivos vendió 6,7 M en doce meses [17, 18].</w:t>
      </w:r>
    </w:p>
    <w:p>
      <w:pPr>
        <w:spacing w:after="100"/>
      </w:pPr>
      <w:r>
        <w:rPr>
          <w:b/>
        </w:rPr>
        <w:t xml:space="preserve">Valoración.</w:t>
      </w:r>
      <w:r>
        <w:t xml:space="preserve"> El DCF da 98,84 USD y descuenta, a 83,65, un crecimiento de −0,3 % anual tras FY2027 (nuestro base, 3,9 %) y una rentabilidad implícita del 10,0 %. Brady cotiza a 13,0 veces el BPA ajustado adelantado, en la mediana de cinco años (13,3), y a 12,5 veces el consenso frente a 17,9 de los comparables. El mercado no paga las sinergias ni el crecimiento; nosotros tampoco pagaríamos más hasta ver PSS.</w:t>
      </w:r>
    </w:p>
    <w:p>
      <w:pPr>
        <w:spacing w:after="100"/>
      </w:pPr>
      <w:r>
        <w:rPr>
          <w:b/>
        </w:rPr>
        <w:t xml:space="preserve">Riesgos y catalizadores.</w:t>
      </w:r>
      <w:r>
        <w:t xml:space="preserve"> El mayor es la integración (bajista de 67,81 USD, −18,9 %); después, el ciclo industrial y de almacenes y la competencia de Zebra. </w:t>
      </w:r>
      <w:r>
        <w:rPr>
          <w:b/>
        </w:rPr>
        <w:t xml:space="preserve">Riesgo de que la IA se coma el negocio: bajo</w:t>
      </w:r>
      <w:r>
        <w:t xml:space="preserve"> en identificación, que es física y regulada (y gana con los centros de datos), y medio-bajo en PSS, donde la visión artificial puede sustituir parte del escaneo dedicado (exposición baja, sentido mixto, −3 % a +3 %). Catalizadores: 1T27 el 17-nov-2026 (sin confirmar) y 2T27 en febrero. Los foros son positivos y sin euforia.</w:t>
      </w:r>
    </w:p>
    <w:p>
      <w:pPr>
        <w:spacing w:after="100"/>
      </w:pPr>
      <w:r>
        <w:rPr>
          <w:b/>
        </w:rPr>
        <w:t xml:space="preserve">Qué cambiaría la decisión.</w:t>
      </w:r>
      <w:r>
        <w:t xml:space="preserve"> La regla compra por debajo de 84,38 USD y vende por encima de 108,85. Pasaríamos a Comprar si el 1T27 muestra un margen de IPS ≥ 11 % con la guía de 6,25-6,75 USD intacta; a Vender, si el margen de IPS baja del 9 % o la deuda neta supera 2,8 veces el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96,98 USD</w:t>
      </w:r>
      <w:r>
        <w:t xml:space="preserve"> (rentabilidad +17,1 % (base +13,0 %)) · Valor intrínseco: 101,73 USD (+21,6 % sobre 83,65) · con la prima implícita del mercado: 118,48 (+41,6 %)</w:t>
      </w:r>
    </w:p>
    <w:p>
      <w:pPr>
        <w:spacing w:after="100"/>
      </w:pPr>
      <w:r>
        <w:t xml:space="preserve">Brady es un negocio de identificación industrial de nicho, con consumibles cautivos de impresoras propias, clientes muy dispersos y márgenes que han subido siete puntos en nueve años hasta el 21,1 % de EBITDA, con un ROIC del 21,0 % y casi sin deuda hasta julio de 2026 [1, 2]. En agosto compró PSS a Honeywell por 1.400 M (8 veces el EBITDA), un negocio de ordenadores móviles y escáneres del mismo tamaño en ventas pero con la mitad de margen [5, 8].</w:t>
      </w:r>
    </w:p>
    <w:p>
      <w:pPr>
        <w:spacing w:after="100"/>
      </w:pPr>
      <w:r>
        <w:t xml:space="preserve">A 83,65 USD el precio descuenta un crecimiento negativo tras la compra: el DCF inverso pide −0,3 % anual de ventas en FY2028e-FY2032e, y la acción cotiza a 13,0 veces el BPA ajustado de FY2027e (guía de 6,25-6,75 USD) frente a 17,9 veces de los comparables [2, 23].</w:t>
      </w:r>
    </w:p>
    <w:p>
      <w:pPr>
        <w:spacing w:after="100"/>
      </w:pPr>
      <w:r>
        <w:t xml:space="preserve">El mercado probablemente exagera la desconfianza: identificación crece más que nunca (orgánico del 8 % en el segundo semestre) y PSS se compró barata. Pero hay que creer en una integración que dirige un CEO de cuatro meses, sin una sola cifra publicada del nuevo segmento. Para invertir hay que ver el margen de IPS en el 1T27.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5,89 = 61,85 · 13,1x × 7,14 = 93,53 · 17,8x × 7,81 = 139,02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 13,0 %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 (nuestro base -15,0 %)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 / -18,9 %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9,1 %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frente a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84,38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84,38 y 108,85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108,85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da Comprar: ponderada a 12 meses del 17,1 %, base del 13,0 % y valor intrínseco de 101,73 USD sobre un precio de 83,65. Nos apartamos y decimos Mantener por tres razones que la regla no recoge. Primera, casi todo el BPA que sostiene el objetivo es de una compra que aún no ha publicado un solo trimestre dentro de Brady (PSS, cerrada el 3-ago), con su margen y su amortización sin cifra. Segunda, el colchón es pequeño: el base está a un punto del umbral del 12 % y el precio de compra de la regla (84,38) coincide con el de hoy. Tercera, la sostenibilidad del crecimiento es «En parte» (crecimiento comprado con deuda que rinde poco más que el WACC) y el CEO lleva cuatro meses. El 1T27 (17-nov) resuelve la primera duda: si IPS da un margen de segmento ≥ 11 % y se mantiene la guía, pasaríamos a Comprar por debajo de 84 USD.</w:t>
      </w:r>
    </w:p>
    <w:p>
      <w:pPr>
        <w:pStyle w:val="Heading2"/>
      </w:pPr>
      <w:r>
        <w:t xml:space="preserve">Qué cambiaría la recomendación</w:t>
      </w:r>
    </w:p>
    <w:p>
      <w:pPr>
        <w:pStyle w:val="ListParagraph"/>
        <w:numPr>
          <w:ilvl w:val="0"/>
          <w:numId w:val="2"/>
        </w:numPr>
        <w:spacing w:after="60"/>
      </w:pPr>
      <w:r>
        <w:t xml:space="preserve">Si el margen de segmento de IPS del 1T27 (17-nov) es ≥ 11 % y se mantiene la guía, pasaríamos a Comprar por debajo de 84 USD.</w:t>
      </w:r>
    </w:p>
    <w:p>
      <w:pPr>
        <w:pStyle w:val="ListParagraph"/>
        <w:numPr>
          <w:ilvl w:val="0"/>
          <w:numId w:val="2"/>
        </w:numPr>
        <w:spacing w:after="60"/>
      </w:pPr>
      <w:r>
        <w:t xml:space="preserve">Si el margen de IPS baja del 9 % o se recorta la guía de BPA ajustado por debajo de 6,00 USD, pasaríamos a Vender por encima de ≈90 USD.</w:t>
      </w:r>
    </w:p>
    <w:p>
      <w:pPr>
        <w:pStyle w:val="ListParagraph"/>
        <w:numPr>
          <w:ilvl w:val="0"/>
          <w:numId w:val="2"/>
        </w:numPr>
        <w:spacing w:after="60"/>
      </w:pPr>
      <w:r>
        <w:t xml:space="preserve">Si el precio cae por debajo de 75 USD sin malas noticias de PSS, Comprar (ponderada &gt; 25 %).</w:t>
      </w:r>
    </w:p>
    <w:p>
      <w:pPr>
        <w:pStyle w:val="ListParagraph"/>
        <w:numPr>
          <w:ilvl w:val="0"/>
          <w:numId w:val="2"/>
        </w:numPr>
        <w:spacing w:after="60"/>
      </w:pPr>
      <w:r>
        <w:t xml:space="preserve">Si la deuda neta supera 2,8 veces el EBITDA o hay otra compra grande antes de FY2028,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compra de PSS no crea valor: el precio paga el BPA de la guía a 13 veces (su mediana histórica) y ningún crecimiento posterior, con un descuento de 5 puntos de PER frente a los comparables por la deuda, la integración y la clase sin voto.</w:t>
      </w:r>
    </w:p>
    <w:p>
      <w:pPr>
        <w:keepNext/>
        <w:spacing w:after="100"/>
      </w:pPr>
      <w:r>
        <w:rPr>
          <w:b/>
          <w:bCs/>
        </w:rPr>
        <w:t xml:space="preserve">Lo que creemos nosotros.</w:t>
      </w:r>
    </w:p>
    <w:p>
      <w:pPr>
        <w:spacing w:after="100"/>
      </w:pPr>
      <w:r>
        <w:t xml:space="preserve">Coincidimos en el BPA (7,14 USD en FY2028e, el consenso 7,22) y en que la compra rinde poco más que su coste de capital, pero el negocio de identificación vale más de lo que el precio refleja: crece al 5-8 %, con un ROIC del 21 %, y sostiene un valor intrínseco de 101,73 USD.</w:t>
      </w:r>
    </w:p>
    <w:p>
      <w:pPr>
        <w:keepNext/>
        <w:spacing w:after="100"/>
      </w:pPr>
      <w:r>
        <w:rPr>
          <w:b/>
          <w:bCs/>
        </w:rPr>
        <w:t xml:space="preserve">Por qué podemos tener razón.</w:t>
      </w:r>
    </w:p>
    <w:p>
      <w:pPr>
        <w:spacing w:after="100"/>
      </w:pPr>
      <w:r>
        <w:t xml:space="preserve">El descuento se cerraría con dos o tres trimestres de PSS en línea con la guía. Hoy no tenemos ventaja informativa sobre ese dato: por eso Mantener y no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3,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en máximos con poder de precio</w:t>
      </w:r>
      <w:r>
        <w:t xml:space="preserve">: EBITDA normalizado del 21,1 % en FY2026, desde el 14,2 % en FY2017 [1].</w:t>
      </w:r>
    </w:p>
    <w:p>
      <w:pPr>
        <w:pStyle w:val="ListParagraph"/>
        <w:numPr>
          <w:ilvl w:val="0"/>
          <w:numId w:val="2"/>
        </w:numPr>
        <w:spacing w:after="60"/>
      </w:pPr>
      <w:r>
        <w:rPr>
          <w:b/>
        </w:rPr>
        <w:t xml:space="preserve">Crecimiento orgánico acelerado</w:t>
      </w:r>
      <w:r>
        <w:t xml:space="preserve">: 8,2 % y 8,4 % en el 3T y 4T26 por centros de datos y Asia [3].</w:t>
      </w:r>
    </w:p>
    <w:p>
      <w:pPr>
        <w:pStyle w:val="ListParagraph"/>
        <w:numPr>
          <w:ilvl w:val="0"/>
          <w:numId w:val="2"/>
        </w:numPr>
        <w:spacing w:after="60"/>
      </w:pPr>
      <w:r>
        <w:rPr>
          <w:b/>
        </w:rPr>
        <w:t xml:space="preserve">Precio barato</w:t>
      </w:r>
      <w:r>
        <w:t xml:space="preserve">: 13,0 veces el BPA ajustado adelantado y un DCF inverso de −0,3 % de crecimiento.</w:t>
      </w:r>
    </w:p>
    <w:p>
      <w:pPr>
        <w:pStyle w:val="ListParagraph"/>
        <w:numPr>
          <w:ilvl w:val="0"/>
          <w:numId w:val="2"/>
        </w:numPr>
        <w:spacing w:after="60"/>
      </w:pPr>
      <w:r>
        <w:rPr>
          <w:b/>
        </w:rPr>
        <w:t xml:space="preserve">PSS comprada barata</w:t>
      </w:r>
      <w:r>
        <w:t xml:space="preserve">: 8 veces el EBITDA y 1,27 veces las ventas frente a 3,25-3,6 en Elo y Vestcom [5, 13, 16].</w:t>
      </w:r>
    </w:p>
    <w:p>
      <w:pPr>
        <w:pStyle w:val="ListParagraph"/>
        <w:numPr>
          <w:ilvl w:val="0"/>
          <w:numId w:val="2"/>
        </w:numPr>
        <w:spacing w:after="60"/>
      </w:pPr>
      <w:r>
        <w:rPr>
          <w:b/>
        </w:rPr>
        <w:t xml:space="preserve">Caja</w:t>
      </w:r>
      <w:r>
        <w:t xml:space="preserve">: flujo libre del 99 % del beneficio en diez años y 41 años de dividendo al alza [4, 12].</w:t>
      </w:r>
    </w:p>
    <w:p>
      <w:pPr>
        <w:pStyle w:val="Heading2"/>
      </w:pPr>
      <w:r>
        <w:t xml:space="preserve">En contra</w:t>
      </w:r>
    </w:p>
    <w:p>
      <w:pPr>
        <w:pStyle w:val="ListParagraph"/>
        <w:numPr>
          <w:ilvl w:val="0"/>
          <w:numId w:val="2"/>
        </w:numPr>
        <w:spacing w:after="60"/>
      </w:pPr>
      <w:r>
        <w:rPr>
          <w:b/>
        </w:rPr>
        <w:t xml:space="preserve">Integración sin cifras</w:t>
      </w:r>
      <w:r>
        <w:t xml:space="preserve">: PSS (≈40 % de las ventas pro forma) no ha publicado un trimestre dentro de Brady [1].</w:t>
      </w:r>
    </w:p>
    <w:p>
      <w:pPr>
        <w:pStyle w:val="ListParagraph"/>
        <w:numPr>
          <w:ilvl w:val="0"/>
          <w:numId w:val="2"/>
        </w:numPr>
        <w:spacing w:after="60"/>
      </w:pPr>
      <w:r>
        <w:rPr>
          <w:b/>
        </w:rPr>
        <w:t xml:space="preserve">Deuda nueva</w:t>
      </w:r>
      <w:r>
        <w:t xml:space="preserve">: de 172 M de caja neta a ≈1.228 M de deuda neta ajustada, ≈2,5 veces el EBITDA [6].</w:t>
      </w:r>
    </w:p>
    <w:p>
      <w:pPr>
        <w:pStyle w:val="ListParagraph"/>
        <w:numPr>
          <w:ilvl w:val="0"/>
          <w:numId w:val="2"/>
        </w:numPr>
        <w:spacing w:after="60"/>
      </w:pPr>
      <w:r>
        <w:rPr>
          <w:b/>
        </w:rPr>
        <w:t xml:space="preserve">ROIC diluido</w:t>
      </w:r>
      <w:r>
        <w:t xml:space="preserve">: ≈12,4 % pro forma frente al 21,0 % de FY2026 (estimación propia).</w:t>
      </w:r>
    </w:p>
    <w:p>
      <w:pPr>
        <w:pStyle w:val="ListParagraph"/>
        <w:numPr>
          <w:ilvl w:val="0"/>
          <w:numId w:val="2"/>
        </w:numPr>
        <w:spacing w:after="60"/>
      </w:pPr>
      <w:r>
        <w:rPr>
          <w:b/>
        </w:rPr>
        <w:t xml:space="preserve">Gobierno</w:t>
      </w:r>
      <w:r>
        <w:t xml:space="preserve">: la acción cotizada no vota y el CEO llegó por una jubilación sin aviso (−15,1 % ese día) [1, 17].</w:t>
      </w:r>
    </w:p>
    <w:p>
      <w:pPr>
        <w:pStyle w:val="ListParagraph"/>
        <w:numPr>
          <w:ilvl w:val="0"/>
          <w:numId w:val="2"/>
        </w:numPr>
        <w:spacing w:after="60"/>
      </w:pPr>
      <w:r>
        <w:rPr>
          <w:b/>
        </w:rPr>
        <w:t xml:space="preserve">Ventas de directivos</w:t>
      </w:r>
      <w:r>
        <w:t xml:space="preserve">: 6,7 M USD en doce meses frente a 1,0 M de compras [18].</w:t>
      </w:r>
    </w:p>
    <w:p>
      <w:pPr>
        <w:pStyle w:val="Heading2"/>
      </w:pPr>
      <w:r>
        <w:t xml:space="preserve">Qué tiene que pasar para que la tesis funcione</w:t>
      </w:r>
    </w:p>
    <w:p>
      <w:pPr>
        <w:spacing w:after="100"/>
      </w:pPr>
      <w:r>
        <w:t xml:space="preserve">La tesis depende de que PSS gane un margen de segmento de dos cifras dentro de Brady y de que la deuda baje a menos de 2,0 veces el EBITDA en dos años. La señal de que no se cumple: margen de IPS por debajo del 10 % en el 1T-2T27, recorte de la guía de 6,25-6,75 USD o una deuda neta/EBITDA que no baja de 2,5x a finales de FY2027.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IPS (PSS)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(guía: dos cifras bajas)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del BPA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identificación (IDS)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motor de valor del negocio de calidad.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(pro forma)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&lt; 2,0x en dos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6,25-6,75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 (FY2026, sin PSS)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 con PSS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y aranceles.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 / 12,5x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1914 por William H. Brady en Ladysmith (Wisconsin) para imprimir calendarios y etiquetas, hoy tiene su sede en Milwaukee [1]. Cotiza en la Bolsa de Nueva York con acciones de clase A sin voto; las de clase B, las únicas con voto, siguen en manos de dos fideicomisos de los descendientes del fundador [1]. En los años 2000 compró mucho (Seton, Emedco y decenas de marcas) y en 2013-2015 se reestructuró y vendió negocios. Desde 2015, con Michael Nauman y luego Russell Shaller, volvió a crecer y elevó márgenes; en 2024-2026 compró Gravotech, AB&amp;R, Microfluidic Solutions y Mecco, y en agosto de 2026 hizo la mayor compra de su historia: PSS de Honeywell por 1.400 M [1, 2,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H. Brady funda la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Magicard, Code y Nordic ID: impresoras de tarjetas, escáneres y RFID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Gravotech (grabado láser, Francia) por ≈130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plantas y reorganiza Europa (18,5 M de costes)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(abril)</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comprar PSS de Honeywell por 1.400 M (≈8 veces el EBITDA)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(junio)</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jubila de golpe el CEO Russell Shaller; le sustituye el consejero Vineet Nargolwala (ex-CEO de Allegro MicroSystems)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(agosto)</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compra de PSS con 1.600 M de deuda; el dividendo sube por 41.º año [1,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Brady fabrica y vende soluciones de identificación y seguridad: etiquetas de alto rendimiento (materiales adhesivos propios con recubrimientos que aguantan productos químicos, calor o intemperie), impresoras de etiquetas portátiles y de sobremesa con su software, marcadores de cables, señalización de seguridad e instalaciones (señales, cinta de suelo, marcadores de tuberías, bloqueo y etiquetado), pulseras y etiquetas para hospitales, credenciales e impresoras de tarjetas, escáneres (Code), RFID (Nordic ID) y grabado láser (Gravotech) [1]. En FY2026 vendió 1.661,6 M: seguridad e instalaciones 39 %, identificación de productos 30 %, cables 17 %, sanidad 8 % y personas 5 % [1]. Vende a través de distribuidores eléctricos e industriales, integradores (VAR), venta directa y catálogos y webs propias (Seton, Emedco) [1]. Desde el 3-ago-2026 suma PSS de Honeywell (ordenadores móviles, escáneres, impresoras y software de voz para almacenes, logística y comercio), con ≈1.100 M de ventas en 2025, que pasa a ser el segmento Intelligent Productivity Solutions [2, 5].</w:t>
      </w:r>
    </w:p>
    <w:p>
      <w:pPr>
        <w:pStyle w:val="Heading2"/>
      </w:pPr>
      <w:r>
        <w:t xml:space="preserve">Cómo gana dinero</w:t>
      </w:r>
    </w:p>
    <w:p>
      <w:pPr>
        <w:spacing w:after="100"/>
      </w:pPr>
      <w:r>
        <w:t xml:space="preserve">El modelo es de impresora y consumible: la impresora (unidades +25 % en el 4T26) fija al cliente a los cartuchos y etiquetas de material propio, que son la mayor parte de las ventas y de margen bruto alto (51,7 % del grupo en FY2026) [1]. Ningún cliente pesa un 10 % [1]. Los pedidos son pequeños y repetitivos, ligados a la actividad industrial, la construcción (centros de datos para los marcadores de cables) y las normas de seguridad laboral; la mayor parte de los productos son estándar en stock y se sirven en el día o en un mes [1]. El margen depende del volumen (apalancamiento operativo: el beneficio de los segmentos pasó del 17,6 % al 19,9 % con un orgánico del 5,3 %), de la mezcla (impresoras y consumibles de identificación frente a señalización por catálogo) y del precio, que la empresa sube para compensar costes y aranceles [1]. PSS es más de hardware, con margen de segmento de «dos cifras bajas» y una parte de software y servicio [2, 5].</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 &amp; Asia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 &amp; Australia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 &amp; Asia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 &amp; Australia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dispersa: ningún cliente llega al 10 % de las ventas [1]. Vende a través de distribuidores eléctricos e industriales, integradores y venta directa, con plazos de cobro de 10 a 90 días [1]. Los contratos son pedidos repetitivos, no plurianuales. Poder de precios demostrado: en FY2022, con inflación de materiales, el margen EBITDA subió del 16,8 % al 17,4 %, y desde entonces ha seguido subiendo hasta el 21,1 % normalizado de FY2026 con un margen bruto del 51,7 % [1, 2]. PSS cambia el perfil: grandes cuentas de logística, almacenes y comercio, más concentradas y con más poder de negociación, y un ciclo de renovación de dispositivos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+8,2 % y +8,4 % en el 3T y el 4T; Asia +15 % y Américas +6 % en el año; Europa +1,2 %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identificación de cables (wire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casi +20 % en Americas &amp; Asia en el 4T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identificación de productos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(con Mecco)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Impresoras, consumibles, escáneres, RFID y grabado (Gravotech); unidades de impresoras +25 % en el 4T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52,9 % en el 4T, con una devolución de aranceles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los segmentos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Americas &amp; Asia 23,2 %; Europe &amp; Australia 13,4 % tras cerrar plantas en FY2025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94,0 M; 67,7 M en FY2024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 M (jul-25)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172,2 M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la compra de PSS (1.400 M el 3-ago-2026), financiada con 1.600 M de deuda nueva [2,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identificación industrial y la captura de datos: etiquetas y materiales de identificación, impresoras y software de etiquetado, señalización de seguridad y, desde PSS, ordenadores móviles y escáneres para empresas. La empresa cifra su mercado direccionable en ≈14.000 M USD tras la compra, de los que ≈9.000 M son el mercado de soluciones de productividad de PSS y el resto (≈5.000 M, por diferencia) el de identificación [2, 5]. No encontramos una segunda fuente independiente con el mismo perímetro: los estudios de pago sobre etiquetas industriales o sobre captura automática de datos (AIDC) miden perímetros más amplios. Usamos el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≈14.000 M USD de mercado direccionable en 2026 (≈5.000 M identificación + ≈9.000 M productividad) [2,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en identificación (el 10-K habla de competencia «muy fragmentada», desde pequeños fabricantes hasta grandes de adhesivos y material eléctrico) y concentrada en ordenadores móviles y escáneres (Zebra, Honeywell/PSS, Datalogic)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centros de datos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identificación de cables +16,6 % en FY2026; casi +20 % en Americas &amp; Asia en el 4T26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industrial en EE. UU. y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Asia +15 % y de Américas +6 % en FY2026; Europa +1,2 % tras −1,8 % en FY2025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de almacenes y logística (PSS)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que el volumen de paquetes y los dispositivos multifunción en tiendas tiren de la demanda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seguridad laboral y trazabilidad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Señalización, bloqueo y etiquetado exigidos por OSHA y normas europeas; seguridad e instalaciones vende 647,8 M estables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fabrica en China y PSS tiene producción en Asia; el efecto neto de aranceles y devoluciones no movió el margen bruto de FY2026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Fragmentada en identificación; Zebra domina ordenadores móviles e impresoras de códigos de barras con márgenes EBITDA del 20 %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pequeños y muchos (ninguno pesa un 10 %); en PSS, grandes cuentas de logística y comercio con más poder [1,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Películas plásticas, adhesivos y componentes electrónicos de varios proveedores; algunos componentes de fuente única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catálogo amplio, materiales certificados (UL, normas militares) y red de distribución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Teléfonos inteligentes y visión artificial frente a escáneres dedicados; impresión directa sobre la pieza frente a etiquetas [1].</w:t>
            </w:r>
          </w:p>
        </w:tc>
      </w:tr>
    </w:tbl>
    <w:p>
      <w:pPr>
        <w:spacing w:after="160" w:before="0"/>
      </w:pPr>
    </w:p>
    <w:p>
      <w:pPr>
        <w:pStyle w:val="Heading2"/>
      </w:pPr>
      <w:r>
        <w:t xml:space="preserve">Ciclo</w:t>
      </w:r>
    </w:p>
    <w:p>
      <w:pPr>
        <w:spacing w:after="100"/>
      </w:pPr>
      <w:r>
        <w:t xml:space="preserve">El orgánico pasó del 1,6 % del 2T26 al 8,2-8,4 % del 3T y 4T26, con centros de datos y Asia [2]. Brady es cíclica moderada: en FY2020 (pandemia) las ventas cayeron un 6,8 % y el beneficio neto un 14 %; en FY2022 crecieron un 13,7 % con inflación de costes trasladada a precios [1]. Europa ha sido el punto débil (orgánico negativo en FY2025). PSS es más cíclica: la inversión en dispositivos de almacén cayó en 2023-2024 tras el exceso de la pandemia (Zebra lo vivió).</w:t>
      </w:r>
    </w:p>
    <w:p>
      <w:pPr>
        <w:pStyle w:val="Heading2"/>
      </w:pPr>
      <w:r>
        <w:t xml:space="preserve">Regulación</w:t>
      </w:r>
    </w:p>
    <w:p>
      <w:pPr>
        <w:spacing w:after="100"/>
      </w:pPr>
      <w:r>
        <w:t xml:space="preserve">Seguridad laboral (OSHA en EE. UU., directivas europeas) y trazabilidad de productos sostienen la demanda de señalización y etiquetado [1]. Aranceles de EE. UU. de 2025 y devoluciones posteriores: sin efecto neto relevante en el margen de FY2026 [1]. Regulación de las clases de acciones con voto distinto: la empresa la cita como riesgo [1]. PSS: normas de radio y de privacidad de datos en dispositivos.</w:t>
      </w:r>
    </w:p>
    <w:p>
      <w:pPr>
        <w:pStyle w:val="Heading2"/>
      </w:pPr>
      <w:r>
        <w:t xml:space="preserve">Tendencias y disrupción</w:t>
      </w:r>
    </w:p>
    <w:p>
      <w:pPr>
        <w:spacing w:after="100"/>
      </w:pPr>
      <w:r>
        <w:t xml:space="preserve">La identificación se digitaliza: impresoras conectadas, RFID, software de seguridad y trazabilidad; Brady crece en impresoras (unidades +25 % en el 4T26) y compra escáneres y RFID (Code, Nordic ID, PSS) [1, 2]. La IA y la visión artificial pueden sustituir parte del escaneo dedicado y la voz en almacenes; también hacen más valiosos los datos capturados. Con PSS, Brady gana escala frente a Zebra pero entra en un mercado de hardware más competido.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identificación industrial de alto rendimiento (etiquetas, impresoras y marcadores de cables) frente a un mercado fragmentado; n.º 2-3 en ordenadores móviles y escáneres de empresa tras comprar PSS, detrás de Zebra [1, 5,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Zebra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ZBRA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ordenadores móviles, escáneres e impresoras de códigos de barras; margen EBITDA del 20,2 %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Avery Dennison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de etiquetas y RFID; compró Vestcom (etiquetas de lineal) en 2021 [14,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CGNX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Visión artificial y lectores de códigos industriales; margen EBITDA del 24,6 %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Datalogic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DAL.MI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Escáneres y ordenadores móviles; margen EBITDA del 5,5 % (ventas en USD)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SATO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6287.T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Impresoras de etiquetas y consumibles; margen EBITDA del 10,8 % (ventas en USD)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HellermannTyton (Aptiv) y Panduit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en marcadores de cables e identificación eléctrica; dentro de grupos mayores o sin cotizar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productos.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Impresora y software que solo usan consumibles propios; materiales homologados en las especificaciones del cliente (UL, normas militares)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Brady, Seton y Emedco; química de adhesivos propia; margen bruto del 51,7 % frente al 16 % de margen EBITDA de Avery Dennison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de rollos de material para terceros y para sí; sin ventaja clara frente a los grandes de adhesivos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Catálogo amplio para pedidos pequeños por catálogo y distribuidores; nichos (marcadores de cables, pulseras) demasiado pequeños para grandes competidores [1].</w:t>
            </w:r>
          </w:p>
        </w:tc>
      </w:tr>
    </w:tbl>
    <w:p>
      <w:pPr>
        <w:spacing w:after="160" w:before="0"/>
      </w:pPr>
    </w:p>
    <w:p>
      <w:pPr>
        <w:pStyle w:val="Heading2"/>
      </w:pPr>
      <w:r>
        <w:t xml:space="preserve">Amenazas</w:t>
      </w:r>
    </w:p>
    <w:p>
      <w:pPr>
        <w:spacing w:after="100"/>
      </w:pPr>
      <w:r>
        <w:t xml:space="preserve">Tres amenazas. Zebra en ordenadores móviles y escáneres, donde PSS llega tras años de desinversión dentro de Honeywell y con un margen inferior (probabilidad media) [5, 14]. Sustitución del escaneo dedicado por teléfonos y visión artificial con IA (media-baja a 5 años). Y la ciclicidad de la inversión en almacenes y del gasto industrial europeo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FY2017-FY2026: ingresos </w:t>
      </w:r>
      <w:r>
        <w:rPr>
          <w:b/>
          <w:bCs/>
        </w:rPr>
        <w:t xml:space="preserve">4,5 %</w:t>
      </w:r>
      <w:r>
        <w:t xml:space="preserve">, EBITDA </w:t>
      </w:r>
      <w:r>
        <w:rPr>
          <w:b/>
          <w:bCs/>
        </w:rPr>
        <w:t xml:space="preserve">9,2 %</w:t>
      </w:r>
      <w:r>
        <w:t xml:space="preserve">, BPA </w:t>
      </w:r>
      <w:r>
        <w:rPr>
          <w:b/>
          <w:bCs/>
        </w:rPr>
        <w:t xml:space="preserve">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1.113 M en FY2017 a 1.662 M en FY2026 (4,5 % anual), con un orgánico modesto (2,6 % en FY2024 y FY2025) que se aceleró al 5,3 % en FY2026 (8,2-8,4 % en el 3T y 4T) por los centros de datos y Asia [1, 2, 3]. Lo comprado sumó 10,5 puntos en FY2025 (Gravotech, AB&amp;R, Microfluidic) y 2,2 en FY2026 (Mecco) [1]. El margen está en máximos: el EBITDA normalizado pasó del 14,2 % de FY2017 al 21,1 % de FY2026 (+690 pb), por mezcla (impresoras y consumibles de identificación, margen bruto del 51,7 %), precio y cierres de plantas en Europa en FY2025; el beneficio de los segmentos subió del 17,6 % al 19,9 % en un año [1]. FY2020 (−6,8 % de ventas) es el último año de caída [4]. FY2025 y FY2026 llevan costes no recurrentes (23,5 y 41,8 M) [2]. Desde FY2027 el grupo es otro: PSS añade ≈69 puntos de ventas con la mitad de margen [5, 8].</w:t>
      </w:r>
    </w:p>
    <w:p>
      <w:pPr>
        <w:pStyle w:val="Heading2"/>
      </w:pPr>
      <w:r>
        <w:t xml:space="preserve">Ajustes y partidas no recurrentes</w:t>
      </w:r>
    </w:p>
    <w:p>
      <w:pPr>
        <w:spacing w:after="100"/>
      </w:pPr>
      <w:r>
        <w:t xml:space="preserve">Usamos las cifras publicadas (US GAAP). En el EBITDA quitamos como no recurrentes los costes de la compra de PSS (35,7 M) y de la transición del CEO (6,1 M) en FY2026, y los cierres de plantas (18,5 M) y costes de compras (5,1 M) en FY2025, como la conciliación de la empresa [2]. La empresa da además un BPA ajustado que suma la amortización de intangibles comprados (20,9 M en FY2026): 5,29 USD frente a 4,30 publicados [2]. Los costes de compras y reorganización se han repetido en FY2025 y FY2026 y seguirán en FY2027 con la integración de PSS: no son del todo excepcionales y por eso el BPA del objetivo es el ajustado de la empresa, pero lo decimos. La remuneración en acciones (22,9 M) no se ajusta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4T26 (3-sep-2026) la dirección habló de crecimiento en todas las líneas, con identificación de cables casi +20 % en Americas &amp; Asia por los centros de datos, unidades de impresoras +25 % y un margen bruto del 52,9 % (con una devolución de aranceles) [3]. El mensaje cambió respecto al 3T (18-may), cuando el discurso era la guía de 5,20-5,30 USD de BPA ajustado y la compra de PSS con +0,80 USD de BPA el primer año [11]: ahora el foco es la integración, con un CEO nuevo, el segmento Intelligent Productivity Solutions y una guía FY2027 de 6,25-6,75 USD (la mayor parte de PSS en el segundo semestre) [2]. La dirección no ha dado cifras de margen ni de ventas recientes de PSS más allá de «dos cifras bajas» y ≈1.150 M, ni la amortización que dejará la compra [2]. El 3T26 batió el consenso de BPA ajustado en 0,16 USD [11]. No leímos las transcripciones (de pago).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Compras por 244 M netos de caja (Magicard, Code y Nordic ID, marcas que hoy figuran en el 10-K) [1, 4].; FY2025: Gravotech (grabado láser, Francia), consolidada desde el 1-ago-2024 por ≈130 M; además AB&amp;R (oct-24) y Microfluidic Solutions de Funai (abr-25): compras por 144,5 M en el año [1, 2, 10].; FY2026: Mecco (marcaje láser, EE. UU.), desde el 4-ago-2025 por 17,4 M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julio de 2026 Brady tenía caja neta (172,2 M) y deuda casi nula (15 M de la línea) [2]. La compra de PSS lo cambia: 1.600 M de deuda nueva (préstamo de 500 M, ≈300 M de la línea y 800 M en bonos al 5,43-5,90 %), con lo que la deuda neta ajustada del puente pasa a 1.228 M, ≈2,5 veces el EBITDA pro forma, como anunció la empresa [6, 7, 8]. El circulante es alto (22,7 % de las ventas: 103 días de existencias por la gama de productos estándar en stock) y estable [1]. Con un flujo libre de ≈200-300 M al año, la empresa puede volver por debajo de 2,0x en dos años si no compra más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1.458</w:t>
      </w:r>
      <w:r>
        <w:t xml:space="preserve">, conversión </w:t>
      </w:r>
      <w:r>
        <w:rPr>
          <w:b/>
          <w:bCs/>
        </w:rPr>
        <w:t xml:space="preserve">99 %</w:t>
      </w:r>
      <w:r>
        <w:t xml:space="preserve"> del beneficio neto; adquisiciones 406, dividendos 449, recompras 422.</w:t>
      </w:r>
    </w:p>
    <w:p>
      <w:pPr>
        <w:spacing w:after="100"/>
      </w:pPr>
      <w:r>
        <w:t xml:space="preserve">Brady convierte en caja casi todo su beneficio: flujo libre acumulado de 1.458 M en FY2017-FY2026, el 99 % del beneficio neto, y 192,6 M en FY2026 (94 %) [4]. El capex es bajo (3,1 % de las ventas en FY2026 y 27,6 M en FY2025); FY2024 y FY2026 fueron años de inversión en plantas (79,9 y 51,5 M) [1]. La amortización del inmovilizado (≈24 M) es el capex de mantenimiento aproximado (estimación propia); el resto es capacidad. FY2022 tuvo un flujo operativo bajo (118 M) por la acumulación de existencias con la escasez de componentes [4]. Uso de la caja en diez años: 449 M en dividendos, 422 M en recompras y 406 M en compras [4]. La guía FY2027 es de ≈40 M de capex para el grupo con PSS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las cuentas; la opinión de FY2026 es favorable y el control interno, efectivo [1]. No hay cambios de criterio relevantes. El BPA ajustado de la empresa excluye la amortización de intangibles y costes de compras y reorganización que se han repetido dos años; por eso lo explicamos y comparamos siempre con el publicado [2]. La remuneración en acciones se duplicó a 22,9 M en FY2026 por la salida del CEO (1,4 % de las ventas) [2]. Los tres indicadores del motor dan una lectura limpia: Altman Z de 7,59 (zona segura, antes de la deuda de PSS), Piotroski F de 9 (el máximo) y Beneish M de −2,45 (sin señal de manipulación). El riesgo contable está en FY2027: la asignación del precio de PSS (fondo de comercio frente a intangibles amortizables) y los costes de separación de Honeywell, que pueden ensuciar el BPA publicado durante dos o tres años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PSS sin asignación del precio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publicar el 10-K no se había valorado lo comprado: el fondo de comercio, los intangibles y su amortización (que restará al BPA publicado desde el 1T27) se conocerán con el 10-Q del 1T27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suma la amortización de intangibles (20,9 M en FY2026) y costes de compras, transición y reorganización: 5,29 frente a 4,30 USD en FY2026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22,9 M en FY2026 frente a 11,9 M en FY2025 (1,4 % de las ventas), por la jubilación del CEO y los incentivos del nuevo [1,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686 M en FY2026 (el 59 % del capital invertido medio); ha subido más de un 5 % en 2 de 9 años: compra única grande. ROIC publicado 21,0 %; sin fondo de comercio, 51,4 %.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29,9 % · </w:t>
      </w:r>
      <w:r>
        <w:rPr>
          <w:b/>
          <w:bCs/>
        </w:rPr>
        <w:t xml:space="preserve">WACC</w:t>
      </w:r>
      <w:r>
        <w:t xml:space="preserve">: 9,1 %.</w:t>
      </w:r>
    </w:p>
    <w:p>
      <w:pPr>
        <w:spacing w:after="100"/>
      </w:pPr>
      <w:r>
        <w:t xml:space="preserve">Brady crea valor con holgura en su perímetro de FY2026: ROIC del 21,0 % frente a un WACC del 9,12 % (11,9 puntos), con un ROIC sin fondo de comercio del 51,4 % y un ROIC incremental histórico del 29,9 %. El ROIC sale del margen (EBIT normalizado del 18,4 %) más que de la rotación (0,93 veces el activo). Con PSS cambia: estimamos un NOPAT ajustado de ≈317 M en FY2027e sobre un capital de ≈2.550 M (el de FY2026 más los 1.400 M pagados), un ROIC de ≈12,4 % (estimación propia), solo ≈3,3 puntos por encima del WACC. Es decir, PSS rinde algo menos del 8 % sobre lo pagado antes de sinergias (≈110 M de NOPAT a 8 veces el EBITDA), poco por encima de su coste de capital: la compra no destruye valor a ese precio, pero diluye el ROIC del grupo. Zebra, el competidor de PSS, tiene un margen EBITDA del 20,2 %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31-jul-2026: caja de 187,1 M (93 % fuera de EE. UU.) y 283,2 M disponibles de la línea; tras la compra de PSS (3-ago-2026), deuda bruta de ≈1.615 M (préstamo de 500 M, ≈300 M de la línea de 500 M, 800 M en bonos privados y 15 M previos) [1, 6,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(crédito bancario y colocación privada de bonos).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crédito y de los bonos: deuda neta/EBITDA ≤ 3,5x (hasta 4,0x los cuatro trimestres siguientes al cierre de PSS) y cobertura de intereses ≥ 3,0x; la empresa prevé ≈2,5x tras la compra y menos de 2,0x en dos años [1, 5, 6]. Bonos: 250 M al 5,43 % (2031), 300 M al 5,65 % (2033) y 250 M al 5,90 % (2036) [6]. Préstamo con amortización trimestral del 1,25 % del principal y vencimiento en junio de 2031 [7]. Arrendamientos operativos de 68,6 M (US GAAP: ya en el EBITDA). Otros pasivos a largo de 72,3 M (impuestos, prestaciones). Sin pensiones relevantes ni garantías significativas. La asignación del precio de PSS (fondo de comercio e intangibles) no se había hecho al publicar el 10-K [1].</w:t>
      </w:r>
    </w:p>
    <w:p>
      <w:pPr>
        <w:pStyle w:val="Heading1"/>
      </w:pPr>
      <w:r>
        <w:t xml:space="preserve">12. Asignación de capital</w:t>
      </w:r>
    </w:p>
    <w:p>
      <w:pPr>
        <w:pStyle w:val="Confianza"/>
        <w:spacing w:after="100"/>
      </w:pPr>
      <w:r>
        <w:t xml:space="preserve">Confianza: Alta</w:t>
      </w:r>
    </w:p>
    <w:p>
      <w:pPr>
        <w:spacing w:after="100"/>
      </w:pPr>
      <w:r>
        <w:t xml:space="preserve">Prioridades declaradas: crecimiento orgánico (I+D del 5,7 % de las ventas), compras, dividendo y recompras [1, 2]. Dividendo subido 41 años seguidos: 1,00 USD anuales desde el 2T27 (+2,0 %) [12]. Recompras de 42,2 M en FY2026 y 50,8 M en FY2025. Tras PSS, prioridad a reducir la deuda neta por debajo de 2,0 veces el EBITDA en dos años [5,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Magicard, Code y Nordic ID (impresoras de tarjetas, escáneres y RFID)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línea de escáneres y RFID;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Gravotech (grabado láser y mecánico,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125 M de ventas y 13 M de EBITDA en FY2025, compra anunciada en marzo de 2024 [9, 10]; el margen de Europe &amp; Australia cayó al 11,0 % en FY2025 y volvió al 13,4 % en FY2026 tras cerrar plantas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Mecco (marcaje láser,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identificación de productos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Productivity Solutions and Services de Honeywell (ordenadores móviles, escáneres, impresoras y software; desde el 3-ago-2026)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800 M de crédito bancario y 800 M de bonos privados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≈1.100 M de ventas en 2025; la empresa espera +0,80 USD de BPA ajustado en el primer año y 25 M de sinergias en tres años [5, 8].</w:t>
            </w:r>
          </w:p>
        </w:tc>
      </w:tr>
    </w:tbl>
    <w:p>
      <w:pPr>
        <w:spacing w:after="160" w:before="0"/>
      </w:pPr>
    </w:p>
    <w:p>
      <w:pPr>
        <w:spacing w:after="100"/>
      </w:pPr>
      <w:r>
        <w:t xml:space="preserve">Hasta 2026 la asignación de capital fue prudente: en diez años, 1.458 M de flujo libre repartidos entre dividendos (449 M), recompras (422 M, el número de acciones bajó de 52,0 a 47,8 M) y compras pequeñas (406 M), sin deterioros de fondo de comercio [4]. El ROIC incremental histórico, del 29,9 %, dice que las compras pequeñas (Code, Gravotech, Mecco) se pagaron bien. PSS es otra escala: 1.400 M, 2,5 veces el EBITDA en deuda, a ≈8 veces el EBITDA de 2025 y 1,27 veces las ventas, la mitad del múltiplo de Elo (Zebra, 3,25 veces las ventas) o de Vestcom (Avery, 3,6 veces) [5, 13, 16]. Barato porque Honeywell vendía un negocio que crecía poco y con margen inferior. El veredicto depende de la integración y de que las sinergias de 25 M lleguen; con un CEO que llegó a mitad de la operación, la ejecución es la pregunta abierta.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Vineet Nargolwala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2022; CEO de Allegro MicroSystems (2022-2025), ejecutivo de Sensata (2013-2022) y casi diez años en Honeywell [1, 17]. Compró 13.011 acciones por 1,0 M USD a 76,86 USD el 10-jun-2026 [18]. Sin historial medible en Brady.</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E. Thornton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contabilidad y tesorera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Brady desde 2009 (directora de contabilidad desde 2016); antes auditora en PwC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F. DeBruine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Brady desde 2000; dirigió las operaciones globales y los cierres de plantas de FY2025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Bojarski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Americas &amp; Asia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Belden, ABB y Panduit; con él Americas &amp; Asia pasó a un orgánico del 7,5 % y un margen del 23,2 % en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Brett Wilms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EMEA y Australia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Groupe Autajon y Pentair; reorganizó Europa (margen del segmento del 11,0 % al 13,4 %)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Bradley C. Richardson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 financiero de Avient, Diebold y Modine; preside el consejo desde 2021 y la comisión de auditoría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5,20-5,30 USD (mayo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en el rango alto de la guía, ≈4,60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en la cúpula: el CEO lleva cuatro meses y llegó por una jubilación anunciada el mismo día (8-jun-2026), con la compra de PSS ya firmada; la acción cayó un 15,1 % ese día [1, 17]. El consejo dice que lo eligió por su experiencia en Honeywell y en integrar negocios tecnológicos [17]. La directora financiera y el director de operaciones son de la casa. Cumplieron la guía de BPA ajustado en FY2025 y FY2026 [2, 11]. El CEO compró 1,0 M USD de acciones al llegar (con una prima de acciones igual al doble de lo comprado) [1, 18]; el resto de directivos vendió 6,7 M USD en doce meses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Bradley C. Richardson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 Remuneración, Retorno de capital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Vineet Nargolwala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P. Bruno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 Remuneración, Retorno de capital,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W. Allender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 Bem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Joanne Collins Smee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Michelle E.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(presidenta),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1,00 / ventas 6,22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Fideicomiso EBL GST Non-Exempt Stock B (familia Brady; Elizabeth P. Bruno)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Clase B (100 % del voto entre los 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H. Brady III Living Trust (familia Brady)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Clase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clase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mayo de 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 5,99 % y Capital Management 5,01 %)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clase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declaraciones tras la reorganización de Vanguard (2026)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Neuberger Berman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clase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umbral del 5 % (mayo de 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P. Bruno (directa y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clase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1,8 M USD en noviembre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M de acciones de clase A sobre 51,3 M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+0,17 M en FY2026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Vineet Nargolwala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Russell Shaller (CEO entonces)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P. Bruno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Gorman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Brett Wilms (presidente EMEA)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DeBruine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 Thornton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saliente, Russell Shaller, cobró 13,9 M USD en FY2026 (7,6 M en FY2025): 1,07 M fijos, 2,19 M de bonus y 10,4 M en acciones, que incluyen la consolidación de todos sus incentivos al jubilarse [1]. El nuevo CEO tiene 1,0 M de fijo, 3,2 M de acciones de entrada y otros 2,0 M igual al doble de lo que compró en el mercado [1]. El variable a largo es 50 % acciones por tiempo y 50 % por objetivos de ventas y BPA (con un tramo trienal), y el bonus anual se mide con beneficio operativo y de los segmentos: crecer y ganar más, no rentabilidad del capital [1]. Hay política de recuperación (clawback) [1]. La ratio frente al empleado mediano es de 143 veces (con el sueldo del nuevo CEO anualizado) [1]. La clase A no vota la remuneración.</w:t>
      </w:r>
    </w:p>
    <w:p>
      <w:pPr>
        <w:pStyle w:val="Heading2"/>
      </w:pPr>
      <w:r>
        <w:t xml:space="preserve">Operaciones vinculadas, estructura de control y defensas</w:t>
      </w:r>
    </w:p>
    <w:p>
      <w:pPr>
        <w:spacing w:after="100"/>
      </w:pPr>
      <w:r>
        <w:t xml:space="preserve">Brady tiene dos clases: 43,4 M de acciones de clase A, que cotizan y no votan salvo en casos legales, y 3,5 M de clase B, todas con voto, en manos de dos fideicomisos de descendientes del fundador al 50 % cada uno [1]. La familia decide el consejo y cualquier operación de control; no hay pacto conocido de cambio de control [1]. Ambas clases cobran el mismo dividendo (la B lleva una preferencia mínima) y el BPA es casi igual [1, 2]. La familia tiene además un 2,1 % de la clase A a través de la consejera Elizabeth Bruno, que preside la comisión de gobierno [1]. Seis de siete consejeros son independientes y el presidente no es de la familia [1]. Sin operaciones vinculadas relevantes [1].</w:t>
      </w:r>
    </w:p>
    <w:p>
      <w:pPr>
        <w:pStyle w:val="Heading2"/>
      </w:pPr>
      <w:r>
        <w:t xml:space="preserve">Señales de alerta</w:t>
      </w:r>
    </w:p>
    <w:p>
      <w:pPr>
        <w:pStyle w:val="ListParagraph"/>
        <w:numPr>
          <w:ilvl w:val="0"/>
          <w:numId w:val="2"/>
        </w:numPr>
        <w:spacing w:after="60"/>
      </w:pPr>
      <w:r>
        <w:t xml:space="preserve">Salida repentina del CEO (8-jun-2026) entre la firma y el cierre de la mayor compra de la historia de la empresa; la acción cayó un 15,1 % ese día [1, 17].</w:t>
      </w:r>
    </w:p>
    <w:p>
      <w:pPr>
        <w:pStyle w:val="ListParagraph"/>
        <w:numPr>
          <w:ilvl w:val="0"/>
          <w:numId w:val="2"/>
        </w:numPr>
        <w:spacing w:after="60"/>
      </w:pPr>
      <w:r>
        <w:t xml:space="preserve">Ventas de directivos por 6,7 M USD en doce meses, frente a una sola compra de 1,0 M del nuevo CEO [18].</w:t>
      </w:r>
    </w:p>
    <w:p>
      <w:pPr>
        <w:pStyle w:val="ListParagraph"/>
        <w:numPr>
          <w:ilvl w:val="0"/>
          <w:numId w:val="2"/>
        </w:numPr>
        <w:spacing w:after="60"/>
      </w:pPr>
      <w:r>
        <w:t xml:space="preserve">La clase A no vota: el minoritario no puede oponerse a compras, remuneraciones ni consejeros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(3-sep-2026): BPA ajustado de 6,25-6,75 USD (+18,1 % a +27,6 %), con ≈0,80 USD de PSS neto del coste de la deuda, la mayor parte en el segundo semestre; crecimiento orgánico de identificación (IDS) de ≈5 % y ventas de PSS (IPS) de ≈1.150 M; margen de segmento de ≈20 % en IDS y de «dos cifras bajas» en IPS; amortización de inmovilizado de ≈45 M, capex de ≈40 M y tipo impositivo de ≈21 % [5, 23]. Objetivo de deuda neta/EBITDA por debajo de 2,0x en dos años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 analistas, BPA ajustado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 analistas, BPA ajustado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109,00 – 111,00</w:t>
            </w:r>
          </w:p>
        </w:tc>
      </w:tr>
    </w:tbl>
    <w:p>
      <w:pPr>
        <w:spacing w:after="160" w:before="0"/>
      </w:pPr>
    </w:p>
    <w:p>
      <w:pPr>
        <w:pStyle w:val="Heading2"/>
      </w:pPr>
      <w:r>
        <w:t xml:space="preserve">Revisiones de estimaciones</w:t>
      </w:r>
    </w:p>
    <w:p>
      <w:pPr>
        <w:spacing w:after="100"/>
      </w:pPr>
      <w:r>
        <w:t xml:space="preserve">El BPA FY2027 del consenso subió de 6,09 USD hace 90 días a 6,55 (+7,6 %) tras la guía del 3-sep, y el de FY2028 de 6,88 a 7,22 (+4,9 %) [23]. Solo dos analistas publican estimaciones (Yahoo); no encontramos una segunda fuente gratuita con estimaciones completas. Las dos recomendaciones son de compra, con objetivos de 109-111 USD [23].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Brady ha ido por detrás del S&amp;P 500 a 1, 3, 5 y 10 años (12,8 % frente a 16,9 % en el último año; 11,3 % frente a 15,5 % anual en diez) [22]. En 2026 subió hasta 99,29 USD en febrero, cayó a 70,57 en mayo (caída máxima del 26,1 %) y rebotó un 19 % el 18-may con el 3T (centros de datos) [11, 22]. El 8-jun-2026 perdió un 15,1 % el día que anunció la salida del CEO [17, 22]. Desde los resultados del 3-sep cotiza entre 80 y 87 USD. La beta mensual de cinco años es baja (0,62; 0,75 ajustada) y la volatilidad de un año alta (32,7 %), por esos dos días.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EBITDA pro forma, Brady cotiza a 9,9 veces el EBITDA de los últimos doce meses, un 14 % por debajo de su media de diez años (11,6 veces) y cerca del mínimo (9,6). El PER de los últimos doce meses (19,5 veces el BPA publicado) está en su media, pero ese BPA no lleva PSS. Con el BPA ajustado adelantado, el PER de hoy (13,0 veces) está en la mediana de cinco años (13,3) y por debajo de la media larga (16,0). No vemos cambio estructural que justifique un descuento: el margen está en máximos y el crecimiento orgánico se aceleró; lo que ha cambiado es la deuda y el perfil (más hardware), que pesan en contra.</w:t>
      </w:r>
    </w:p>
    <w:p>
      <w:pPr>
        <w:pStyle w:val="Heading1"/>
      </w:pPr>
      <w:r>
        <w:t xml:space="preserve">18. Comparables cotizados</w:t>
      </w:r>
    </w:p>
    <w:p>
      <w:pPr>
        <w:pStyle w:val="Confianza"/>
        <w:spacing w:after="100"/>
      </w:pPr>
      <w:r>
        <w:t xml:space="preserve">Confianza: Media</w:t>
      </w:r>
    </w:p>
    <w:p>
      <w:pPr>
        <w:spacing w:after="100"/>
      </w:pPr>
      <w:r>
        <w:t xml:space="preserve">Nueve cotizadas de identificación y captura de datos (Zebra, Avery Dennison, Cognex, Datalogic, SATO) y de nichos industriales de calidad con los que compite por el inversor (MSA, Halma, Fortive, IDEX; tres de ellos de la ficha de equipos de seguridad [15]; el perímetro sale de la ficha de identificación industrial [27]). Fuera: Honeywell (vendedor, conglomerado en escisión) y 3M (litigios). PER sobre el BPA ajustado de cada empresa (Zebra, como Brady, excluye la amortización de intangibles comprados), del mismo proveedor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Zebra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Avery Dennison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Datalogic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SATO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MSA Safety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16,6x / 19,5x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17,9x / 23,3x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3,8x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Brady cotiza a 12,5 veces el BPA ajustado de los próximos doce meses del consenso, frente a una mediana de 17,9 veces; a 9,9 veces el EBITDA pro forma frente a 16,6. El descuento es grande y en parte merecido: crecimiento orgánico menor que Halma, Cognex o IDEX, una clase de acciones sin voto (el grupo de comparables vota) y, desde agosto, 2,5 veces el EBITDA en deuda frente a 1,2 de mediana. Pero frente a Zebra (17,1 veces, margen similar, más cíclica) y Avery (15,7) el descuento es de 3-5 puntos de PER. SATO (10,5) y Datalogic (17,9 sobre un beneficio deprimido) son los casos extremos. Usamos el PER: el valor implícito con la mediana es 119,75 USD; por el descuento histórico de Brady le damos solo un 20 % del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Productivity Solutions and Services (Honeywell)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≈1.100 M de ventas en 2025; múltiplo de EBITDA que da la empresa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Elo Touch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Zebra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Pantallas táctiles y quioscos; ≈400 M de ventas con margen EBITDA similar al de Zebra (≈20 %), lo que daría ≈16 veces (estimación propia, no publicada)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Gravotech Holding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 M EUR por 112 M EUR de ventas de 2023; EBITDA previsto de 12 M EUR en FY2025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Vestcom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Avery Dennison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Etiquetas y datos de lineal para comercio; ≈400 M de ventas previstas en 2021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45,61 – 168,98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pagan entre 1,1 y 3,6 veces las ventas: Brady pagó 1,27 veces por PSS (8 veces el EBITDA) y 1,10 por Gravotech (10 veces el EBITDA previsto), mientras Zebra pagó 3,25 veces por Elo y Avery Dennison 3,6 por Vestcom, negocios con más margen o más crecimiento [5, 10, 13, 16]. Con la mediana de EV/ventas, Brady valdría 105,77 USD, pero no la usamos (peso 0): la dispersión es enorme y la familia controla el voto, así que no hay prima de control posible sin su acuerdo. Brady es compradora, no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(+74,2 %, fijo) es casi todo perímetro: PSS aporta ≈1.150 M de ventas (guía) y el orgánico de identificación ≈5 % [2]. Lo marcamos fijo, aunque no hay trimestres publicados, porque es un cambio de perímetro ya cerrado y guiado, y moverlo con los escenarios o el DCF inverso no tiene sentido. Después, 4,3 % en FY2028e bajando al 3,0 %: identificación al 5 % (guía de FY2027; histórico de 2,6-5,3 %) y PSS al 3 % (mercado de productividad maduro; Elo, de Zebra, crece un 5-7 % en el ciclo [13]). El histórico de ventas es del 4,5 % anual con compras [4]. El consenso de ventas FY2028e es de 3.002 M; el nuestro, 3.019 M (+0,6 %) [23].</w:t>
      </w:r>
    </w:p>
    <w:p>
      <w:pPr>
        <w:keepNext/>
        <w:spacing w:after="100"/>
      </w:pPr>
      <w:r>
        <w:rPr>
          <w:b/>
          <w:bCs/>
        </w:rPr>
        <w:t xml:space="preserve">Márgenes.</w:t>
      </w:r>
    </w:p>
    <w:p>
      <w:pPr>
        <w:spacing w:after="100"/>
      </w:pPr>
      <w:r>
        <w:t xml:space="preserve">Margen EBITDA del 16,4 % en FY2027e (17,6 % sin ≈35 M de costes de integración: identificación al ≈21,5 % y PSS al ≈11,8 %, en línea con la guía de «dos cifras bajas» de margen de segmento) [2]. Sube al 17,9 % en FY2028e y al 19,0 % al final por las sinergias de 25 M en tres años y la mezcla [5]. Es inferior al 21,1 % de Brady en FY2026 porque PSS gana la mitad; Zebra, el líder de PSS, tiene un 20,2 % [14]. El supuesto más agresivo es que PSS mejore su margen dentro de Brady tras años de poca inversión en Honeywell.</w:t>
      </w:r>
    </w:p>
    <w:p>
      <w:pPr>
        <w:keepNext/>
        <w:spacing w:after="100"/>
      </w:pPr>
      <w:r>
        <w:rPr>
          <w:b/>
          <w:bCs/>
        </w:rPr>
        <w:t xml:space="preserve">Inversión y circulante.</w:t>
      </w:r>
    </w:p>
    <w:p>
      <w:pPr>
        <w:spacing w:after="100"/>
      </w:pPr>
      <w:r>
        <w:t xml:space="preserve">Capex del 1,4 % de las ventas en FY2027e (≈40 M, guía) subiendo al 2,5 % (igual que la amortización al final) [2]; Brady invirtió el 1,8-6,0 % en FY2017-FY2026 [4]. Amortización del 3,6 % al 2,5 %: inmovilizado (≈45 M) más intangibles comprados (20,9 M de Brady y ≈40 M estimados de PSS; sin asignación del precio publicada [1]). Circulante: 13,7 % de las ventas en vez del 22,7 % real, porque el circulante de PSS llegó con la compra (pagado dentro de los 1.400 M del puente); así FY2027e solo recoge el aumento orgánico. Infravalora en ≈9 M al año el circulante del crecimiento futuro (≈2 USD por acción).</w:t>
      </w:r>
    </w:p>
    <w:p>
      <w:pPr>
        <w:keepNext/>
        <w:spacing w:after="100"/>
      </w:pPr>
      <w:r>
        <w:rPr>
          <w:b/>
          <w:bCs/>
        </w:rPr>
        <w:t xml:space="preserve">Coste del capital.</w:t>
      </w:r>
    </w:p>
    <w:p>
      <w:pPr>
        <w:spacing w:after="100"/>
      </w:pPr>
      <w:r>
        <w:t xml:space="preserve">Tasa libre del 5,19 % (bono de EE. UU. a 10 años del 14-oct-2026 [24]) y prima de mercado del 5,5 %. Beta 1,0: la de Brady es baja (0,62 mensual a cinco años, 0,75 ajustada [22]), pero PSS es hardware cíclico (Zebra, 1,58 [23]) y la deuda sube al 25 % del capital; la media ponderada por valor y reapalancada da ≈1,0. Coste de la deuda del 5,6 % (bonos al 5,43-5,90 % y préstamo a SOFR más diferencial [6, 7]), tipo del 21,5 %. WACC del 9,12 %. Con la prima implícita del mercado (4,2 % [25]), 8,14 %.</w:t>
      </w:r>
    </w:p>
    <w:p>
      <w:pPr>
        <w:keepNext/>
        <w:spacing w:after="100"/>
      </w:pPr>
      <w:r>
        <w:rPr>
          <w:b/>
          <w:bCs/>
        </w:rPr>
        <w:t xml:space="preserve">Valor terminal.</w:t>
      </w:r>
    </w:p>
    <w:p>
      <w:pPr>
        <w:spacing w:after="100"/>
      </w:pPr>
      <w:r>
        <w:t xml:space="preserve">Gordon con un 2,5 % (inflación del 2-2,5 % y crecimiento real bajo), por debajo de la tasa libre menos medio punto. Implica 10,2 veces el EBITDA del último año, por debajo de la mediana de comparables (16,6) y cerca de la media histórica de Brady (11,6). El valor terminal pesa un 69 %.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(reinvierte el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 (histórico: 29,9 %)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frente al 15,6 %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(15,6 %) supera con holgura el histórico de ingresos (4,5 %)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 (hoy: 19,7 %)</w:t>
            </w:r>
          </w:p>
        </w:tc>
      </w:tr>
    </w:tbl>
    <w:p>
      <w:pPr>
        <w:spacing w:after="160" w:before="0"/>
      </w:pPr>
    </w:p>
    <w:p>
      <w:pPr>
        <w:spacing w:after="100"/>
      </w:pPr>
      <w:r>
        <w:t xml:space="preserve">La proyección apenas necesita inversión neta de la amortización (reinversión acumulada de -103 M, con un capex bruto medio del 2,0 % de las ventas). En un negocio de activos ligeros, el crecimiento medio del 15,6 % tiene que salir de subir precios y de ganar volumen sin capital nuevo, y la prueba es el poder de precios y la cuota (20,3 % del mercado en FY2031e, frente al 19,7 %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PSS (≈1.150 M, guía, 69,2 puntos), orgánico de identificación ≈5 % (3 de volumen y 2 de precio)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Identificación al 5 % (volumen por centros de datos y Asia, precio ≈2 %); PSS al 3 %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ventas cruzadas entre identificación y PSS (sinergias de ingresos sin cifrar)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volumen al ritmo de la producción industrial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terminal; precio del 2 % como en FY2022-FY2026 [1].</w:t>
            </w:r>
          </w:p>
        </w:tc>
      </w:tr>
    </w:tbl>
    <w:p>
      <w:pPr>
        <w:spacing w:after="160" w:before="0"/>
      </w:pPr>
    </w:p>
    <w:p>
      <w:pPr>
        <w:spacing w:after="100"/>
      </w:pPr>
      <w:r>
        <w:t xml:space="preserve">El negocio de identificación sí sostiene su crecimiento: un 5 % orgánico con un ROIC del 21,0 %, un incremental del 29,9 %, precio demostrado (margen del 14,2 % al 21,1 % en nueve años) y casi sin inversión neta. Pero la proyección del grupo sube un 15,6 % anual de media porque lleva PSS, comprado con deuda: es crecimiento pagado, no financiado por la reinversión, y a ≈8 veces el EBITDA rinde ≈8 % antes de sinergias, poco más que el WACC (9,12 %). El motor también da «En parte» (crecimiento proyectado muy por encima del histórico del 4,5 %). La cuota implícita (20,3 % del mercado direccionable en FY2031e frente a ≈19,7 % hoy) no pide ganar mercado. Sin más rebaja del caso base: el crecimiento posterior a FY2027e (3-4,5 %) está dentro del histórico.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 (base: 19,0 %)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(WACC: 9,1 %)</w:t>
            </w:r>
          </w:p>
        </w:tc>
      </w:tr>
    </w:tbl>
    <w:p>
      <w:pPr>
        <w:spacing w:after="160" w:before="0"/>
      </w:pPr>
    </w:p>
    <w:p>
      <w:pPr>
        <w:spacing w:after="100"/>
      </w:pPr>
      <w:r>
        <w:t xml:space="preserve">El DCF da 98,84 USD por acción, un 18,2 % sobre el precio, con un WACC del 9,12 % y el valor terminal pesando un 69 %. La tabla de sensibilidad va de 82,64 (WACC del 10,1 %, g 2,5 %) a 120,84 (8,1 %). El DCF inverso dice que a 83,65 USD el mercado descuenta un crecimiento de −0,3 % anual en FY2028e-FY2032e (frente a nuestro 3,9 %) o un margen EBITDA final del 17 % (frente al 19 %), y una rentabilidad implícita del 10,0 %, por encima del WACC. Es decir: el precio no paga ningún crecimiento tras la compra de PSS ni las sinergias. Es conservador frente a la historia (4,5 % anual de ventas y márgenes al alza diez años) pero tiene lógica: el mercado aún no ha visto un trimestre de PSS dentro de Brady y desconfía de una compra apalancada hecha con un CEO recién llegado. Con la prima implícita del mercado, el DCF sube a 120,19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PSS pierde cuota frente a Zebra durante la integración (sistemas, canal, plantas separadas de Honeywell) y su margen se queda en el 8-9 %; el gasto industrial y de almacenes cae como en 2023-2024; identificación vuelve a un orgánico del 1-2 %. BPA ajustado FY2028e de 5,89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Identificación crece un 5 % con margen estable; PSS crece un 3 % y capta parte de las sinergias de 25 M; la deuda baja a menos de 2,0 veces el EBITDA en FY2028. BPA ajustado FY2028e de 7,14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Centros de datos y Asia mantienen el orgánico de identificación en el 7-8 %, las ventas cruzadas con PSS empiezan en FY2028 y las sinergias llegan antes; margen de PSS al 14 %. BPA ajustado FY2028e de 7,81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83,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94,54 USD (+13,0 %).</w:t>
      </w:r>
    </w:p>
    <w:p>
      <w:pPr>
        <w:spacing w:after="100"/>
      </w:pPr>
      <w:r>
        <w:t xml:space="preserve">Con el DCF, el alcista da 112,68 USD (+34,7 %) y el bajista 67,81 (−18,9 %): asimetría de 1,84. Con la regla a 12 meses es mayor (139,02 frente a 61,85; 2,54) porque el PER del alcista llega al techo de 17,8 veces. El bajista es verosímil: Zebra perdió un 20 % de ventas en 2023 con la caída del gasto en almacenes, y Brady vendió un 6,8 % menos en FY2020. La asimetría compensa en cifras, pero el bajista es más probable de lo que parece en el primer año de integración.</w:t>
      </w:r>
    </w:p>
    <w:p>
      <w:pPr>
        <w:pStyle w:val="Heading1"/>
      </w:pPr>
      <w:r>
        <w:t xml:space="preserve">22. Suma de partes</w:t>
      </w:r>
    </w:p>
    <w:p>
      <w:pPr>
        <w:pStyle w:val="Confianza"/>
        <w:spacing w:after="100"/>
      </w:pPr>
      <w:r>
        <w:t xml:space="preserve">Confianza: Media</w:t>
      </w:r>
    </w:p>
    <w:p>
      <w:pPr>
        <w:spacing w:after="100"/>
      </w:pPr>
      <w:r>
        <w:t xml:space="preserve">No aplica todavía: Intelligent Productivity Solutions (PSS) tendrá perfil distinto (hardware, margen de dos cifras bajas, comparables como Zebra y Datalogic), pero no hay ni una cifra publicada del segmento dentro de Brady; se valorará por partes cuando salga el 10-Q del 1T27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83,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101,73 USD (+21,6 % sobre 83,65).</w:t>
      </w:r>
    </w:p>
    <w:p>
      <w:pPr>
        <w:spacing w:after="100"/>
      </w:pPr>
      <w:r>
        <w:t xml:space="preserve">Pesos: DCF 50 %, escenarios 30 % y comparables 20 %. El DCF es el método más fiable para una empresa de caja estable, aunque depende de PSS, que no tiene cifras propias publicadas. Los comparables dan más (119,75 USD), pero Brady ha cotizado siempre con descuento (clase sin voto, crecimiento menor), así que pesan poco; las transacciones no se usan porque no hay prima de control posible sin la familia. El valor intrínseco ponderado es de 101,73 USD (+21,6 %); con la prima implícita del mercado, 118,48. La dispersión entre métodos (67,81-155,87) es amplia por la incertidumbre de PSS.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(13x) a mitad de camino hacia la mediana de 5 años (13.3x)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+67,4 %</w:t>
            </w:r>
          </w:p>
        </w:tc>
      </w:tr>
    </w:tbl>
    <w:p>
      <w:pPr>
        <w:spacing w:after="160" w:before="0"/>
      </w:pPr>
    </w:p>
    <w:p>
      <w:pPr>
        <w:spacing w:after="100"/>
      </w:pPr>
      <w:r>
        <w:rPr>
          <w:b/>
          <w:bCs/>
        </w:rPr>
        <w:t xml:space="preserve">Objetivo a 12 meses (ponderado):</w:t>
      </w:r>
      <w:r>
        <w:t xml:space="preserve"> 96,98 USD · rentabilidad +17,1 % (base +13,0 %) · señal Comprar.</w:t>
      </w:r>
    </w:p>
    <w:p>
      <w:pPr>
        <w:spacing w:after="100"/>
      </w:pPr>
      <w:r>
        <w:t xml:space="preserve">Para comparar, con la regla v2 (historia al cierre, mismo precio): 11,0x / 13,0x / 16,9x, 15,5 %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es un 1,5 % inferior al del consenso en FY2027e (6,45 frente a 6,55) y un 1,1 % inferior en FY2028e (7,14 frente a 7,22) [23]: prácticamente iguales, ambos sobre la guía. La diferencia está en el múltiplo: nuestro precio base (93,53 USD) queda un 15 % por debajo del objetivo medio de los dos analistas (110), porque la regla toma el PER de Brady (13,1 veces), no el de los comparables, y los analistas suponen una revalorización por el cambio de perfil. No acercamos la cifra: Brady nunca ha cotizado a 15 veces su BPA adelantado en los últimos cinco años salvo en FY2024.</w:t>
      </w:r>
    </w:p>
    <w:p>
      <w:pPr>
        <w:keepNext/>
        <w:spacing w:after="100"/>
      </w:pPr>
      <w:r>
        <w:rPr>
          <w:b/>
          <w:bCs/>
        </w:rPr>
        <w:t xml:space="preserve">Del valor intrínseco al objetivo a 12 meses.</w:t>
      </w:r>
    </w:p>
    <w:p>
      <w:pPr>
        <w:spacing w:after="100"/>
      </w:pPr>
      <w:r>
        <w:t xml:space="preserve">El objetivo a 12 meses (96,98 USD) queda un 4,7 % por debajo del valor intrínseco (101,73): las dos lecturas coinciden en que la acción está barata, sin tesis a más de un año. El BPA base FY2028e (7,14) crece un 16,2 % anual desde el ajustado de FY2026 (5,29) y un 28,9 % desde el publicado (4,30), porque mezcla bases y porque es casi todo compra: el motor y las pruebas de robustez lo marcan, y lo aceptamos como una condición de la tesis, no como un rebote. Lo que cierra la distancia al objetivo es ver PSS en las cuentas: el 1T27 (17-nov-2026) será el primer trimestre con PSS dentro y la primera cifra del margen del nuevo segmento.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 (Yahoo; sin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primer trimestre con PSS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cifras del segmento IPS (ventas, margen) y de la asignación del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recorte de la guía de 6,25-6,75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FY2027-FY2028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PSS (25 M en tres años)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+0,40 USD de BPA si se cumplen enteras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Septiembre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FY2027, guía FY2028 y 42.º aumento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hacia 2,0x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del nuevo CEO (no anunciado)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medio plazo del grupo con PSS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PSS: separación de Honeywell (sistemas, servicios transitorios, plantas), pérdida de clientes y de personal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 67,81)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transitorios de Honeywell y licencia de propiedad intelectual; precio bajo (8 veces el EBITDA)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segmento IPS por debajo del 10 % en el 1T-2T27 o ventas por debajo de ≈280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caja neta a ≈2,5 veces el EBITDA con un 5,4-5,9 %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Covenants de 3,5-4,0x; flujo libre de ≈250-300 M al año; sin vencimientos grandes hasta 2031 [6,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por encima de 2,5x a finales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industrial y de almacenes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Identificación es poco cíclica (−6,8 % de ventas en FY2020) y muy dispersa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identificación por debajo del 2 %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Zebra en ordenadores móviles y escáneres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PSS tiene base instalada en grandes cuentas de logística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PSS que caen más que las de Zebra en el mismo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CEO y gobierno de doble clase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Honeywell y Allegro; compró 1 M USD de acciones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directora financiera o del director de operaciones; nueva compra grande antes de bajar la deuda.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cadena de suministro electrónica (China, México)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neto nulo en el margen de FY2026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identificación por debajo del 50 %.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tecnológica del escaneo dedicado (teléfonos, visión artificial con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dispositivos de empresa resisten golpes y normas; PSS vende software y servicio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unidades de ordenadores móviles en Zebra y PSS con el mercado de almacenes creciendo.</w:t>
            </w:r>
          </w:p>
        </w:tc>
      </w:tr>
    </w:tbl>
    <w:p>
      <w:pPr>
        <w:spacing w:after="160" w:before="0"/>
      </w:pPr>
    </w:p>
    <w:p>
      <w:pPr>
        <w:pStyle w:val="Heading2"/>
      </w:pPr>
      <w:r>
        <w:t xml:space="preserve">Pre-mortem</w:t>
      </w:r>
    </w:p>
    <w:p>
      <w:pPr>
        <w:spacing w:after="100"/>
      </w:pPr>
      <w:r>
        <w:t xml:space="preserve">Octubre de 2029: Brady vale un 40 % menos. La integración de PSS fue más larga y cara de lo previsto: la separación de Honeywell dejó sistemas duplicados durante dos años, el canal de distribuidores de Brady no supo vender ordenadores móviles y Zebra aprovechó para quitar cuentas de logística con su gama nueva. El margen de PSS se quedó en el 8 % y las sinergias no pasaron de 10 M. Coincidió con un frenazo del gasto en almacenes (como en 2023-2024) y con el fin del ciclo de centros de datos que había tirado de la identificación de cables. El BPA ajustado de FY2028 se quedó en 5,5 USD, la deuda siguió por encima de 2,5 veces el EBITDA, el dividendo dejó de subir y el mercado devolvió el PER a 10 veces. La señal estaba en el 1T-2T27: márgenes del segmento IPS por debajo del 10 % y una guía recortada en marzo de 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+3 % a 3-5 años</w:t>
      </w:r>
    </w:p>
    <w:p>
      <w:pPr>
        <w:spacing w:after="100"/>
      </w:pPr>
      <w:r>
        <w:t xml:space="preserve">Identificación (60 % de las ventas pro forma) es un producto físico: etiquetas de material propio, marcadores de cables y señales exigidos por normas de seguridad y trazabilidad; la IA no los sustituye y los centros de datos para IA tiran de la identificación de cables (+16,6 % en FY2026) [1]. La exposición está en PSS (≈40 %): la visión artificial y los modelos multimodales en teléfonos o cámaras pueden quitar parte del escaneo dedicado y de la guía por voz en almacenes, y también hacen más útiles los datos que capturan sus dispositivos (oportunidad en software). Brady no tiene aún una oferta de IA visible. Señal: unidades de ordenadores móviles y escáneres de Zebra y PSS cayendo con el gasto en almacenes creciendo. Riesgo de que la IA se coma el negocio: bajo en identificación, medio-bajo en PSS.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la seguridad laboral propia (tasa de accidentes registrables de 0,53 y sin muertes en FY2026) y la de sus clientes, que es el motivo de compra de la señalización [1]; la química de adhesivos y disolventes en las plantas de recubrimiento; y la gestión de la cadena de suministro electrónica (minerales de conflicto: presenta el formulario SD cada año) [1].</w:t>
      </w:r>
    </w:p>
    <w:p>
      <w:pPr>
        <w:pStyle w:val="Heading2"/>
      </w:pPr>
      <w:r>
        <w:t xml:space="preserve">Controversias</w:t>
      </w:r>
    </w:p>
    <w:p>
      <w:pPr>
        <w:spacing w:after="100"/>
      </w:pPr>
      <w:r>
        <w:t xml:space="preserve">Sin sanciones ni litigios relevantes en el 10-K FY2026 [1]. La empresa cita como riesgo la presión regulatoria y de inversores contra las estructuras con dos clases de acciones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segmento de PSS en sus primeros meses y cuánto cuesta separarla de Honeywell?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BPA nuevo depende de un margen de «dos cifras bajas» sin cifra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1.400 M va a intangibles amortizables y a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publicado de los próximos años y la diferencia con el ajustado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jubiló el CEO sin aviso entre la firma y el cierre de PSS?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un 15,1 %; la explicación pública es escueta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recompras o compras antes de bajar de 2,0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(acciones) y el riesgo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orgánico del 8 % del 3T-4T26 es de centros de datos y cuánto dura?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aceleración y el 5 % de la guía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la familia intención de vender la clase B o de unificar las clases?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vía para una prima de control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alcistas antes y después de los resultados del 3-sep: esperan que PSS «cambie de categoría» a la empresa y celebran la subida del dividendo; en junio, la compra del CEO y la caída por su nombramiento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análisis subraya el paso de no tener deuda a una apuesta de 1.400 M a 8 veces el EBITDA; otro ve un buen punto de partida para 2027 con la guía de +23 % de BPA ajustado [11].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17-19 % el 18-may con el 3T (centros de datos, «IA») y mejora de recomendación de Sidoti tras la caída por el cambio de CEO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PSS cambia la empresa (escala y BPA)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da +0,80 USD de BPA ajustado; con nuestro modelo, el BPA ajustado FY2028 sube a ≈7,1 USD, pero el margen de PSS es la mitad del de Brady y la deuda pasa de cero a ≈2,5 veces el EBITDA.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riesgo de integración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1.600 M de deuda nueva al 5,4-5,9 % y un CEO recién llegado; los covenants (3,5-4,0x) dan holgura.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en identificación de cables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acotado: identificación de cables es el 17 % de las ventas y creció un 16,6 % en FY2026.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sin aviso y caída del 15 %; el nuevo CEO compró 1 M USD de acciones.</w:t>
            </w:r>
          </w:p>
        </w:tc>
      </w:tr>
    </w:tbl>
    <w:p>
      <w:pPr>
        <w:spacing w:after="160" w:before="0"/>
      </w:pPr>
    </w:p>
    <w:p>
      <w:pPr>
        <w:spacing w:after="100"/>
      </w:pPr>
      <w:r>
        <w:t xml:space="preserve">Poco debate y tono positivo: los particulares en Stocktwits esperan que PSS «cambie de categoría» a la empresa y celebran la subida del dividendo; en Seeking Alpha hay división entre quien ve un buen punto de partida para 2027 y quien subraya el paso de cero deuda a una apuesta de 1.400 M [11, 26]. No hay euforia ni capitulación: la acción cotiza a 13 veces el BPA ajustado. El riesgo que señalan los escépticos (deuda e integración con un CEO nuevo) es el mismo que pesa en nuestra recomendación. Ninguna cifra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27 (18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6 (¿operaciones interrumpidas?). Explicación: El XBRL da el beneficio neto atribuido tras una partida de 5,7 M fuera de la línea de impuestos de FY2021 (operaciones interrumpidas/ventas de negocios); no afecta a FY2026 ni a la proyección.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crecimiento proyectado (15,6 %) supera con holgura el histórico de ingresos (4,5 %)):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20,3 % en FY2031e frente al 19,7 %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13,7 % frente a 22,7 % real: genera una variación de circulante de 19 M en el primer año. Converge de forma gradual. Explicación: Buscado: el circulante de PSS (≈7 puntos de ventas) se pagó con el precio de compra que ya resta el puente; con el 22,7 % el DCF lo cobraría dos veces (≈230 M de salida ficticia en FY2027e). Explicado en dcf.justificacion.inversion.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371 M de flujo libre medio en sus tres primeros años, frente a 174 M de media real en los tres últimos: justifica el salto (circulante, inversión, márgenes) o ajusta los supuestos. Explicación: El salto de 174 M a ≈370 M de flujo libre operativo viene de sumar PSS (≈1.150 M de ventas) y de que el FCFF no resta los intereses de los 1.600 M de deuda nueva, que van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(7,14) supone un 28,9 % anual desde 4,30 (FY2026): explícalo en valoracion.objetivo_12m.comentario o la confianza es baja. Explicación: El BPA base FY2028e (7,14) es ajustado (sin amortización de intangibles comprados), en la base del BPA publicado ajustado de FY2026 (5,29): crece un 16,2 % anual, y casi todo es la compra de PSS (+0,80 USD de guía). Frente al publicado (4,30) parece un 28,9 % porque mezcla bases.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dan amortización por trimestre); 2) presentaciones (solo beneficio antes de impuestos); 3) XBRL de los 10-Q (amortizaciones acumuladas, no trimestrales sin restar)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FY2022-FY2023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tres ejercicios); 2) XBRL companyfacts (sin dimensión de segmento en esos años); 3) 10-K FY2024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del tamaño de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notas de la empresa (solo el mercado direccionable); 2) presentaciones de Zebra (no cifran el mercado con el mismo perímetro); 3) resúmenes de estudios de pago (perímetros distintos, cifras no comprobables)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web de la empresa (no abierta); 3)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(no hay junta con voto de la clase A); 2) 8-K de la junta de diciembre de 2025 (votos de la clase B, 100 % familiares); 3) sin proxy en EDGAR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(sin dato en la consulta); 2) FINRA (no consultado por tiempo); 3) Nasdaq short interest (requiere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Elo y Vestcom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Zebra y de Avery Dennison (solo ventas y «margen similar»); 2) presentaciones de las operaciones (no publican el múltiplo); 3) prensa (estimaciones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del precio de PSS y su amortización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nota 17 (no completada); 2) 8-K del cierre (sin cifras); 3) notas de resultados (sin guía de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31-jul-2026 (cuentas auditadas, segmentos, deuda, hechos posteriores: compra de PSS; parte III: consejo, remuneración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https://www.sec.gov/Archives/edgar/data/746598/000074659826000044/brc-20260731.htm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Brady Corporation Reports 2026 Fourth Quarter and Record Full Year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https://www.sec.gov/Archives/edgar/data/746598/000074659826000043/exhibit991-financialsx2026.htm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Fiscal 2026 Informational Slides (8-K, anexo 99.3): series trimestrales FY23-FY26 y guía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https://www.sec.gov/Archives/edgar/data/746598/000074659826000043/f26q4conferencecallprese.htm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Brady Corp (CIK 746598): cuenta, balance y flujos FY2017-FY2026, amortización de intangibles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to Acquire Honeywell's Productivity Solutions and Services Business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https://www.sec.gov/Archives/edgar/data/746598/000074659826000014/exhibit991pressrelease-202.htm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compra de PSS y colocación privada de 800 M en bonos (5,43-5,90 %)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https://www.sec.gov/Archives/edgar/data/746598/000074659826000034/brc-20260803.htm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nuevo contrato de crédito de 1.000 M (préstamo de 500 M y línea de 500 M, vence en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https://www.sec.gov/Archives/edgar/data/746598/000074659826000030/brc-20260612.htm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Completes Transformational Acquisition of Honeywell Technologies' PSS Business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https://www.sec.gov/Archives/edgar/data/746598/000074659826000034/exhibit991-pressreleasex20.htm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 Plans to Acquire Gravotech Holding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https://www.sec.gov/Archives/edgar/data/746598/000074659824000012/exhibit991pressrelease.htm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completes acquisition of Gravotech (8-K, anexo 99.1): ventas y EBITDA previstos para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https://www.sec.gov/Archives/edgar/data/746598/000074659824000057/exhibit991-pressrelease.htm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Non-GAAP EPS of $1.50 beats by $0.16, revenue of $435.24M beats by $29.17M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https://seekingalpha.com/symbol/BRC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Increases Annual Dividend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https://www.sec.gov/Archives/edgar/data/746598/000074659826000043/exhibit992-dividendrelease.htm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Zebra Technologies to Acquire Elo (8-K, anexo 99.1): ventas de Elo de ≈400 M, crecimiento del 5-7 % a lo largo del ciclo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Zebra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https://www.sec.gov/Archives/edgar/data/877212/000110465925073878/tm2522351d1_ex99-1.htm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Zebra, Avery Dennison, Cognex, Datalogic, Sato, MSA, Halma, Fortive e IDEX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https://finance.yahoo.com/quote/ZBRA/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equipos de seguridad (comparables MSA, Halma, Fortive)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sectores/equipos-seguridad-2026-10-15.md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Avery Dennison Second Quarter 2021 Results (8-K, anexo 99.2): compra de Vestcom por 1.450 M, ≈400 M de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Avery Dennison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https://www.sec.gov/Archives/edgar/data/8818/000119312521226494/d186068dex992.htm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Announces CEO Transition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Brady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https://www.sec.gov/Archives/edgar/data/746598/000074659826000026/exhibit991pressrelease0608.htm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Brady Corp presentados entre el 15-oct-2025 y el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https://www.sec.gov/cgi-bin/browse-edgar?action=getcompany&amp;CIK=0000746598&amp;type=4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la clase A (15,0 %)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https://www.sec.gov/Archives/edgar/data/746598/000031506626001132/primary_doc.xml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(5,99 %) y Vanguard Capital Management (5,01 %)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https://www.sec.gov/Archives/edgar/data/746598/000210011926001356/primary_doc.xml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Neuberger Berman Group (4,5 %)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https://www.sec.gov/Archives/edgar/data/746598/000146510926000034/primary_doc.xml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BRC, SPY y XLI (precio, rango, volumen, rentabilidades, beta,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Brady y de los comparables (quoteSummary: estimaciones, objetivos,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$BRC (30 mensajes, may-oct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https://stocktwits.com/symbol/BRC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identificación industrial y captura de datos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sectores/identificacion-industrial-2026-10-15.md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89,5 %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la clase A sin voto (NYSE: BRC); la clase B, con todo el voto, no cotiza y cobra el mismo dividendo: acciones = 43,4 M de clase A + 3,5 M de clase B + ≈0,5 M de dilución = 47,4 M. Ejercicio a 31 de julio: «FY2026» va de agosto de 2025 a julio de 2026. Precio: cierre del 14-oct-2026 (la sesión del 15 no había cerrado). La compra de PSS (3-ago-2026) es posterior al último balance: el puente suma su precio (1.400 M) como deuda asimilada, y el 10-K no publica la asignación del precio ni cifras pro forma; el LTM pro forma suma a Brady las ventas (≈1.100 M) y el EBITDA (≈175 M, 1.400 M ÷ 8) de PSS de 2025 que dio la empresa (estimación propia con cifras publicadas). Segmentos solo de FY2024-FY2026 (el 10-K da tres años). Consenso de un solo proveedor con dos analistas. El BPA del objetivo a 12 meses es el ajustado de la empresa (sin amortización de intangibles comprados ni costes no recurrentes), porque la amortización de PSS aún no se conoce; la historia del PER va en la misma base.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Brady Corporation (BRC)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83,65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(70,57 – 99,29)</c:v>
                </c:pt>
                <c:pt idx="1">
                  <c:v>Precio objetivo de los analistas (109,00 – 111,00)</c:v>
                </c:pt>
                <c:pt idx="2">
                  <c:v>Comparables: PER NTM (114,40 – 155,87)</c:v>
                </c:pt>
                <c:pt idx="3">
                  <c:v>Transacciones precedentes (EV/ventas) (45,61 – 168,98)</c:v>
                </c:pt>
                <c:pt idx="4">
                  <c:v>DCF (WACC y g ± 0,5) (84,67 – 118,01)</c:v>
                </c:pt>
                <c:pt idx="5">
                  <c:v>Escenarios (bajista – alcista) (67,81 – 112,68)</c:v>
                </c:pt>
                <c:pt idx="6">
                  <c:v>DCF con la prima implícita del mercado (4,2 %)</c:v>
                </c:pt>
                <c:pt idx="7">
                  <c:v>Precio actual (83,65)</c:v>
                </c:pt>
              </c:strCache>
            </c:strRef>
          </c:cat>
          <c:val>
            <c:numRef>
              <c:f>Hoja1!$B$2:$B$9</c:f>
              <c:numCache>
                <c:formatCode>#,##0</c:formatCode>
                <c:ptCount val="8"/>
                <c:pt idx="0">
                  <c:v>70.57</c:v>
                </c:pt>
                <c:pt idx="1">
                  <c:v>109</c:v>
                </c:pt>
                <c:pt idx="2">
                  <c:v>114.4</c:v>
                </c:pt>
                <c:pt idx="3">
                  <c:v>45.61</c:v>
                </c:pt>
                <c:pt idx="4">
                  <c:v>84.67</c:v>
                </c:pt>
                <c:pt idx="5">
                  <c:v>67.81</c:v>
                </c:pt>
                <c:pt idx="6">
                  <c:v>108.39</c:v>
                </c:pt>
                <c:pt idx="7">
                  <c:v>83.23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(70,57 – 99,29)</c:v>
                </c:pt>
                <c:pt idx="1">
                  <c:v>Precio objetivo de los analistas (109,00 – 111,00)</c:v>
                </c:pt>
                <c:pt idx="2">
                  <c:v>Comparables: PER NTM (114,40 – 155,87)</c:v>
                </c:pt>
                <c:pt idx="3">
                  <c:v>Transacciones precedentes (EV/ventas) (45,61 – 168,98)</c:v>
                </c:pt>
                <c:pt idx="4">
                  <c:v>DCF (WACC y g ± 0,5) (84,67 – 118,01)</c:v>
                </c:pt>
                <c:pt idx="5">
                  <c:v>Escenarios (bajista – alcista) (67,81 – 112,68)</c:v>
                </c:pt>
                <c:pt idx="6">
                  <c:v>DCF con la prima implícita del mercado (4,2 %)</c:v>
                </c:pt>
                <c:pt idx="7">
                  <c:v>Precio actual (83,65)</c:v>
                </c:pt>
              </c:strCache>
            </c:strRef>
          </c:cat>
          <c:val>
            <c:numRef>
              <c:f>Hoja1!$C$2:$C$9</c:f>
              <c:numCache>
                <c:formatCode>#,##0</c:formatCode>
                <c:ptCount val="8"/>
                <c:pt idx="0">
                  <c:v>28.720000000000013</c:v>
                </c:pt>
                <c:pt idx="1">
                  <c:v>2</c:v>
                </c:pt>
                <c:pt idx="2">
                  <c:v>41.47</c:v>
                </c:pt>
                <c:pt idx="3">
                  <c:v>123.36999999999999</c:v>
                </c:pt>
                <c:pt idx="4">
                  <c:v>33.34</c:v>
                </c:pt>
                <c:pt idx="5">
                  <c:v>44.870000000000005</c:v>
                </c:pt>
                <c:pt idx="6">
                  <c:v>25.91000000000001</c:v>
                </c:pt>
                <c:pt idx="7">
                  <c:v>0.8399999999999892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Americas &amp; Asia</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886.5</c:v>
                </c:pt>
                <c:pt idx="1">
                  <c:v>993.7</c:v>
                </c:pt>
                <c:pt idx="2">
                  <c:v>1106.6</c:v>
                </c:pt>
              </c:numCache>
            </c:numRef>
          </c:val>
        </c:ser>
        <c:ser>
          <c:idx val="1"/>
          <c:order val="1"/>
          <c:tx>
            <c:strRef>
              <c:f>Hoja1!$C$1</c:f>
              <c:strCache>
                <c:ptCount val="1"/>
                <c:pt idx="0">
                  <c:v>Europe &amp; Australia</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454.9</c:v>
                </c:pt>
                <c:pt idx="1">
                  <c:v>519.9</c:v>
                </c:pt>
                <c:pt idx="2">
                  <c:v>554.9</c:v>
                </c:pt>
              </c:numCache>
            </c:numRef>
          </c:val>
        </c:ser>
        <c:ser>
          <c:idx val="2"/>
          <c:order val="2"/>
          <c:tx>
            <c:strRef>
              <c:f>Hoja1!$D$1</c:f>
              <c:strCache>
                <c:ptCount val="1"/>
                <c:pt idx="0">
                  <c:v>Costes centrales no asignados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Americas &amp; Asia</c:v>
                </c:pt>
                <c:pt idx="1">
                  <c:v>Europe &amp; Australia</c:v>
                </c:pt>
                <c:pt idx="2">
                  <c:v>Costes centrales no asignados</c:v>
                </c:pt>
              </c:strCache>
            </c:strRef>
          </c:cat>
          <c:val>
            <c:numRef>
              <c:f>Hoja1!$B$2:$B$4</c:f>
              <c:numCache>
                <c:formatCode>General</c:formatCode>
                <c:ptCount val="3"/>
                <c:pt idx="0">
                  <c:v>66.6</c:v>
                </c:pt>
                <c:pt idx="1">
                  <c:v>33.4</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Europa</c:v>
                </c:pt>
                <c:pt idx="2">
                  <c:v>Asia</c:v>
                </c:pt>
                <c:pt idx="3">
                  <c:v>Australia</c:v>
                </c:pt>
              </c:strCache>
            </c:strRef>
          </c:cat>
          <c:val>
            <c:numRef>
              <c:f>Hoja1!$B$2:$B$5</c:f>
              <c:numCache>
                <c:formatCode>0"%"</c:formatCode>
                <c:ptCount val="4"/>
                <c:pt idx="0">
                  <c:v>57.5</c:v>
                </c:pt>
                <c:pt idx="1">
                  <c:v>29.8</c:v>
                </c:pt>
                <c:pt idx="2">
                  <c:v>9.1</c:v>
                </c:pt>
                <c:pt idx="3">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2031e</c:v>
                </c:pt>
              </c:strCache>
            </c:strRef>
          </c:cat>
          <c:val>
            <c:numRef>
              <c:f>Hoja1!$B$2:$B$3</c:f>
              <c:numCache>
                <c:formatCode>#,##0</c:formatCode>
                <c:ptCount val="2"/>
                <c:pt idx="0">
                  <c:v>14000</c:v>
                </c:pt>
                <c:pt idx="1">
                  <c:v>16700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Brady</c:v>
                </c:pt>
                <c:pt idx="1">
                  <c:v>Zebra Technologies</c:v>
                </c:pt>
                <c:pt idx="2">
                  <c:v>Avery Dennison</c:v>
                </c:pt>
                <c:pt idx="3">
                  <c:v>Cognex</c:v>
                </c:pt>
                <c:pt idx="4">
                  <c:v>Datalogic</c:v>
                </c:pt>
                <c:pt idx="5">
                  <c:v>SATO Holdings</c:v>
                </c:pt>
                <c:pt idx="6">
                  <c:v>HellermannTyton (Aptiv) y Panduit</c:v>
                </c:pt>
              </c:strCache>
            </c:strRef>
          </c:cat>
          <c:val>
            <c:numRef>
              <c:f>Hoja1!$B$2:$B$8</c:f>
              <c:numCache>
                <c:formatCode>0.0"%"</c:formatCode>
                <c:ptCount val="7"/>
                <c:pt idx="0">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strCache>
            </c:strRef>
          </c:cat>
          <c:val>
            <c:numRef>
              <c:f>Hoja1!$B$2:$B$17</c:f>
              <c:numCache>
                <c:formatCode>#,##0</c:formatCode>
                <c:ptCount val="16"/>
                <c:pt idx="0">
                  <c:v>1113.3</c:v>
                </c:pt>
                <c:pt idx="1">
                  <c:v>1173.9</c:v>
                </c:pt>
                <c:pt idx="2">
                  <c:v>1160.6</c:v>
                </c:pt>
                <c:pt idx="3">
                  <c:v>1081.3</c:v>
                </c:pt>
                <c:pt idx="4">
                  <c:v>1144.7</c:v>
                </c:pt>
                <c:pt idx="5">
                  <c:v>1302.1</c:v>
                </c:pt>
                <c:pt idx="6">
                  <c:v>1331.9</c:v>
                </c:pt>
                <c:pt idx="7">
                  <c:v>1341.4</c:v>
                </c:pt>
                <c:pt idx="8">
                  <c:v>1513.6</c:v>
                </c:pt>
                <c:pt idx="9">
                  <c:v>1661.6</c:v>
                </c:pt>
                <c:pt idx="10">
                  <c:v>2895</c:v>
                </c:pt>
                <c:pt idx="11">
                  <c:v>3019</c:v>
                </c:pt>
                <c:pt idx="12">
                  <c:v>3155</c:v>
                </c:pt>
                <c:pt idx="13">
                  <c:v>3281</c:v>
                </c:pt>
                <c:pt idx="14">
                  <c:v>3396</c:v>
                </c:pt>
                <c:pt idx="15">
                  <c:v>3498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strCache>
            </c:strRef>
          </c:cat>
          <c:val>
            <c:numRef>
              <c:f>Hoja1!$C$2:$C$17</c:f>
              <c:numCache>
                <c:formatCode>#,##0</c:formatCode>
                <c:ptCount val="16"/>
                <c:pt idx="0">
                  <c:v>158.3</c:v>
                </c:pt>
                <c:pt idx="1">
                  <c:v>178.1</c:v>
                </c:pt>
                <c:pt idx="2">
                  <c:v>186.2</c:v>
                </c:pt>
                <c:pt idx="3">
                  <c:v>161.4</c:v>
                </c:pt>
                <c:pt idx="4">
                  <c:v>192.6</c:v>
                </c:pt>
                <c:pt idx="5">
                  <c:v>227.2</c:v>
                </c:pt>
                <c:pt idx="6">
                  <c:v>257.6</c:v>
                </c:pt>
                <c:pt idx="7">
                  <c:v>273.3</c:v>
                </c:pt>
                <c:pt idx="8">
                  <c:v>300.7</c:v>
                </c:pt>
                <c:pt idx="9">
                  <c:v>350.2</c:v>
                </c:pt>
                <c:pt idx="10">
                  <c:v>475</c:v>
                </c:pt>
                <c:pt idx="11">
                  <c:v>540</c:v>
                </c:pt>
                <c:pt idx="12">
                  <c:v>580</c:v>
                </c:pt>
                <c:pt idx="13">
                  <c:v>617</c:v>
                </c:pt>
                <c:pt idx="14">
                  <c:v>645</c:v>
                </c:pt>
                <c:pt idx="15">
                  <c:v>665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50.1</c:v>
                </c:pt>
                <c:pt idx="1">
                  <c:v>50.1</c:v>
                </c:pt>
                <c:pt idx="2">
                  <c:v>49.9</c:v>
                </c:pt>
                <c:pt idx="3">
                  <c:v>48.9</c:v>
                </c:pt>
                <c:pt idx="4">
                  <c:v>49</c:v>
                </c:pt>
                <c:pt idx="5">
                  <c:v>48.5</c:v>
                </c:pt>
                <c:pt idx="6">
                  <c:v>49.4</c:v>
                </c:pt>
                <c:pt idx="7">
                  <c:v>51.3</c:v>
                </c:pt>
                <c:pt idx="8">
                  <c:v>50.3</c:v>
                </c:pt>
                <c:pt idx="9">
                  <c:v>51.8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14.2</c:v>
                </c:pt>
                <c:pt idx="1">
                  <c:v>15.2</c:v>
                </c:pt>
                <c:pt idx="2">
                  <c:v>16</c:v>
                </c:pt>
                <c:pt idx="3">
                  <c:v>14.9</c:v>
                </c:pt>
                <c:pt idx="4">
                  <c:v>16.8</c:v>
                </c:pt>
                <c:pt idx="5">
                  <c:v>17.4</c:v>
                </c:pt>
                <c:pt idx="6">
                  <c:v>19.3</c:v>
                </c:pt>
                <c:pt idx="7">
                  <c:v>20.4</c:v>
                </c:pt>
                <c:pt idx="8">
                  <c:v>19.9</c:v>
                </c:pt>
                <c:pt idx="9">
                  <c:v>21.1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11.8</c:v>
                </c:pt>
                <c:pt idx="1">
                  <c:v>13</c:v>
                </c:pt>
                <c:pt idx="2">
                  <c:v>14</c:v>
                </c:pt>
                <c:pt idx="3">
                  <c:v>12.8</c:v>
                </c:pt>
                <c:pt idx="4">
                  <c:v>14.6</c:v>
                </c:pt>
                <c:pt idx="5">
                  <c:v>14.8</c:v>
                </c:pt>
                <c:pt idx="6">
                  <c:v>16.9</c:v>
                </c:pt>
                <c:pt idx="7">
                  <c:v>18.1</c:v>
                </c:pt>
                <c:pt idx="8">
                  <c:v>17.2</c:v>
                </c:pt>
                <c:pt idx="9">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8.6</c:v>
                </c:pt>
                <c:pt idx="1">
                  <c:v>7.8</c:v>
                </c:pt>
                <c:pt idx="2">
                  <c:v>11.3</c:v>
                </c:pt>
                <c:pt idx="3">
                  <c:v>10.4</c:v>
                </c:pt>
                <c:pt idx="4">
                  <c:v>11.3</c:v>
                </c:pt>
                <c:pt idx="5">
                  <c:v>11.5</c:v>
                </c:pt>
                <c:pt idx="6">
                  <c:v>13.1</c:v>
                </c:pt>
                <c:pt idx="7">
                  <c:v>14.7</c:v>
                </c:pt>
                <c:pt idx="8">
                  <c:v>12.5</c:v>
                </c:pt>
                <c:pt idx="9">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13.6</c:v>
                </c:pt>
                <c:pt idx="1">
                  <c:v>10.5</c:v>
                </c:pt>
                <c:pt idx="2">
                  <c:v>11.7</c:v>
                </c:pt>
                <c:pt idx="3">
                  <c:v>15.7</c:v>
                </c:pt>
                <c:pt idx="4">
                  <c:v>7.4</c:v>
                </c:pt>
                <c:pt idx="5">
                  <c:v>7.6</c:v>
                </c:pt>
                <c:pt idx="6">
                  <c:v>13.6</c:v>
                </c:pt>
                <c:pt idx="7">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Hoja1!$C$2:$C$9</c:f>
              <c:numCache>
                <c:formatCode>0.0"%"</c:formatCode>
                <c:ptCount val="8"/>
                <c:pt idx="0">
                  <c:v>3.6</c:v>
                </c:pt>
                <c:pt idx="1">
                  <c:v>2.6</c:v>
                </c:pt>
                <c:pt idx="2">
                  <c:v>1.6</c:v>
                </c:pt>
                <c:pt idx="3">
                  <c:v>2.4</c:v>
                </c:pt>
                <c:pt idx="4">
                  <c:v>2.8</c:v>
                </c:pt>
                <c:pt idx="5">
                  <c:v>1.6</c:v>
                </c:pt>
                <c:pt idx="6">
                  <c:v>8.2</c:v>
                </c:pt>
                <c:pt idx="7">
                  <c:v>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49</c:v>
                </c:pt>
                <c:pt idx="1">
                  <c:v>50</c:v>
                </c:pt>
                <c:pt idx="2">
                  <c:v>50</c:v>
                </c:pt>
                <c:pt idx="3">
                  <c:v>49</c:v>
                </c:pt>
                <c:pt idx="4">
                  <c:v>54</c:v>
                </c:pt>
                <c:pt idx="5">
                  <c:v>51</c:v>
                </c:pt>
                <c:pt idx="6">
                  <c:v>51</c:v>
                </c:pt>
                <c:pt idx="7">
                  <c:v>50</c:v>
                </c:pt>
                <c:pt idx="8">
                  <c:v>56</c:v>
                </c:pt>
                <c:pt idx="9">
                  <c:v>57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70</c:v>
                </c:pt>
                <c:pt idx="1">
                  <c:v>70</c:v>
                </c:pt>
                <c:pt idx="2">
                  <c:v>75</c:v>
                </c:pt>
                <c:pt idx="3">
                  <c:v>90</c:v>
                </c:pt>
                <c:pt idx="4">
                  <c:v>85</c:v>
                </c:pt>
                <c:pt idx="5">
                  <c:v>103</c:v>
                </c:pt>
                <c:pt idx="6">
                  <c:v>96</c:v>
                </c:pt>
                <c:pt idx="7">
                  <c:v>85</c:v>
                </c:pt>
                <c:pt idx="8">
                  <c:v>97</c:v>
                </c:pt>
                <c:pt idx="9">
                  <c:v>103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44</c:v>
                </c:pt>
                <c:pt idx="1">
                  <c:v>41</c:v>
                </c:pt>
                <c:pt idx="2">
                  <c:v>41</c:v>
                </c:pt>
                <c:pt idx="3">
                  <c:v>41</c:v>
                </c:pt>
                <c:pt idx="4">
                  <c:v>51</c:v>
                </c:pt>
                <c:pt idx="5">
                  <c:v>44</c:v>
                </c:pt>
                <c:pt idx="6">
                  <c:v>43</c:v>
                </c:pt>
                <c:pt idx="7">
                  <c:v>47</c:v>
                </c:pt>
                <c:pt idx="8">
                  <c:v>51</c:v>
                </c:pt>
                <c:pt idx="9">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128.8</c:v>
                </c:pt>
                <c:pt idx="1">
                  <c:v>121.2</c:v>
                </c:pt>
                <c:pt idx="2">
                  <c:v>129.39999999999998</c:v>
                </c:pt>
                <c:pt idx="3">
                  <c:v>113.7</c:v>
                </c:pt>
                <c:pt idx="4">
                  <c:v>178.5</c:v>
                </c:pt>
                <c:pt idx="5">
                  <c:v>75.30000000000001</c:v>
                </c:pt>
                <c:pt idx="6">
                  <c:v>189.9</c:v>
                </c:pt>
                <c:pt idx="7">
                  <c:v>175.2</c:v>
                </c:pt>
                <c:pt idx="8">
                  <c:v>153.6</c:v>
                </c:pt>
                <c:pt idx="9">
                  <c:v>192.6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95.6</c:v>
                </c:pt>
                <c:pt idx="1">
                  <c:v>91.1</c:v>
                </c:pt>
                <c:pt idx="2">
                  <c:v>131.3</c:v>
                </c:pt>
                <c:pt idx="3">
                  <c:v>112.4</c:v>
                </c:pt>
                <c:pt idx="4">
                  <c:v>129.7</c:v>
                </c:pt>
                <c:pt idx="5">
                  <c:v>150</c:v>
                </c:pt>
                <c:pt idx="6">
                  <c:v>174.9</c:v>
                </c:pt>
                <c:pt idx="7">
                  <c:v>197.2</c:v>
                </c:pt>
                <c:pt idx="8">
                  <c:v>189.3</c:v>
                </c:pt>
                <c:pt idx="9">
                  <c:v>205.4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14.7</c:v>
                </c:pt>
                <c:pt idx="1">
                  <c:v>14.1</c:v>
                </c:pt>
                <c:pt idx="2">
                  <c:v>20.8</c:v>
                </c:pt>
                <c:pt idx="3">
                  <c:v>17.4</c:v>
                </c:pt>
                <c:pt idx="4">
                  <c:v>17.7</c:v>
                </c:pt>
                <c:pt idx="5">
                  <c:v>17.3</c:v>
                </c:pt>
                <c:pt idx="6">
                  <c:v>19.6</c:v>
                </c:pt>
                <c:pt idx="7">
                  <c:v>21.6</c:v>
                </c:pt>
                <c:pt idx="8">
                  <c:v>20.5</c:v>
                </c:pt>
                <c:pt idx="9">
                  <c:v>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9.1</c:v>
                </c:pt>
                <c:pt idx="1">
                  <c:v>9.1</c:v>
                </c:pt>
                <c:pt idx="2">
                  <c:v>9.1</c:v>
                </c:pt>
                <c:pt idx="3">
                  <c:v>9.1</c:v>
                </c:pt>
                <c:pt idx="4">
                  <c:v>9.1</c:v>
                </c:pt>
                <c:pt idx="5">
                  <c:v>9.1</c:v>
                </c:pt>
                <c:pt idx="6">
                  <c:v>9.1</c:v>
                </c:pt>
                <c:pt idx="7">
                  <c:v>9.1</c:v>
                </c:pt>
                <c:pt idx="8">
                  <c:v>9.1</c:v>
                </c:pt>
                <c:pt idx="9">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13.7</c:v>
                </c:pt>
                <c:pt idx="1">
                  <c:v>12.5</c:v>
                </c:pt>
                <c:pt idx="2">
                  <c:v>16.4</c:v>
                </c:pt>
                <c:pt idx="3">
                  <c:v>13.1</c:v>
                </c:pt>
                <c:pt idx="4">
                  <c:v>14.2</c:v>
                </c:pt>
                <c:pt idx="5">
                  <c:v>16</c:v>
                </c:pt>
                <c:pt idx="6">
                  <c:v>18.4</c:v>
                </c:pt>
                <c:pt idx="7">
                  <c:v>19.2</c:v>
                </c:pt>
                <c:pt idx="8">
                  <c:v>16.8</c:v>
                </c:pt>
                <c:pt idx="9">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-0.16</c:v>
                </c:pt>
                <c:pt idx="1">
                  <c:v>-0.72</c:v>
                </c:pt>
                <c:pt idx="2">
                  <c:v>-1.23</c:v>
                </c:pt>
                <c:pt idx="3">
                  <c:v>-1.35</c:v>
                </c:pt>
                <c:pt idx="4">
                  <c:v>-0.57</c:v>
                </c:pt>
                <c:pt idx="5">
                  <c:v>-0.08</c:v>
                </c:pt>
                <c:pt idx="6">
                  <c:v>-0.4</c:v>
                </c:pt>
                <c:pt idx="7">
                  <c:v>-0.58</c:v>
                </c:pt>
                <c:pt idx="8">
                  <c:v>-0.25</c:v>
                </c:pt>
                <c:pt idx="9">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c:v>
                </c:pt>
                <c:pt idx="1">
                  <c:v>FY2028</c:v>
                </c:pt>
                <c:pt idx="2">
                  <c:v>FY2029</c:v>
                </c:pt>
                <c:pt idx="3">
                  <c:v>FY2030</c:v>
                </c:pt>
                <c:pt idx="4">
                  <c:v>FY2031</c:v>
                </c:pt>
                <c:pt idx="5">
                  <c:v>FY2032</c:v>
                </c:pt>
                <c:pt idx="6">
                  <c:v>FY2034+</c:v>
                </c:pt>
              </c:strCache>
            </c:strRef>
          </c:cat>
          <c:val>
            <c:numRef>
              <c:f>Hoja1!$B$2:$B$8</c:f>
              <c:numCache>
                <c:formatCode>#,##0</c:formatCode>
                <c:ptCount val="7"/>
                <c:pt idx="0">
                  <c:v>25</c:v>
                </c:pt>
                <c:pt idx="1">
                  <c:v>25</c:v>
                </c:pt>
                <c:pt idx="2">
                  <c:v>25</c:v>
                </c:pt>
                <c:pt idx="3">
                  <c:v>25</c:v>
                </c:pt>
                <c:pt idx="4">
                  <c:v>715</c:v>
                </c:pt>
                <c:pt idx="5">
                  <c:v>250</c:v>
                </c:pt>
                <c:pt idx="6">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244</c:v>
                </c:pt>
                <c:pt idx="5">
                  <c:v>0</c:v>
                </c:pt>
                <c:pt idx="6">
                  <c:v>0</c:v>
                </c:pt>
                <c:pt idx="7">
                  <c:v>0</c:v>
                </c:pt>
                <c:pt idx="8">
                  <c:v>144.5</c:v>
                </c:pt>
                <c:pt idx="9">
                  <c:v>17.4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41.9</c:v>
                </c:pt>
                <c:pt idx="1">
                  <c:v>42.9</c:v>
                </c:pt>
                <c:pt idx="2">
                  <c:v>44.7</c:v>
                </c:pt>
                <c:pt idx="3">
                  <c:v>45.8</c:v>
                </c:pt>
                <c:pt idx="4">
                  <c:v>45.7</c:v>
                </c:pt>
                <c:pt idx="5">
                  <c:v>45.9</c:v>
                </c:pt>
                <c:pt idx="6">
                  <c:v>45.4</c:v>
                </c:pt>
                <c:pt idx="7">
                  <c:v>45.1</c:v>
                </c:pt>
                <c:pt idx="8">
                  <c:v>45.5</c:v>
                </c:pt>
                <c:pt idx="9">
                  <c:v>46.1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c:v>
                </c:pt>
                <c:pt idx="1">
                  <c:v>1.5</c:v>
                </c:pt>
                <c:pt idx="2">
                  <c:v>3.2</c:v>
                </c:pt>
                <c:pt idx="3">
                  <c:v>64.5</c:v>
                </c:pt>
                <c:pt idx="4">
                  <c:v>3.6</c:v>
                </c:pt>
                <c:pt idx="5">
                  <c:v>109.2</c:v>
                </c:pt>
                <c:pt idx="6">
                  <c:v>75</c:v>
                </c:pt>
                <c:pt idx="7">
                  <c:v>72.2</c:v>
                </c:pt>
                <c:pt idx="8">
                  <c:v>50.8</c:v>
                </c:pt>
                <c:pt idx="9">
                  <c:v>42.2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5</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Fideicomiso EBL GST Non-Exempt Stock B (familia Brady; Elizabeth P. Bruno)</c:v>
                </c:pt>
                <c:pt idx="1">
                  <c:v>William H. Brady III Living Trust (familia Brady)</c:v>
                </c:pt>
                <c:pt idx="2">
                  <c:v>FMR LLC (Fidelity)</c:v>
                </c:pt>
                <c:pt idx="3">
                  <c:v>Vanguard (Portfolio Management 5,99 % y Capital Management 5,01 %)</c:v>
                </c:pt>
                <c:pt idx="4">
                  <c:v>Neuberger Berman Group</c:v>
                </c:pt>
                <c:pt idx="5">
                  <c:v>Elizabeth P. Bruno (directa y fideicomisos)</c:v>
                </c:pt>
                <c:pt idx="6">
                  <c:v>Autocartera</c:v>
                </c:pt>
              </c:strCache>
            </c:strRef>
          </c:cat>
          <c:val>
            <c:numRef>
              <c:f>Hoja1!$B$2:$B$8</c:f>
              <c:numCache>
                <c:formatCode>0.0"%"</c:formatCode>
                <c:ptCount val="7"/>
                <c:pt idx="0">
                  <c:v>50</c:v>
                </c:pt>
                <c:pt idx="1">
                  <c:v>50</c:v>
                </c:pt>
                <c:pt idx="2">
                  <c:v>15</c:v>
                </c:pt>
                <c:pt idx="3">
                  <c:v>11</c:v>
                </c:pt>
                <c:pt idx="4">
                  <c:v>4.5</c:v>
                </c:pt>
                <c:pt idx="5">
                  <c:v>2.1</c:v>
                </c:pt>
                <c:pt idx="6">
                  <c:v>15.4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68.3</c:v>
                </c:pt>
                <c:pt idx="1">
                  <c:v>3.2</c:v>
                </c:pt>
                <c:pt idx="2">
                  <c:v>17.1</c:v>
                </c:pt>
                <c:pt idx="3">
                  <c:v>34.1</c:v>
                </c:pt>
                <c:pt idx="4">
                  <c:v>-6</c:v>
                </c:pt>
                <c:pt idx="5">
                  <c:v>3.7</c:v>
                </c:pt>
                <c:pt idx="6">
                  <c:v>-10.9</c:v>
                </c:pt>
                <c:pt idx="7">
                  <c:v>26.9</c:v>
                </c:pt>
                <c:pt idx="8">
                  <c:v>27.7</c:v>
                </c:pt>
                <c:pt idx="9">
                  <c:v>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10.7</c:v>
                </c:pt>
                <c:pt idx="1">
                  <c:v>10.6</c:v>
                </c:pt>
                <c:pt idx="2">
                  <c:v>13.6</c:v>
                </c:pt>
                <c:pt idx="3">
                  <c:v>13.8</c:v>
                </c:pt>
                <c:pt idx="4">
                  <c:v>14.3</c:v>
                </c:pt>
                <c:pt idx="5">
                  <c:v>10.8</c:v>
                </c:pt>
                <c:pt idx="6">
                  <c:v>9.6</c:v>
                </c:pt>
                <c:pt idx="7">
                  <c:v>12.1</c:v>
                </c:pt>
                <c:pt idx="8">
                  <c:v>11</c:v>
                </c:pt>
                <c:pt idx="9">
                  <c:v>12.4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11.6</c:v>
                </c:pt>
                <c:pt idx="1">
                  <c:v>11.6</c:v>
                </c:pt>
                <c:pt idx="2">
                  <c:v>11.6</c:v>
                </c:pt>
                <c:pt idx="3">
                  <c:v>11.6</c:v>
                </c:pt>
                <c:pt idx="4">
                  <c:v>11.6</c:v>
                </c:pt>
                <c:pt idx="5">
                  <c:v>11.6</c:v>
                </c:pt>
                <c:pt idx="6">
                  <c:v>11.6</c:v>
                </c:pt>
                <c:pt idx="7">
                  <c:v>11.6</c:v>
                </c:pt>
                <c:pt idx="8">
                  <c:v>11.6</c:v>
                </c:pt>
                <c:pt idx="9">
                  <c:v>11.6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Brady</c:v>
                </c:pt>
                <c:pt idx="1">
                  <c:v>Zebra Technologies</c:v>
                </c:pt>
                <c:pt idx="2">
                  <c:v>Avery Dennison</c:v>
                </c:pt>
                <c:pt idx="3">
                  <c:v>Cognex</c:v>
                </c:pt>
                <c:pt idx="4">
                  <c:v>Datalogic</c:v>
                </c:pt>
                <c:pt idx="5">
                  <c:v>SATO Holdings</c:v>
                </c:pt>
                <c:pt idx="6">
                  <c:v>MSA Safety</c:v>
                </c:pt>
                <c:pt idx="7">
                  <c:v>Halma</c:v>
                </c:pt>
                <c:pt idx="8">
                  <c:v>Fortive</c:v>
                </c:pt>
                <c:pt idx="9">
                  <c:v>IDEX</c:v>
                </c:pt>
              </c:strCache>
            </c:strRef>
          </c:cat>
          <c:val>
            <c:numRef>
              <c:f>Hoja1!$B$2:$B$11</c:f>
              <c:numCache>
                <c:formatCode>0.0"x"</c:formatCode>
                <c:ptCount val="10"/>
                <c:pt idx="1">
                  <c:v>15.6</c:v>
                </c:pt>
                <c:pt idx="2">
                  <c:v>10.6</c:v>
                </c:pt>
                <c:pt idx="3">
                  <c:v>30.4</c:v>
                </c:pt>
                <c:pt idx="4">
                  <c:v>10.9</c:v>
                </c:pt>
                <c:pt idx="5">
                  <c:v>4.5</c:v>
                </c:pt>
                <c:pt idx="6">
                  <c:v>12.5</c:v>
                </c:pt>
                <c:pt idx="7">
                  <c:v>18.4</c:v>
                </c:pt>
                <c:pt idx="8">
                  <c:v>15.9</c:v>
                </c:pt>
                <c:pt idx="9">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Zebra Technologies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11.8</c:v>
                </c:pt>
              </c:numCache>
            </c:numRef>
          </c:xVal>
          <c:yVal>
            <c:numRef>
              <c:f>Hoja1!$C$2</c:f>
              <c:numCache>
                <c:formatCode>0.0"x"</c:formatCode>
                <c:ptCount val="1"/>
                <c:pt idx="0">
                  <c:v>15.6</c:v>
                </c:pt>
              </c:numCache>
            </c:numRef>
          </c:yVal>
          <c:smooth val="0"/>
        </c:ser>
        <c:ser>
          <c:idx val="1"/>
          <c:order val="1"/>
          <c:tx>
            <c:strRef>
              <c:f>Hoja1!$A$3</c:f>
              <c:strCache>
                <c:ptCount val="1"/>
                <c:pt idx="0">
                  <c:v>Avery Dennison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3.6</c:v>
                </c:pt>
              </c:numCache>
            </c:numRef>
          </c:xVal>
          <c:yVal>
            <c:numRef>
              <c:f>Hoja1!$C$3</c:f>
              <c:numCache>
                <c:formatCode>0.0"x"</c:formatCode>
                <c:ptCount val="1"/>
                <c:pt idx="0">
                  <c:v>10.6</c:v>
                </c:pt>
              </c:numCache>
            </c:numRef>
          </c:yVal>
          <c:smooth val="0"/>
        </c:ser>
        <c:ser>
          <c:idx val="2"/>
          <c:order val="2"/>
          <c:tx>
            <c:strRef>
              <c:f>Hoja1!$A$4</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14.4</c:v>
                </c:pt>
              </c:numCache>
            </c:numRef>
          </c:xVal>
          <c:yVal>
            <c:numRef>
              <c:f>Hoja1!$C$4</c:f>
              <c:numCache>
                <c:formatCode>0.0"x"</c:formatCode>
                <c:ptCount val="1"/>
                <c:pt idx="0">
                  <c:v>30.4</c:v>
                </c:pt>
              </c:numCache>
            </c:numRef>
          </c:yVal>
          <c:smooth val="0"/>
        </c:ser>
        <c:ser>
          <c:idx val="3"/>
          <c:order val="3"/>
          <c:tx>
            <c:strRef>
              <c:f>Hoja1!$A$5</c:f>
              <c:strCache>
                <c:ptCount val="1"/>
                <c:pt idx="0">
                  <c:v>Datalogic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6.8</c:v>
                </c:pt>
              </c:numCache>
            </c:numRef>
          </c:xVal>
          <c:yVal>
            <c:numRef>
              <c:f>Hoja1!$C$5</c:f>
              <c:numCache>
                <c:formatCode>0.0"x"</c:formatCode>
                <c:ptCount val="1"/>
                <c:pt idx="0">
                  <c:v>10.9</c:v>
                </c:pt>
              </c:numCache>
            </c:numRef>
          </c:yVal>
          <c:smooth val="0"/>
        </c:ser>
        <c:ser>
          <c:idx val="4"/>
          <c:order val="4"/>
          <c:tx>
            <c:strRef>
              <c:f>Hoja1!$A$6</c:f>
              <c:strCache>
                <c:ptCount val="1"/>
                <c:pt idx="0">
                  <c:v>SATO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2.2</c:v>
                </c:pt>
              </c:numCache>
            </c:numRef>
          </c:xVal>
          <c:yVal>
            <c:numRef>
              <c:f>Hoja1!$C$6</c:f>
              <c:numCache>
                <c:formatCode>0.0"x"</c:formatCode>
                <c:ptCount val="1"/>
                <c:pt idx="0">
                  <c:v>4.5</c:v>
                </c:pt>
              </c:numCache>
            </c:numRef>
          </c:yVal>
          <c:smooth val="0"/>
        </c:ser>
        <c:ser>
          <c:idx val="5"/>
          <c:order val="5"/>
          <c:tx>
            <c:strRef>
              <c:f>Hoja1!$A$7</c:f>
              <c:strCache>
                <c:ptCount val="1"/>
                <c:pt idx="0">
                  <c:v>MSA Safety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14.8</c:v>
                </c:pt>
              </c:numCache>
            </c:numRef>
          </c:xVal>
          <c:yVal>
            <c:numRef>
              <c:f>Hoja1!$C$7</c:f>
              <c:numCache>
                <c:formatCode>0.0"x"</c:formatCode>
                <c:ptCount val="1"/>
                <c:pt idx="0">
                  <c:v>12.5</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21.3</c:v>
                </c:pt>
              </c:numCache>
            </c:numRef>
          </c:xVal>
          <c:yVal>
            <c:numRef>
              <c:f>Hoja1!$C$8</c:f>
              <c:numCache>
                <c:formatCode>0.0"x"</c:formatCode>
                <c:ptCount val="1"/>
                <c:pt idx="0">
                  <c:v>18.4</c:v>
                </c:pt>
              </c:numCache>
            </c:numRef>
          </c:yVal>
          <c:smooth val="0"/>
        </c:ser>
        <c:ser>
          <c:idx val="7"/>
          <c:order val="7"/>
          <c:tx>
            <c:strRef>
              <c:f>Hoja1!$A$9</c:f>
              <c:strCache>
                <c:ptCount val="1"/>
                <c:pt idx="0">
                  <c:v>Fortive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4.3</c:v>
                </c:pt>
              </c:numCache>
            </c:numRef>
          </c:xVal>
          <c:yVal>
            <c:numRef>
              <c:f>Hoja1!$C$9</c:f>
              <c:numCache>
                <c:formatCode>0.0"x"</c:formatCode>
                <c:ptCount val="1"/>
                <c:pt idx="0">
                  <c:v>15.9</c:v>
                </c:pt>
              </c:numCache>
            </c:numRef>
          </c:yVal>
          <c:smooth val="0"/>
        </c:ser>
        <c:ser>
          <c:idx val="8"/>
          <c:order val="8"/>
          <c:tx>
            <c:strRef>
              <c:f>Hoja1!$A$10</c:f>
              <c:strCache>
                <c:ptCount val="1"/>
                <c:pt idx="0">
                  <c:v>IDEX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7.9</c:v>
                </c:pt>
              </c:numCache>
            </c:numRef>
          </c:xVal>
          <c:yVal>
            <c:numRef>
              <c:f>Hoja1!$C$10</c:f>
              <c:numCache>
                <c:formatCode>0.0"x"</c:formatCode>
                <c:ptCount val="1"/>
                <c:pt idx="0">
                  <c:v>18.1</c:v>
                </c:pt>
              </c:numCache>
            </c:numRef>
          </c:yVal>
          <c:smooth val="0"/>
        </c:ser>
        <c:axId val="10"/>
        <c:axId val="20"/>
      </c:scatterChart>
      <c:valAx>
        <c:axId val="10"/>
        <c:scaling>
          <c:orientation val="minMax"/>
          <c:max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Productivity Solutions and Services (Honeywell)</c:v>
                </c:pt>
                <c:pt idx="1">
                  <c:v>Elo Touch Solutions</c:v>
                </c:pt>
                <c:pt idx="2">
                  <c:v>Gravotech Holding</c:v>
                </c:pt>
                <c:pt idx="3">
                  <c:v>Vestcom</c:v>
                </c:pt>
              </c:strCache>
            </c:strRef>
          </c:cat>
          <c:val>
            <c:numRef>
              <c:f>Hoja1!$B$2:$B$5</c:f>
              <c:numCache>
                <c:formatCode>0.0"x"</c:formatCode>
                <c:ptCount val="4"/>
                <c:pt idx="0">
                  <c:v>8</c:v>
                </c:pt>
                <c:pt idx="2">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FY2027e</c:v>
                </c:pt>
                <c:pt idx="1">
                  <c:v>FY2028e</c:v>
                </c:pt>
                <c:pt idx="2">
                  <c:v>FY2029e</c:v>
                </c:pt>
                <c:pt idx="3">
                  <c:v>FY2030e</c:v>
                </c:pt>
                <c:pt idx="4">
                  <c:v>FY2031e</c:v>
                </c:pt>
                <c:pt idx="5">
                  <c:v>FY2032e</c:v>
                </c:pt>
              </c:strCache>
            </c:strRef>
          </c:cat>
          <c:val>
            <c:numRef>
              <c:f>Hoja1!$B$2:$B$7</c:f>
              <c:numCache>
                <c:formatCode>#,##0</c:formatCode>
                <c:ptCount val="6"/>
                <c:pt idx="0">
                  <c:v>335</c:v>
                </c:pt>
                <c:pt idx="1">
                  <c:v>379</c:v>
                </c:pt>
                <c:pt idx="2">
                  <c:v>400</c:v>
                </c:pt>
                <c:pt idx="3">
                  <c:v>419</c:v>
                </c:pt>
                <c:pt idx="4">
                  <c:v>432</c:v>
                </c:pt>
                <c:pt idx="5">
                  <c:v>439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1809</c:v>
                </c:pt>
                <c:pt idx="1">
                  <c:v>4103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83,65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67.81</c:v>
                </c:pt>
                <c:pt idx="1">
                  <c:v>98.84</c:v>
                </c:pt>
                <c:pt idx="2">
                  <c:v>112.68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83,65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(70,57 – 99,29)</c:v>
                </c:pt>
                <c:pt idx="1">
                  <c:v>Precio objetivo de los analistas (109,00 – 111,00)</c:v>
                </c:pt>
                <c:pt idx="2">
                  <c:v>Comparables: PER NTM (114,40 – 155,87)</c:v>
                </c:pt>
                <c:pt idx="3">
                  <c:v>Transacciones precedentes (EV/ventas) (45,61 – 168,98)</c:v>
                </c:pt>
                <c:pt idx="4">
                  <c:v>DCF (WACC y g ± 0,5) (84,67 – 118,01)</c:v>
                </c:pt>
                <c:pt idx="5">
                  <c:v>Escenarios (bajista – alcista) (67,81 – 112,68)</c:v>
                </c:pt>
                <c:pt idx="6">
                  <c:v>DCF con la prima implícita del mercado (4,2 %)</c:v>
                </c:pt>
                <c:pt idx="7">
                  <c:v>Precio actual (83,65)</c:v>
                </c:pt>
              </c:strCache>
            </c:strRef>
          </c:cat>
          <c:val>
            <c:numRef>
              <c:f>Hoja1!$B$2:$B$9</c:f>
              <c:numCache>
                <c:formatCode>#,##0</c:formatCode>
                <c:ptCount val="8"/>
                <c:pt idx="0">
                  <c:v>70.57</c:v>
                </c:pt>
                <c:pt idx="1">
                  <c:v>109</c:v>
                </c:pt>
                <c:pt idx="2">
                  <c:v>114.4</c:v>
                </c:pt>
                <c:pt idx="3">
                  <c:v>45.61</c:v>
                </c:pt>
                <c:pt idx="4">
                  <c:v>84.67</c:v>
                </c:pt>
                <c:pt idx="5">
                  <c:v>67.81</c:v>
                </c:pt>
                <c:pt idx="6">
                  <c:v>108.39</c:v>
                </c:pt>
                <c:pt idx="7">
                  <c:v>83.23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(70,57 – 99,29)</c:v>
                </c:pt>
                <c:pt idx="1">
                  <c:v>Precio objetivo de los analistas (109,00 – 111,00)</c:v>
                </c:pt>
                <c:pt idx="2">
                  <c:v>Comparables: PER NTM (114,40 – 155,87)</c:v>
                </c:pt>
                <c:pt idx="3">
                  <c:v>Transacciones precedentes (EV/ventas) (45,61 – 168,98)</c:v>
                </c:pt>
                <c:pt idx="4">
                  <c:v>DCF (WACC y g ± 0,5) (84,67 – 118,01)</c:v>
                </c:pt>
                <c:pt idx="5">
                  <c:v>Escenarios (bajista – alcista) (67,81 – 112,68)</c:v>
                </c:pt>
                <c:pt idx="6">
                  <c:v>DCF con la prima implícita del mercado (4,2 %)</c:v>
                </c:pt>
                <c:pt idx="7">
                  <c:v>Precio actual (83,65)</c:v>
                </c:pt>
              </c:strCache>
            </c:strRef>
          </c:cat>
          <c:val>
            <c:numRef>
              <c:f>Hoja1!$C$2:$C$9</c:f>
              <c:numCache>
                <c:formatCode>#,##0</c:formatCode>
                <c:ptCount val="8"/>
                <c:pt idx="0">
                  <c:v>28.720000000000013</c:v>
                </c:pt>
                <c:pt idx="1">
                  <c:v>2</c:v>
                </c:pt>
                <c:pt idx="2">
                  <c:v>41.47</c:v>
                </c:pt>
                <c:pt idx="3">
                  <c:v>123.36999999999999</c:v>
                </c:pt>
                <c:pt idx="4">
                  <c:v>33.34</c:v>
                </c:pt>
                <c:pt idx="5">
                  <c:v>44.870000000000005</c:v>
                </c:pt>
                <c:pt idx="6">
                  <c:v>25.91000000000001</c:v>
                </c:pt>
                <c:pt idx="7">
                  <c:v>0.8399999999999892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