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Lam Research Corporation</w:t>
      </w:r>
    </w:p>
    <w:p>
      <w:pPr>
        <w:spacing w:after="60"/>
        <w:rPr>
          <w:color w:val="52514E"/>
          <w:sz w:val="22"/>
          <w:szCs w:val="22"/>
        </w:rPr>
      </w:pPr>
      <w:r>
        <w:rPr>
          <w:color w:val="52514E"/>
          <w:sz w:val="22"/>
          <w:szCs w:val="22"/>
        </w:rPr>
        <w:t xml:space="preserve">LRCX · Nasdaq Global Select · ISIN US5128073062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260,81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242,78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-6,5 % (base +5,1 %)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141,65 USD · mercado 160,93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327.525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Lam Research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LRCX / US5128073062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 (SPY)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Semiconductores y equipos de semiconductores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Fremont, California · 1980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https://www.lamresearch.com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260,81 (21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135,50 – 438,50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1.255,8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327.525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323.823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2.790 M USD/día (3 meses)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242,78 USD</w:t>
      </w:r>
      <w:r>
        <w:t xml:space="preserve"> frente a 260,81 · Rentabilidad a 12 meses </w:t>
      </w:r>
      <w:r>
        <w:rPr>
          <w:b/>
          <w:bCs/>
        </w:rPr>
        <w:t xml:space="preserve">-6,5 % (base +5,1 %)</w:t>
      </w:r>
      <w:r>
        <w:t xml:space="preserve"> · Valor intrínseco 141,65 USD · con la prima implícita del mercado: 160,93 (-38,3 %) · Alcista / bajista -49,0 % / -75,1 %</w:t>
      </w:r>
    </w:p>
    <w:p>
      <w:pPr>
        <w:spacing w:after="100"/>
      </w:pPr>
      <w:r>
        <w:rPr>
          <w:b/>
        </w:rPr>
        <w:t xml:space="preserve">La recomendación y por qué.</w:t>
      </w:r>
      <w:r>
        <w:t xml:space="preserve"> Mantener, con convicción media, y no comprar: para quien no la tiene, la acción robusta es no entrar. El objetivo a 12 meses es de 242,78 USD (rentabilidad ponderada del −6,5 % y del base del +5,1 %, con el dividendo) y el valor intrínseco de 141,65 USD, un 45,7 % por debajo del precio de 260,81 USD. El objetivo medio de los analistas, 375,81 USD, queda por encima de nuestro alcista (331,10). La asimetría es mala: a 12 meses el alcista gana un 27 % y el bajista pierde un 64 %. La convicción es media porque las dos reglas coinciden; bajaría si el precio subiera por encima de 270,99 USD (la ponderada cruzaría el −10 % y sería Vender) y subiría si una caída lo acercara al valor intrínseco.</w:t>
      </w:r>
    </w:p>
    <w:p>
      <w:pPr>
        <w:spacing w:after="100"/>
      </w:pPr>
      <w:r>
        <w:rPr>
          <w:b/>
        </w:rPr>
        <w:t xml:space="preserve">El negocio.</w:t>
      </w:r>
      <w:r>
        <w:t xml:space="preserve"> Lam es la mejor empresa de su sector por rentabilidad: ROIC del 75 % frente a un WACC del 13,0 %, margen bruto del 52,3 % en el 1T FY27 y un foso de costes de cambio y base instalada que sostiene el negocio de soporte (30 % de las ventas) [1, 8]. La sostenibilidad del crecimiento es «Sí»: proyectamos un 9,9 % anual con una caída en FY2029e, por debajo de su 13,4 % histórico; el riesgo no es de calidad sino de ciclo y de China.</w:t>
      </w:r>
    </w:p>
    <w:p>
      <w:pPr>
        <w:spacing w:after="100"/>
      </w:pPr>
      <w:r>
        <w:rPr>
          <w:b/>
        </w:rPr>
        <w:t xml:space="preserve">Sector y ciclo.</w:t>
      </w:r>
      <w:r>
        <w:t xml:space="preserve"> El WFE vive su mayor expansión por la IA: más de 150.000 M USD en 2026 y más de 190.000 M en 2027 según Tokyo Electron [13]. Lam vendió 8.219 M USD en el 1T FY27 (+54 %), con récord de margen y BPA, y guía 8.600 ± 400 M para el 2T [8]. China vuelve al 35 % de las ventas [8]. Pero el sector siempre ha tenido caídas: −14,5 % de ventas en FY2024 y −56 % de la acción en 2022.</w:t>
      </w:r>
    </w:p>
    <w:p>
      <w:pPr>
        <w:spacing w:after="100"/>
      </w:pPr>
      <w:r>
        <w:rPr>
          <w:b/>
        </w:rPr>
        <w:t xml:space="preserve">Finanzas.</w:t>
      </w:r>
      <w:r>
        <w:t xml:space="preserve"> Caja de 7.437 M USD frente a 3.735 M de deuda a 27-sep, recompras de 1.025 M en el trimestre y dividendo subido un 27 % [8].</w:t>
      </w:r>
    </w:p>
    <w:p>
      <w:pPr>
        <w:spacing w:after="100"/>
      </w:pPr>
      <w:r>
        <w:rPr>
          <w:b/>
        </w:rPr>
        <w:t xml:space="preserve">Equipo y gobierno.</w:t>
      </w:r>
      <w:r>
        <w:t xml:space="preserve"> Equipo estable que bate su guía cinco trimestres seguidos; consejo independiente y sin accionista de control [8]. Restan las ventas de directivos (170 M USD sin compras) y la caída del apoyo a la remuneración (90,8 % en 2025) [21, 24].</w:t>
      </w:r>
    </w:p>
    <w:p>
      <w:pPr>
        <w:spacing w:after="100"/>
      </w:pPr>
      <w:r>
        <w:rPr>
          <w:b/>
        </w:rPr>
        <w:t xml:space="preserve">Valoración.</w:t>
      </w:r>
      <w:r>
        <w:t xml:space="preserve"> El DCF da 107,39 USD; para justificar el precio, las ventas tendrían que crecer un 24,8 % anual durante diez años, o el inversor aceptar una rentabilidad del 7,1 % con el bono al 5,1 %. Con la prima del mercado el valor objetivo sube a 160,93 USD, sin cerrar la distancia. Frente a sus rivales no está cara (PER de unas 27 veces, la mediana del grupo es 27,8), pero todo el sector cotiza en el percentil alto de su historia. A 12 meses el BPA crece mucho (10,96 USD en FY2028e) y el múltiplo vuelve hacia su mediana de 22,2 veces con el tope del 10 %: el base da 272,90 USD.</w:t>
      </w:r>
    </w:p>
    <w:p>
      <w:pPr>
        <w:spacing w:after="100"/>
      </w:pPr>
      <w:r>
        <w:rPr>
          <w:b/>
        </w:rPr>
        <w:t xml:space="preserve">Riesgos y catalizadores.</w:t>
      </w:r>
      <w:r>
        <w:t xml:space="preserve"> El mayor riesgo es el fin del ciclo de IA (bajista a 94,21 USD) y, después, más controles a China. Fuera de hora la acción cae un 4,5 % porque la guía del 2T solo va en línea con el consenso [41]; como la señal es Mantener, no cambia la decisión.</w:t>
      </w:r>
    </w:p>
    <w:p>
      <w:pPr>
        <w:spacing w:after="100"/>
      </w:pPr>
      <w:r>
        <w:rPr>
          <w:b/>
        </w:rPr>
        <w:t xml:space="preserve">Qué cambiaría la decisión.</w:t>
      </w:r>
      <w:r>
        <w:t xml:space="preserve"> Comprar por debajo de 141,65 USD; vender o reducir por encima de 270,99 USD. Una guía trimestral por debajo del trimestre anterior rompería la tesis del ciclo.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242,78 USD</w:t>
      </w:r>
      <w:r>
        <w:t xml:space="preserve"> (rentabilidad -6,5 % (base +5,1 %)) · Valor intrínseco: 141,65 USD (-45,7 % sobre 260,81) · con la prima implícita del mercado: 160,93 (-38,3 %)</w:t>
      </w:r>
    </w:p>
    <w:p>
      <w:pPr>
        <w:spacing w:after="100"/>
      </w:pPr>
      <w:r>
        <w:t xml:space="preserve">Lam Research fabrica las máquinas de grabado y deposición sin las que no se puede producir un chip de memoria o de lógica avanzada. Vendió 23.233 M USD en FY2026 (+26 %) y 8.219 M en el 1T FY27 (+54 %), con un margen operativo del 40,0 %, un ROIC del 75 % y caja neta [1, 8].</w:t>
      </w:r>
    </w:p>
    <w:p>
      <w:pPr>
        <w:spacing w:after="100"/>
      </w:pPr>
      <w:r>
        <w:t xml:space="preserve">El precio, 260,81 USD, descuenta mucho más que un buen ciclo. A 27,3 veces nuestro BPA de FY2027e, frente a una mediana adelantada de 22,2 veces, el DCF inverso pide un crecimiento del 24,8 % anual durante diez años o aceptar una rentabilidad del 7,1 %, apenas por encima del bono de EE. UU. Frente a Applied, KLA o ASM no está cara: todo el sector cotiza en máximos de múltiplo [29].</w:t>
      </w:r>
    </w:p>
    <w:p>
      <w:pPr>
        <w:spacing w:after="100"/>
      </w:pPr>
      <w:r>
        <w:t xml:space="preserve">El mercado acierta en la calidad y en el ciclo de 2026-2027, y nosotros también lo proyectamos (BPA de 9,54 USD en FY2027e y 10,96 en FY2028e). Discrepamos en el múltiplo y en la duración: el sector nunca ha encadenado más de tres años de crecimiento sin una caída, y en las caídas Lam ha cotizado a 12-17 veces.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242,78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 × 7,36 = 94,21 · 24,9x × 10,96 = 272,90 · 27,8x × 11,91 = 331,10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 / 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375,81 (nuestro base -27,4 %)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141,65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-49,0 % / -75,1 %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 frente a 13,0 % y 11,2 %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11,2 %)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160,93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(FY2027e-FY2036e)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24,8 % frente a 19,6 %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(9,9 %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141,65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141,65 y 270,99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270,99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141,65 USD, pasaríamos a Comprar.</w:t>
      </w:r>
    </w:p>
    <w:p>
      <w:pPr>
        <w:pStyle w:val="ListParagraph"/>
        <w:numPr>
          <w:ilvl w:val="0"/>
          <w:numId w:val="2"/>
        </w:numPr>
        <w:spacing w:after="60"/>
      </w:pPr>
      <w:r>
        <w:t xml:space="preserve">Si el precio sube por encima de 270,99 USD, la ponderada cae por debajo del −10 % y pasaríamos a Vender.</w:t>
      </w:r>
    </w:p>
    <w:p>
      <w:pPr>
        <w:pStyle w:val="ListParagraph"/>
        <w:numPr>
          <w:ilvl w:val="0"/>
          <w:numId w:val="2"/>
        </w:numPr>
        <w:spacing w:after="60"/>
      </w:pPr>
      <w:r>
        <w:t xml:space="preserve">Si una guía trimestral queda por debajo del trimestre anterior, rebajaríamos el base al bajista.</w:t>
      </w:r>
    </w:p>
    <w:p>
      <w:pPr>
        <w:pStyle w:val="ListParagraph"/>
        <w:numPr>
          <w:ilvl w:val="0"/>
          <w:numId w:val="2"/>
        </w:numPr>
        <w:spacing w:after="60"/>
      </w:pPr>
      <w:r>
        <w:t xml:space="preserve">Si se aprueban nuevos controles que corten las ventas a China a la mitad, recortaríamos el BPA un 10 %.</w:t>
      </w:r>
    </w:p>
    <w:p>
      <w:pPr>
        <w:pStyle w:val="Heading2"/>
      </w:pPr>
      <w:r>
        <w:t xml:space="preserve">Dónde discrepamos del mercado</w:t>
      </w:r>
    </w:p>
    <w:p>
      <w:pPr>
        <w:keepNext/>
        <w:spacing w:after="100"/>
      </w:pPr>
      <w:r>
        <w:rPr>
          <w:b/>
          <w:bCs/>
        </w:rPr>
        <w:t xml:space="preserve">Lo que descuenta el precio.</w:t>
      </w:r>
    </w:p>
    <w:p>
      <w:pPr>
        <w:spacing w:after="100"/>
      </w:pPr>
      <w:r>
        <w:t xml:space="preserve">Un ciclo de inversión en IA largo y sin caídas: el precio pide un crecimiento del 24,8 % anual durante diez años con nuestros márgenes, o una rentabilidad del 7,1 % para el accionista. El consenso pone el BPA en 9,49 y 11,94 USD en FY2027-FY2028 y un objetivo de 375,81 USD.</w:t>
      </w:r>
    </w:p>
    <w:p>
      <w:pPr>
        <w:keepNext/>
        <w:spacing w:after="100"/>
      </w:pPr>
      <w:r>
        <w:rPr>
          <w:b/>
          <w:bCs/>
        </w:rPr>
        <w:t xml:space="preserve">Lo que creemos nosotros.</w:t>
      </w:r>
    </w:p>
    <w:p>
      <w:pPr>
        <w:spacing w:after="100"/>
      </w:pPr>
      <w:r>
        <w:t xml:space="preserve">Compartimos el ciclo a corto plazo (BPA de 9,54 y 10,96 USD), pero no el múltiplo: tras un pico de ventas, el PER del sector vuelve a su mediana y en las caídas toca 12-17 veces. Incluimos una corrección moderada en FY2029e (−6 %).</w:t>
      </w:r>
    </w:p>
    <w:p>
      <w:pPr>
        <w:keepNext/>
        <w:spacing w:after="100"/>
      </w:pPr>
      <w:r>
        <w:rPr>
          <w:b/>
          <w:bCs/>
        </w:rPr>
        <w:t xml:space="preserve">Por qué podemos tener razón.</w:t>
      </w:r>
    </w:p>
    <w:p>
      <w:pPr>
        <w:spacing w:after="100"/>
      </w:pPr>
      <w:r>
        <w:t xml:space="preserve">Lam ha caído en ventas en FY2019 y FY2024 y en bolsa más de un 40 % tres veces en diez años [44]. Los compradores de equipos (memoria) son muy cíclicos y el capex de 2026 ya está en máximos. Con el bono al 5,1 %, una rentabilidad implícita del 7,1 % no compensa una beta de 1,9.</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60,8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Calidad excepcional</w:t>
      </w:r>
      <w:r>
        <w:t xml:space="preserve">: ROIC del 75 % y margen bruto del 52,3 % en el 1T FY27 [8].</w:t>
      </w:r>
    </w:p>
    <w:p>
      <w:pPr>
        <w:pStyle w:val="ListParagraph"/>
        <w:numPr>
          <w:ilvl w:val="0"/>
          <w:numId w:val="2"/>
        </w:numPr>
        <w:spacing w:after="60"/>
      </w:pPr>
      <w:r>
        <w:rPr>
          <w:b/>
        </w:rPr>
        <w:t xml:space="preserve">Ciclo fuerte y visible</w:t>
      </w:r>
      <w:r>
        <w:t xml:space="preserve">: 8.219 M USD en el 1T FY27 (+54 %) y guía de 8.600 M para el 2T [8].</w:t>
      </w:r>
    </w:p>
    <w:p>
      <w:pPr>
        <w:pStyle w:val="ListParagraph"/>
        <w:numPr>
          <w:ilvl w:val="0"/>
          <w:numId w:val="2"/>
        </w:numPr>
        <w:spacing w:after="60"/>
      </w:pPr>
      <w:r>
        <w:rPr>
          <w:b/>
        </w:rPr>
        <w:t xml:space="preserve">Tecnología a favor</w:t>
      </w:r>
      <w:r>
        <w:t xml:space="preserve">: más capas de NAND y nodos de 2 nm aumentan su mercado por oblea [7].</w:t>
      </w:r>
    </w:p>
    <w:p>
      <w:pPr>
        <w:pStyle w:val="ListParagraph"/>
        <w:numPr>
          <w:ilvl w:val="0"/>
          <w:numId w:val="2"/>
        </w:numPr>
        <w:spacing w:after="60"/>
      </w:pPr>
      <w:r>
        <w:rPr>
          <w:b/>
        </w:rPr>
        <w:t xml:space="preserve">Balance sólido</w:t>
      </w:r>
      <w:r>
        <w:t xml:space="preserve">: caja neta de 3.702 M USD a 27-sep y dividendo subido un 27 % [8].</w:t>
      </w:r>
    </w:p>
    <w:p>
      <w:pPr>
        <w:pStyle w:val="ListParagraph"/>
        <w:numPr>
          <w:ilvl w:val="0"/>
          <w:numId w:val="2"/>
        </w:numPr>
        <w:spacing w:after="60"/>
      </w:pPr>
      <w:r>
        <w:rPr>
          <w:b/>
        </w:rPr>
        <w:t xml:space="preserve">Dirección fiable</w:t>
      </w:r>
      <w:r>
        <w:t xml:space="preserve">: bate la guía de ventas y BPA cinco trimestres seguidos [8].</w:t>
      </w:r>
    </w:p>
    <w:p>
      <w:pPr>
        <w:pStyle w:val="Heading2"/>
      </w:pPr>
      <w:r>
        <w:t xml:space="preserve">En contra</w:t>
      </w:r>
    </w:p>
    <w:p>
      <w:pPr>
        <w:pStyle w:val="ListParagraph"/>
        <w:numPr>
          <w:ilvl w:val="0"/>
          <w:numId w:val="2"/>
        </w:numPr>
        <w:spacing w:after="60"/>
      </w:pPr>
      <w:r>
        <w:rPr>
          <w:b/>
        </w:rPr>
        <w:t xml:space="preserve">Precio exigente</w:t>
      </w:r>
      <w:r>
        <w:t xml:space="preserve">: el DCF da 107,39 USD; el precio pide un 24,8 % de crecimiento anual en diez años.</w:t>
      </w:r>
    </w:p>
    <w:p>
      <w:pPr>
        <w:pStyle w:val="ListParagraph"/>
        <w:numPr>
          <w:ilvl w:val="0"/>
          <w:numId w:val="2"/>
        </w:numPr>
        <w:spacing w:after="60"/>
      </w:pPr>
      <w:r>
        <w:rPr>
          <w:b/>
        </w:rPr>
        <w:t xml:space="preserve">Ciclo</w:t>
      </w:r>
      <w:r>
        <w:t xml:space="preserve">: el sector ha caído más de un 40 % tres veces en diez años; bajista a 12 meses de 94,21 USD.</w:t>
      </w:r>
    </w:p>
    <w:p>
      <w:pPr>
        <w:pStyle w:val="ListParagraph"/>
        <w:numPr>
          <w:ilvl w:val="0"/>
          <w:numId w:val="2"/>
        </w:numPr>
        <w:spacing w:after="60"/>
      </w:pPr>
      <w:r>
        <w:rPr>
          <w:b/>
        </w:rPr>
        <w:t xml:space="preserve">China</w:t>
      </w:r>
      <w:r>
        <w:t xml:space="preserve">: vuelve al 35 % de las ventas en el 1T FY27, bajo controles de exportación que pueden endurecerse [8].</w:t>
      </w:r>
    </w:p>
    <w:p>
      <w:pPr>
        <w:pStyle w:val="ListParagraph"/>
        <w:numPr>
          <w:ilvl w:val="0"/>
          <w:numId w:val="2"/>
        </w:numPr>
        <w:spacing w:after="60"/>
      </w:pPr>
      <w:r>
        <w:rPr>
          <w:b/>
        </w:rPr>
        <w:t xml:space="preserve">Clientes concentrados</w:t>
      </w:r>
      <w:r>
        <w:t xml:space="preserve">: cuatro clientes suman el 55 % de las ventas [1].</w:t>
      </w:r>
    </w:p>
    <w:p>
      <w:pPr>
        <w:pStyle w:val="ListParagraph"/>
        <w:numPr>
          <w:ilvl w:val="0"/>
          <w:numId w:val="2"/>
        </w:numPr>
        <w:spacing w:after="60"/>
      </w:pPr>
      <w:r>
        <w:rPr>
          <w:b/>
        </w:rPr>
        <w:t xml:space="preserve">Ventas de directivos</w:t>
      </w:r>
      <w:r>
        <w:t xml:space="preserve">: 170 M USD en 12 meses sin una sola compra [21].</w:t>
      </w:r>
    </w:p>
    <w:p>
      <w:pPr>
        <w:pStyle w:val="Heading2"/>
      </w:pPr>
      <w:r>
        <w:t xml:space="preserve">Qué tiene que pasar para que la tesis funcione</w:t>
      </w:r>
    </w:p>
    <w:p>
      <w:pPr>
        <w:spacing w:after="100"/>
      </w:pPr>
      <w:r>
        <w:t xml:space="preserve">La tesis depende de que el WFE no corrija antes de 2029 y de que el múltiplo no vuelva a su mediana. La señal de que no se cumple sería una guía trimestral por debajo del trimestre anterior, recortes del capex de 2027 de Samsung, SK hynix o Micron, o una caída del peso de la memoria en los sistemas. Vigilar también los días de cobro (84) y los controles de exportación en el Senado.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 de ventas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8.600 M USD (2T FY27)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trimestre anterior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el giro del ciclo.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52,3 % (1T FY27)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49 %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Poder de precio y mezcla.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China en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 (1T FY27)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15 % por controles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regulatorio.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memoria (NAND + DRAM) en sistemas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 (4T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memoria es el cliente más cíclico.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Días de cobro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100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Calidad del crecimiento de las ventas.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32,0x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38,9x / 25,4x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(FY2019-FY2026)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 · -0,4x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David Lam fundó la empresa en 1980 en Silicon Valley con un reactor de grabado por plasma automatizado. Salió a bolsa en el Nasdaq en 1984. La compra de Novellus en 2012 (unos 3.300 M USD en acciones) le dio la deposición y la convirtió en el n.º 2 del sector. En 2015 intentó comprar KLA por 10.600 M USD y renunció en 2016 por la oposición del Departamento de Justicia. Desde 2018 la dirige Tim Archer, que venía de Novellus. Con la memoria 3D NAND, el grabado de alta relación de aspecto se volvió crítico y Lam ganó peso. En 2024 desdobló la acción 10 por 1 y en 2026 vive el mayor ciclo de inversión de su historia por la IA [1,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por David Lam en Fremont (California); grabado por plasma.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Novellus: entra en deposición (CVD, ALD, galvanoplastia).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Renuncia a comprar KLA por la oposición del regulador antimonopolio.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Tim Archer, consejero delegado.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Controles de exportación de EE. UU. a China; FY2024 cae un 14,5 % con el ciclo de la memoria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Desdoblamiento 10 por 1 (2-oct-2024).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récord de 23.233 M USD (+26 %) por la inversión en IA; guía de 8.100 M USD para el 1T FY27, que batió con 8.219 M [1, 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Lam diseña y fabrica las máquinas que graban (quitan material con plasma) y depositan (añaden capas de pocos átomos) en las obleas de silicio, más equipos de limpieza. Son pasos que se repiten cientos de veces en cada chip: cuanto más capas tiene una memoria NAND o más complejo es un transistor de vanguardia, más pasos de Lam necesita. Vende a muy pocos clientes: los fabricantes de memoria (Samsung, SK hynix, Micron, Kioxia) y de lógica (TSMC, Intel, Samsung). En FY2026 cuatro clientes pesaron el 16 %, 15 %, 12 % y 12 % de las ventas [1]. El 64 % de las ventas son sistemas nuevos y el 36 % el negocio de soporte (CSBG): servicio, repuestos, mejoras y equipos para nodos maduros sobre una base instalada de cientos de miles de cámaras [1]. Tiene unos 23.300 empleados, un 26 % en I+D, y fábricas en EE. UU., Malasia, Corea e India [1].</w:t>
      </w:r>
    </w:p>
    <w:p>
      <w:pPr>
        <w:pStyle w:val="Heading2"/>
      </w:pPr>
      <w:r>
        <w:t xml:space="preserve">Cómo gana dinero</w:t>
      </w:r>
    </w:p>
    <w:p>
      <w:pPr>
        <w:spacing w:after="100"/>
      </w:pPr>
      <w:r>
        <w:t xml:space="preserve">Cobra cada máquina (varios millones de USD) cuando el cliente la acepta, y después cobra durante 10-20 años repuestos, servicio y mejoras. Los sistemas siguen el ciclo de inversión de los fabricantes de chips: en FY2024 cayeron con el parón de la memoria y en FY2026 subieron un 29,5 % [1]. El soporte es más estable (+20,2 % en FY2026) y amortigua las caídas. El margen depende del volumen (fábricas y I+D son en buena parte fijos), de la mezcla (la memoria y la vanguardia dejan más) y del precio: el margen bruto ha pasado del 44,6 % en FY2023 al 50,5 % en FY2026 y al 51,7 % en el 4T [1, 3]. El apalancamiento operativo es alto: con ventas +26 %, el resultado operativo subió un 39 % en FY2026.</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Sistemas (equipos nuevos de vanguardia)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Soporte al cliente (CSBG)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8.347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Sistemas (equipos nuevos de vanguardia)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Soporte al cliente (CSBG) y 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6.944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8.347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Concentración alta: cuatro clientes por encima del 10 % suman el 55 % de las ventas de FY2026 (en FY2025 eran dos, con el 32 %) y cinco tienen el 72 % de las cuentas por cobrar [1]. Son los grandes de la memoria y la fundición; ninguno puede prescindir de Lam en grabado de alta relación de aspecto, y la elección de proveedor se hace nodo a nodo, con años de calificación. El poder de precio se ve en el margen bruto: +590 pb en tres años con costes salariales al alza, y la dirección atribuye la mejora del 4T a «acciones de precio» [7]. China fue el 34 % de las ventas en FY2026 y FY2025 y el 42 % en FY2024; bajó al 26 % en el 4T FY26 y volvió al 35 % en el 1T FY27 [1, 8].</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China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(4T FY26); 34 % en FY2026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 (1T FY27)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pp en el trimestre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Vuelve a subir tras el 26 % del 4T FY26: el freno del gasto chino en nodos maduros no se ha prolongado [1, 3,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sistemas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3.548 M USD (1T FY26); 14.886 M USD en FY2026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5.733 M USD (1T FY27)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+61,6 % interanual; +34,9 % frente al 4T FY26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trimestral; equipos de vanguardia para memoria y fundición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soporte al cliente (CSBG)</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1.777 M USD (1T FY26); 8.347 M USD en FY2026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2.487 M USD (1T FY27)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 interanual; +0,6 % frente al 4T FY26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Plano frente al trimestre anterior: el empuje del 1T vino de sistemas; 30 % de las ventas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diferidos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2.430 M USD (jun-26)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2.660 M USD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468 M USD de envíos a Japón pendientes de aceptación (490 M en jun-26)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Mezcla de sistemas 4T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Fundición 54 %, DRAM 27 %, NAND 12 % (3T)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Fundición 44 %, DRAM 23 %, NAND 23 %, lógica 10 %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NAND × 2 en el trimestre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Conversiones a 256 capas o más [7]. El desglose del 1T FY27 se da en la conferencia, sin transcripción publicada a la fecha de corte.</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(GAAP)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51,7 % (4T FY26); guía 52,0 % ± 1 pp para el 1T FY27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52,3 % (1T FY27); guía 52,5 % ± 1 pp (2T FY27)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encima del punto medio de la guía; margen operativo GAAP 40,0 % (guía 39,5 %) [3,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Guía del 2T FY27 (trimestre a 27-dic-2026)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1T FY27: guía 8.100 ± 400 M USD y BPA 2,15 ± 0,15 USD; real 8.219 M USD y 2,19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Ingresos 8.600 ± 400 M USD; margen bruto 52,5 %; margen operativo 40,5 %; BPA 2,33 ± 0,15 USD; 1.253 M acciones diluidas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 de ingresos frente al 1T FY27 en el punto medio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1T FY27 cumplió por encima del punto medio de la guía y ligeramente por encima del consenso previo (BPA 2,17 USD, ingresos 8.100 M USD) [8, 9].</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equipos de fabricación de obleas (WFE), que SEMI cifra en unos 116.900 M USD en 2025 y prevé en 200.000 M USD en 2028 [10]; Lam espera la parte baja de 150.000 M USD en 2026 [7]. Lam compite en grabado, deposición y limpieza, que son algo más de un tercio del WFE; la litografía (ASML) y la inspección (KLA) no son su mercado pero compiten por el mismo presupuesto. Usamos el WFE total como perímetro porque es la cifra pública y la que da la empresa; la cuota de Lam sobre él (≈ 17 %) es estimación propia.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116.900 M USD de WFE en 2025 (SEMI) [10]; Lam espera la parte baja de 150.000 M USD en 2026 [7] y Tokyo Electron, más de 150.000 M en 2026 y más de 190.000 M en 2027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equipos de fabricación de obleas, WFE))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IA (memoria HBM y lógica de vanguardia)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WFE 2026 elevado a la parte baja de 150.000 M USD desde 140.000 M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Capas de NAND 3D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Lam espera duplicar su mercado por oblea de 128 a más de 500 capas; NAND pasó del 12 % al 23 % de los sistemas en un trimestre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Controles de exportación a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pasó del 43 % de las ventas (1T FY26) al 26 % (4T FY26) y volvió al 35 % en el 1T FY27 [3, 6, 8]: la exposición no se diluye; pausa de ventas a Hua Hong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la memoria y tipos de interés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FY2024: ventas −14,5 % con el parón de la memoria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 china (Naura, AMEC)</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Fabricantes locales con apoyo público que ganan cuota en China [1, 12].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Oligopolio: Applied, Lam, Tokyo Electron, KLA y ASML tienen la mayor parte del WFE; se compite por calificación nodo a nodo, no por precio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clientes pesan el 55 % de las ventas de Lam y deciden cuándo invierten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Componentes especializados (válvulas de VAT, MKS, Ultra Clean) con alternativas; Lam fabrica sus propias cámaras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de I+D (unos 2.000 M USD al año en Lam), patentes y años de calificación; la excepción es China, donde el Estado subvenciona a sus fabricantes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forma de fabricar chips sin grabar y depositar capas; cambian las técnicas, no la necesidad [1].</w:t>
            </w:r>
          </w:p>
        </w:tc>
      </w:tr>
    </w:tbl>
    <w:p>
      <w:pPr>
        <w:spacing w:after="160" w:before="0"/>
      </w:pPr>
    </w:p>
    <w:p>
      <w:pPr>
        <w:pStyle w:val="Heading2"/>
      </w:pPr>
      <w:r>
        <w:t xml:space="preserve">Ciclo</w:t>
      </w:r>
    </w:p>
    <w:p>
      <w:pPr>
        <w:spacing w:after="100"/>
      </w:pPr>
      <w:r>
        <w:t xml:space="preserve">Las ventas trimestrales de Lam han subido de 4.168 M USD (1T FY25) a 6.722 M (4T FY26) y 8.219 M (1T FY27), con guía de 8.600 M para el 2T [3, 8]; el WFE crece cerca de un 20 % anual hasta 2028 según SEMI [10]. El sector ha tenido caídas fuertes: Lam perdió un 14,5 % de ventas en FY2024 y la acción cayó un 40,7 % en 2022 y un 56 % de máximo a mínimo [27]. Estamos en la fase alta: la pregunta es cuánto dura, no si habrá una corrección.</w:t>
      </w:r>
    </w:p>
    <w:p>
      <w:pPr>
        <w:pStyle w:val="Heading2"/>
      </w:pPr>
      <w:r>
        <w:t xml:space="preserve">Regulación</w:t>
      </w:r>
    </w:p>
    <w:p>
      <w:pPr>
        <w:spacing w:after="100"/>
      </w:pPr>
      <w:r>
        <w:t xml:space="preserve">Los controles de exportación de EE. UU. (2022, 2023, 2024 y ampliaciones posteriores) exigen licencias para vender equipos y repuestos a fábricas chinas avanzadas y a las empresas de la lista de entidades, y la regla del producto extranjero alcanza a Huawei [1]. En 2026 el Gobierno ordenó pausar ventas a Hua Hong y Micron pidió endurecer las reglas [12]; en el Congreso hay proyectos bipartidistas de control de exportaciones de chips pendientes de votación en el Senado (septiembre de 2026) [37]. Los aranceles y los incentivos de la ley CHIPS también mueven dónde se construyen las fábricas.</w:t>
      </w:r>
    </w:p>
    <w:p>
      <w:pPr>
        <w:pStyle w:val="Heading2"/>
      </w:pPr>
      <w:r>
        <w:t xml:space="preserve">Tendencias y disrupción</w:t>
      </w:r>
    </w:p>
    <w:p>
      <w:pPr>
        <w:spacing w:after="100"/>
      </w:pPr>
      <w:r>
        <w:t xml:space="preserve">Tres cambios técnicos juegan a favor de Lam: la NAND con más capas (más grabado profundo), los transistores de puerta envolvente y la alimentación por la cara trasera (más deposición y grabado selectivo), y el empaquetado avanzado para la memoria HBM de la IA [7]. En contra: el peso de la litografía EUV en el presupuesto de cada fábrica y los fabricantes chinos, que con el apoyo de su Gobierno ganan cuota en su mercado. Lam gana con la complejidad, pero su mercado chino se encoge.</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mundial en grabado y n.º 2 en deposición; ≈ 17 % del WFE total (estimación propia: ventas de los últimos 12 meses hasta septiembre de 2026, 26.128 M USD, entre unos 150.000 M USD de WFE de 2026; contando solo los sistemas nuevos, 17.071 M USD, un 11,4 %) [7, 8,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Applied Materials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fabricante de equipos; compite en deposición, grabado y limpieza. Ejercicio cerrado en octubre de 2025: 28.368 M USD de ventas y 8.289 M de resultado operativo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Tokyo Electron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8035</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principal en grabado dieléctrico, deposición y limpieza. Ejercicio cerrado en marzo de 2026: 2.443.533 M JPY de ventas (+0,5 %) y margen operativo del 25,6 % (28,7 % el año anterior) [14]; convertido a 159,5 JPY por USD (BCE, 31-mar-2026)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KLA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KLAC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Inspección y metrología; compite por el mismo presupuesto de WFE, no por producto. Ejercicio cerrado en junio de 2026: resultado operativo de 5.661 M USD (estimación propia: ventas menos coste, I+D y gastos generales del 10-K)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ASM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Deposición por capas atómicas (ALD) y epitaxia. 2025: 3.173 M EUR de ventas y 938 M de resultado operativo [18]; convertido a 1,175 USD por EUR (BCE, 31-dic-2025) [16]. China pesó más del 30 % de sus ventas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Naura y AMEC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Fabricantes chinos de grabado y deposición apoyados por el Estado que ganan cuota en China [1, 12].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red entre clientes; sí aprendizaje de procesos con cada fábrica.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equipo calificado en un nodo se queda en él durante toda su vida; cambiarlo exige meses de pruebas y riesgo de rendimiento. El negocio de soporte (8.347 M USD, +20 %) vive de esa base instalada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2.000 M USD anuales de I+D y miles de patentes en grabado por plasma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fabricación en Malasia y margen bruto del 51,7 % frente al 47-48 % de Applied [A3, B4].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grabado y deposición con tres o cuatro proveedores capaces en vanguardia [B1].</w:t>
            </w:r>
          </w:p>
        </w:tc>
      </w:tr>
    </w:tbl>
    <w:p>
      <w:pPr>
        <w:spacing w:after="160" w:before="0"/>
      </w:pPr>
    </w:p>
    <w:p>
      <w:pPr>
        <w:pStyle w:val="Heading2"/>
      </w:pPr>
      <w:r>
        <w:t xml:space="preserve">Amenazas</w:t>
      </w:r>
    </w:p>
    <w:p>
      <w:pPr>
        <w:spacing w:after="100"/>
      </w:pPr>
      <w:r>
        <w:t xml:space="preserve">El foso se erosiona sobre todo en China: los controles de exportación sacan a Lam de parte del mercado y los fabricantes locales (Naura, AMEC) aprenden con clientes cautivos [1, 12]. Fuera de China, Tokyo Electron le disputa el grabado dieléctrico y Applied la deposición; una pérdida de calificación en un nodo de NAND o de DRAM cuesta varios puntos de cuota durante años. Probabilidad media en China, baja fuera.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8.641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p>
      <w:pPr>
        <w:spacing w:after="100"/>
      </w:pPr>
      <w:r>
        <w:t xml:space="preserve">Crecimiento anual compuesto FY2019-FY2026: ingresos </w:t>
      </w:r>
      <w:r>
        <w:rPr>
          <w:b/>
          <w:bCs/>
        </w:rPr>
        <w:t xml:space="preserve">13,4 %</w:t>
      </w:r>
      <w:r>
        <w:t xml:space="preserve">, EBITDA </w:t>
      </w:r>
      <w:r>
        <w:rPr>
          <w:b/>
          <w:bCs/>
        </w:rPr>
        <w:t xml:space="preserve">17,6 %</w:t>
      </w:r>
      <w:r>
        <w:t xml:space="preserve">, BPA </w:t>
      </w:r>
      <w:r>
        <w:rPr>
          <w:b/>
          <w:bCs/>
        </w:rPr>
        <w:t xml:space="preserve">22,8 %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crecieron un 13,4 % anual entre FY2019 y FY2026, con dos ciclos: +71 % entre FY2020 y FY2022, −14,5 % en FY2024 y +56 % en dos años hasta los 23.233 M USD de FY2026. Todo el crecimiento es orgánico (no hay compras relevantes; el fondo de comercio sigue en 1.630 M USD) [1]. El margen bruto subió de 44,6 % (FY2023) a 50,5 % (FY2026) y el EBITDA de 31,7 % a 37,2 %, por precio, escala y mezcla [1, 7]. El BPA creció un 22,8 % anual, más que las ventas, por las recompras: las acciones diluidas bajaron de 1.599 M en FY2019 a 1.261 M en FY2026 [2].</w:t>
      </w:r>
    </w:p>
    <w:p>
      <w:pPr>
        <w:pStyle w:val="Heading2"/>
      </w:pPr>
      <w:r>
        <w:t xml:space="preserve">Ajustes y partidas no recurrentes</w:t>
      </w:r>
    </w:p>
    <w:p>
      <w:pPr>
        <w:spacing w:after="100"/>
      </w:pPr>
      <w:r>
        <w:t xml:space="preserve">Usamos las cifras GAAP. El BPA ajustado de la empresa casi coincide (1,82 frente a 1,81 USD en el 4T FY26): solo quita la amortización de intangibles comprados, la deuda diferida y el efecto de la compensación diferida [3]. Los pagos en acciones (386 M USD en FY2026, 1,7 % de las ventas) están dentro del EBITDA. No hay partidas no recurrentes relevantes en FY2025-FY2026; FY2024 lleva cargos de reestructuración menores.</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 FY27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17.196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23.530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Lam tiene caja neta: 7.437 M USD de caja a 27-sep-2026 frente a 3.735 M de deuda (bonos a tipo fijo del 1,9 % al 4,9 % con vencimientos de 2029 a 2060), es decir, 3.702 M netos [1, 8]. En marzo de 2026 devolvió los bonos de 750 M que vencían. El circulante absorbe caja en la subida: clientes +1.962 M USD en FY2026 por el salto de ventas del 4T, con 84 días de cobro y 136 de inventario. El circulante comercial (con los ingresos diferidos restados) es el 26 % de las ventas.</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7.265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FY2019-FY2026: FCF </w:t>
      </w:r>
      <w:r>
        <w:rPr>
          <w:b/>
          <w:bCs/>
        </w:rPr>
        <w:t xml:space="preserve">29.526</w:t>
      </w:r>
      <w:r>
        <w:t xml:space="preserve">, conversión </w:t>
      </w:r>
      <w:r>
        <w:rPr>
          <w:b/>
          <w:bCs/>
        </w:rPr>
        <w:t xml:space="preserve">87 %</w:t>
      </w:r>
      <w:r>
        <w:t xml:space="preserve"> del beneficio neto; adquisiciones 120, dividendos 7.224, recompras 23.847.</w:t>
      </w:r>
    </w:p>
    <w:p>
      <w:pPr>
        <w:spacing w:after="100"/>
      </w:pPr>
      <w:r>
        <w:t xml:space="preserve">Entre FY2019 y FY2026 Lam generó 29.526 M USD de caja libre, el 87 % de su beneficio neto, y devolvió 31.071 M (7.224 en dividendos y 23.847 en recompras), algo más de lo que generó [2]. FY2026 fue flojo en conversión (67 %: flujo operativo de 5.858 M con un beneficio de 7.265 M) porque los clientes y el inventario crecieron con las ventas del 4T. El capex sube al 4,2 % de las ventas (966 M USD) por la ampliación de la capacidad en Malasia e India; estimamos que la mitad es crecimiento (estimación propia: el capex de mantenimiento ha estado en el 2-3 % de las ventas en FY2023-FY2024)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y control interno, 7-ago-2026)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encima de −1,78: perfil compatible con manipulación de beneficios; revisar a fondo.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limpias: un solo segmento, sin compras, sin ajustes relevantes entre GAAP y el BPA ajustado, y opinión favorable del auditor sobre las cuentas y el control interno [1]. El cambio de auditor (KPMG sustituye a Ernst &amp; Young desde septiembre de 2025) es la única señal a vigilar; no se ha explicado un desacuerdo [20]. El Altman Z de 24,25 está en zona muy segura (patrimonio de mercado enorme frente a pasivos); el Piotroski de 8 sobre 9 solo falla en que el flujo operativo quedó por debajo del beneficio en FY2026. El Beneish M de −1,68 queda por encima del umbral de −1,78: lo explica el salto de los clientes (+58 %) con ventas +26 % al final del año, que es lo esperable con un 4T récord, no una señal de manipulación. Los pagos en acciones son modestos (1,7 % de las ventas).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Cuentas por cobrar +58 % con ventas +26 %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Concentración del 4T (6.722 M USD); vigilar los días de cobro en el 1T FY27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auditor (EY → KPMG, septiembre de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desacuerdos declarados [20].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Beneish M −1,68 (por encima de −1,78)</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el crecimiento de los clientes; el resto de componentes son normales.</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9.613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1.630 M en FY2026 (el 17 % del capital invertido medio); ha subido más de un 5 % en 1 de 7 años: compras pequeñas. ROIC publicado 75,0 %; sin fondo de comercio, 90,3 %.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120,2 % · </w:t>
      </w:r>
      <w:r>
        <w:rPr>
          <w:b/>
          <w:bCs/>
        </w:rPr>
        <w:t xml:space="preserve">WACC</w:t>
      </w:r>
      <w:r>
        <w:t xml:space="preserve">: 13,0 %.</w:t>
      </w:r>
    </w:p>
    <w:p>
      <w:pPr>
        <w:spacing w:after="100"/>
      </w:pPr>
      <w:r>
        <w:t xml:space="preserve">Lam crea mucho valor: el ROIC del motor pasa del 46,5 % en FY2024 al 75,0 % en FY2026 (90,3 % sin el fondo de comercio), frente a un WACC del 13,1 %. Lo mueve sobre todo el margen (NOPAT del 31 % de las ventas en FY2026) con un capital invertido de solo 11.013 M USD, porque los anticipos y los ingresos diferidos financian buena parte del inventario. El ROIC incremental de 120 % dice que el crecimiento reciente apenas ha necesitado capital. Applied Materials tiene un ROIC del 35,6 % y ASM International del 24,8 % [29]: Lam rinde el doble que sus rivales. En la parte baja del ciclo (FY2024) el ROIC no bajó del 46 %.</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27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-3.702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5.579 M USD a 28-jun-2026 [1] y 7.437 M USD a 27-sep-2026 [8], frente a 3.735 M USD de deuda y arrendamientos financieros [8]; línea de crédito no dispuesta de 2.000 M USD (vence en enero de 2030, ampliable a 2.750 M) que respalda un programa de pagarés de hasta 2.000 M USD sin saldo vivo [1].</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Los ingresos diferidos (2.279 M USD de «deferred profit» en el balance) son anticipos y facturación por delante de la aceptación, y además hay 490 M USD de envíos a Japón en existencias pendientes de aceptación [1, 3]. Sin pensiones relevantes. Impuestos a pagar a largo plazo de 681 M USD (impuesto de repatriación de 2017 e incertidumbres fiscales) [1]. La línea de crédito tiene covenants financieros que la empresa cumple [1]. Arrendamientos operativos de 387 M USD, ya en el EBITDA (US GAAP), fuera del puente.</w:t>
      </w:r>
    </w:p>
    <w:p>
      <w:pPr>
        <w:pStyle w:val="Heading1"/>
      </w:pPr>
      <w:r>
        <w:t xml:space="preserve">12. Asignación de capital</w:t>
      </w:r>
    </w:p>
    <w:p>
      <w:pPr>
        <w:spacing w:after="100"/>
      </w:pPr>
      <w:r>
        <w:t xml:space="preserve">Prioridades declaradas: invertir en I+D y capacidad, pagar un dividendo creciente y devolver el resto de la caja libre con recompras [1]. El dividendo trimestral sube un 26,9 %, a 0,33 USD, desde agosto de 2026 [37]. Quedan 4.043 M USD del programa de recompras de mayo de 2024 (10.000 M) a 28-jun-2026, y la empresa amplió el programa de pagarés a 2.000 M USD que puede usar para recomprar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Novellus Systems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Éxito: base de la división de deposición; el fondo de comercio no se ha deteriorado (1.630 M USD hoy)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SEMSYSCO (galvanoplastia para empaquetado)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Pequeña; sin deterioros [1].</w:t>
            </w:r>
          </w:p>
        </w:tc>
      </w:tr>
    </w:tbl>
    <w:p>
      <w:pPr>
        <w:spacing w:after="160" w:before="0"/>
      </w:pPr>
    </w:p>
    <w:p>
      <w:pPr>
        <w:spacing w:after="100"/>
      </w:pPr>
      <w:r>
        <w:t xml:space="preserve">La dirección asigna bien el capital: casi no compra empresas (120 M USD en ocho años) y devuelve más del 100 % de la caja libre, de modo que las acciones bajaron un 21 % entre FY2019 y FY2026. La pega es el precio: las recompras de FY2026 se hicieron a 105,67 USD de media en el 1T, 153,62 en el 2T y 210,57 en el 3T, pero también a 370,15 en junio [1]. Comprar en el pico del ciclo destruye valor si la acción vuelve a su PER medio. El ROIC incremental (120 %) dice que el dinero reinvertido en el negocio rinde mucho más que las recompras a 30 veces beneficios.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Timothy M. Archer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Lam desde 2012 (director de operaciones); antes 18 años en Novellus. Con él las ventas han pasado de 9.654 M USD (FY2019) a 23.233 M USD (FY2026) [3,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Douglas R. Bettinger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director financiero de Avago y de 24/7 Real Media; 13 años en el cargo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Seshasayee (Sesha) Varadarajan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de operaciones (COO)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Novellus desde 1999 y en Lam desde la compra de 2012; dirigió las unidades de deposición y, desde marzo de 2023, el grupo global de productos. Desde el 6-mar-2026 es director de operaciones (productos, servicio al cliente, estrategia y relaciones con gobiernos) en sustitución de Patrick Lord, que se jubiló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Vahid Vahedi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sénior y director de tecnología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responsable del negocio de grabado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Neil J. Fernandes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sénior, operaciones de clientes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Dirige la relación comercial y el servicio global [20].</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1T FY26 (sep-25)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5.200 ± 300 M USD; BPA ajustado 1,20 ± 0,10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5.324 M USD; BPA 1,24 (1,26 ajustado) [6, 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2T FY26 (dic-25)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5.200 ± 300 M USD; BPA 1,15 ± 0,10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5.345 M USD; BPA 1,26 [5,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3T FY26 (mar-26)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5.700 ± 300 M USD; BPA 1,35 ± 0,10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5.841 M USD; BPA 1,45 [4,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4T FY26 (jun-26)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6.600 ± 400 M USD; margen operativo 36,5 ± 1 %; BPA 1,65 ± 0,15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6.722 M USD; margen operativo 37,4 %; BPA 1,81 [3,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1T FY27 (sep-26)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8.100 ± 400 M USD; margen operativo 39,5 ± 1 %; BPA 2,15 ± 0,15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8.219 M USD; margen operativo 40,0 %; BPA 2,19 (2,20 ajustado) [3, 8]. Guía del 2T FY27: 8.600 ± 400 M USD, margen operativo 40,5 ± 1 %, BPA 2,33 ± 0,15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estable y creíble: Archer lleva ocho años de consejero delegado y Bettinger trece de director financiero. Ha batido la guía de ventas y de BPA cinco trimestres seguidos, el 1T FY27 incluido, siempre en la parte alta del rango [3, 4, 5, 6, 7, 8]. Ninguno tiene una participación relevante (Archer, 0,12 %) y los directivos han vendido 170 M USD en 12 meses, casi todo con planes 10b5-1 y tras multiplicar el precio por tres [21]. La sucesión no está anunciada; Varadarajan, director de operaciones desde marzo de 2026, es el sucesor natural de Archer [23].</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Abhijit Y. Talwalkar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Innovación y tecnología;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Timothy M. Archer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Eric K. Brandt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Ita M. Brennan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Anirudh Devgan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Innovación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M. Dineen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Fields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 Kyu Kang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Innovación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Bethany J. Mayer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Jyoti K. Mehra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Sohail U. Ahmed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(sale el 2-nov-2026)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Innovación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Michael R. Cannon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(sale el 2-nov-2026)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8,8 %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y control interno, 7-ago-2026)</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161,78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(13G de enero de 2024)</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13G nuevo desde 2024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(13G de abril de 2026, posición a 31-mar-2026)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13G tras la división de Vanguard; The Vanguard Group declara un 0 % en su 13G/A del 27-mar-2026 [25]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(18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netas de 170 M USD en 12 meses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Douglas R. Bettinger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40.080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Timothy M. Archer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Eric K. Brandt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Douglas R. Bettinger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40.329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Douglas R. Bettinger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50.057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Neil J. Fernandes (SVP)</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Eric K. Brandt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Eric K. Brandt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Timothy M. Archer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Abhijit Y. Talwalkar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Timothy M. Archer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Seshasayee Varadarajan (COO)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Timothy M. Archer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Bethany J. Mayer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9.557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40,35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33,54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primer ejecutivo cobró 40,35 M USD en FY2026 (1,32 M de sueldo, 5,44 M de variable anual y 33,54 M en acciones), unas 500 veces el empleado medio (80.764 USD) [20]. El variable anual depende del margen operativo y bruto ajustados, la cuota de mercado y objetivos estratégicos; el largo plazo es un 60 % en acciones según la rentabilidad para el accionista frente a las empresas del índice de semiconductores y un 40 % en acciones por permanencia [20]. Hay cláusula de recuperación (clawback). Los accionistas aprobaron la remuneración con un 90,8 % a favor en 2025, el apoyo más bajo de tres años [20, 24].</w:t>
      </w:r>
    </w:p>
    <w:p>
      <w:pPr>
        <w:pStyle w:val="Heading2"/>
      </w:pPr>
      <w:r>
        <w:t xml:space="preserve">Operaciones vinculadas, estructura de control y defensas</w:t>
      </w:r>
    </w:p>
    <w:p>
      <w:pPr>
        <w:spacing w:after="100"/>
      </w:pPr>
      <w:r>
        <w:t xml:space="preserve">Sin accionista de control: BlackRock (9,4 %) y Vanguard (7,5 %) son los mayores y pasivos [20]. Una acción, un voto; consejo elegido cada año por mayoría; presidente independiente (Talwalkar) separado del primer ejecutivo. Los accionistas pueden convocar una junta extraordinaria con el 20 %; en 2025 un 41 % votó a favor de bajarlo al 10 % y el consejo lo mantuvo [20]. Sin operaciones vinculadas relevantes.</w:t>
      </w:r>
    </w:p>
    <w:p>
      <w:pPr>
        <w:pStyle w:val="Heading2"/>
      </w:pPr>
      <w:r>
        <w:t xml:space="preserve">Señales de alerta</w:t>
      </w:r>
    </w:p>
    <w:p>
      <w:pPr>
        <w:pStyle w:val="ListParagraph"/>
        <w:numPr>
          <w:ilvl w:val="0"/>
          <w:numId w:val="2"/>
        </w:numPr>
        <w:spacing w:after="60"/>
      </w:pPr>
      <w:r>
        <w:t xml:space="preserve">Cambio de auditor: KPMG sustituye a Ernst &amp; Young desde septiembre de 2025; FY2026 es su primer ejercicio, ratificado con el 99,35 % en la junta de 2025 [20, 24].</w:t>
      </w:r>
    </w:p>
    <w:p>
      <w:pPr>
        <w:pStyle w:val="ListParagraph"/>
        <w:numPr>
          <w:ilvl w:val="0"/>
          <w:numId w:val="2"/>
        </w:numPr>
        <w:spacing w:after="60"/>
      </w:pPr>
      <w:r>
        <w:t xml:space="preserve">Ventas de directivos de 170 M USD en 12 meses sin ninguna compra; el 76 % con planes 10b5-1. Ningún Form 4 nuevo entre el 15 y el 21-oct-2026 [21].</w:t>
      </w:r>
    </w:p>
    <w:p>
      <w:pPr>
        <w:pStyle w:val="ListParagraph"/>
        <w:numPr>
          <w:ilvl w:val="0"/>
          <w:numId w:val="2"/>
        </w:numPr>
        <w:spacing w:after="60"/>
      </w:pPr>
      <w:r>
        <w:t xml:space="preserve">Dos consejeros veteranos (Cannon, 16 años; Ahmed, 7) dejan el consejo el 2-nov-2026, que baja de 12 a 10. Cannon solo obtuvo el 80,8 % de apoyo en la junta de 2025 y el presidente, Talwalkar, el 89,9 %; el resto, más del 92 % [22, 24].</w:t>
      </w:r>
    </w:p>
    <w:p>
      <w:pPr>
        <w:pStyle w:val="ListParagraph"/>
        <w:numPr>
          <w:ilvl w:val="0"/>
          <w:numId w:val="2"/>
        </w:numPr>
        <w:spacing w:after="60"/>
      </w:pPr>
      <w:r>
        <w:t xml:space="preserve">Relevo en la dirección de operaciones: Patrick Lord se jubiló el 6-mar-2026 y Sesha Varadarajan es el nuevo director de operaciones, lo que lo sitúa como sucesor natural de Archer [23].</w:t>
      </w:r>
    </w:p>
    <w:p>
      <w:pPr>
        <w:pStyle w:val="ListParagraph"/>
        <w:numPr>
          <w:ilvl w:val="0"/>
          <w:numId w:val="2"/>
        </w:numPr>
        <w:spacing w:after="60"/>
      </w:pPr>
      <w:r>
        <w:t xml:space="preserve">Say on pay con apoyo decreciente: 95,2 % a favor en 2023, 91,2 % en 2024 y 90,8 % en 2025 (en contra, 4,8 %, 8,8 % y 8,7 % de los votos presentes) [24].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Lam da guía trimestral, no anual. El 1T FY27 (julio-septiembre de 2026) superó su propia guía: ventas de 8.219 M USD (guía 8.100 ± 400 M), margen bruto GAAP del 52,3 %, margen operativo del 40,0 % (guía 39,5 ± 1 %) y BPA GAAP de 2,19 USD (2,20 ajustado; guía 2,15 ± 0,15) [8]. Para el 2T FY27 (octubre-diciembre) guía ventas de 8.600 ± 400 M USD, margen bruto del 52,5 ± 1 %, margen operativo del 40,5 ± 1 % y BPA de 2,33 ± 0,15 USD con 1.253 M de acciones [8]. China pasa al 35 % de las ventas del trimestre. La visión de WFE (parte baja de 150.000 M USD en 2026 y un 2027 en expansión) es de la conferencia de julio; la del 21-oct se celebraba tras el cierre de esta nota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34.950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(LSEG), 31 analistas en BPA y 30 en ventas, antes de los resultados [39]; Stock Analysis (S&amp;P Global): 34.920 M y 9,48 USD con 30 analistas [28]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42.110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(LSEG), 26 analistas [39]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34.617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34.950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14.366</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39.809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42.110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16.521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 6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375,81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290,00 – 500,00</w:t>
            </w:r>
          </w:p>
        </w:tc>
      </w:tr>
    </w:tbl>
    <w:p>
      <w:pPr>
        <w:spacing w:after="160" w:before="0"/>
      </w:pPr>
    </w:p>
    <w:p>
      <w:pPr>
        <w:pStyle w:val="Heading2"/>
      </w:pPr>
      <w:r>
        <w:t xml:space="preserve">Revisiones de estimaciones</w:t>
      </w:r>
    </w:p>
    <w:p>
      <w:pPr>
        <w:spacing w:after="100"/>
      </w:pPr>
      <w:r>
        <w:t xml:space="preserve">Antes de los resultados el consenso esperaba 8.140 M USD y 2,18 USD de BPA para el 1T y 8.540 M y 2,32 USD para el 2T [39]: Lam batió el 1T por un 1 % y guía el 2T en línea (8.600 M y 2,33 USD), sin la sorpresa que el mercado había descontado (Morgan Stanley esperaba más de 9.000 M [37]). El BPA de FY2028 sube de 10,00 USD hace 90 días a 11,56 hace 60 y a 11,94 hoy; el de FY2027, de 8,15 a 9,49, todo tras la guía de julio [39]. Los objetivos se mueven en los dos sentidos la última semana: Evercore baja de 355 a 315 USD y B. Riley de 390 a 338, Deutsche Bank sube de 320 a 375 y Cantor mantiene 500 [28]. Objetivo medio estable en 375,81 USD.</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r>
    </w:tbl>
    <w:p>
      <w:pPr>
        <w:spacing w:after="160" w:before="0"/>
      </w:pPr>
    </w:p>
    <w:p>
      <w:pPr>
        <w:spacing w:after="100"/>
      </w:pPr>
      <w:r>
        <w:t xml:space="preserve">Lam ha sido una de las mejores acciones del mundo: un 40,8 % anual en diez años frente al 15,5 % del S&amp;P 500 [27]. En 2025 subió un 139 % y en 2026 lleva un 52,8 %, por debajo del índice de semiconductores (69,8 %), con una volatilidad del 64 % y una beta de 1,91. El 30-jun-2026 tocó 438,50 USD y hoy está un 40 % por debajo. Las caídas fueron sectoriales (Applied, KLA y ASML cayeron igual): el informe de que Meta vendía capacidad de IA sobrante (1-jul), las dudas sobre el ritmo de la inversión en IA (agosto y septiembre) y la toma de beneficios tras el día del inversor de Applied (13-oct) [33, 34, 35, 36]. La posición corta es pequeña, un 2,1 % de las acciones [41].</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-16,1 % / -18,4 % / -1,8 % / +81,1 %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-39,8 % / +86,8 %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lateral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63,1 %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 FY26 (5.324 M USD de ventas)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FY26 y guía de 5.700 M USD para el 3T: inversión en memoria para IA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FY26 (5.841 M USD) y guía de 6.600 M USD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recomendación y de objetivo (Morgan Stanley a sobreponderar, Mizuho a 380 USD) por el WFE de 2026-2027 [12].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Euforia con los equipos para memoria de IA; máximo histórico de 438,50 USD el 30-jun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sectorial tras el informe de que Meta vendería capacidad de IA sobrante (2-jul, −10,2 % en un día) y toma de beneficios; los resultados del 29-jul batieron y no la frenaron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21-sep a 21-oct-2026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Dudas sobre el ritmo de la inversión en IA (14-sep) y toma de beneficios del sector tras el día del inversor de Applied (13-oct): Applied cae un 8,4 %, KLA un 8,6 % y Lam un 9,1 % del 14 al 21-oct [27, 33, 35]. Dos bancos recortan objetivo antes de los resultados (Evercore a 315 USD, B. Riley a 338)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 FY27 tras el cierre: ventas de 8.219 M USD (+54 % interanual) y BPA de 2,19 USD, por encima de la guía y del consenso (8.140 M y 2,18); guía del 2T de 8.600 M USD y 2,33 USD, en línea con el consenso (8.540 M y 2,32) y lejos de los más de 9.000 M que esperaba Morgan Stanley [8, 37, 39]. La acción cae un 4,5 % fuera de hora, a 249,00 USD (16:48 de Nueva York) [41].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sube al 35 % de las ventas del trimestre (26 % en el 4T FY26), justo cuando el Senado tramita restricciones a la exportación [8, 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Evercore ISI baja el objetivo de 355 a 315 USD y B. Riley de 390 a 338 (19-oct); Deutsche Bank lo sube de 320 a 375 (19-oct); Cantor reitera 500 USD (17-oct) y UBS 425 (13-oct). Todos mantienen comprar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Proyectos de ley bipartidistas de control de exportaciones de chips, retrasados en su llegada al pleno del Senado [37].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fecha de votación; si se aprueban con más restricciones a China, revisar las ventas a China (35 % del 1T FY27)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trimestral +26,9 % a 0,33 USD [37].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2026-05-30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Morgan Stanley sube a sobreponderar (331 USD), Mizuho a 380 USD; Erste rebaja [12].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La acción ha caído un 40 % desde el máximo de junio y un 16 % en el último mes sin ningún hecho propio negativo: la causa es sectorial (ritmo de la inversión en IA, tipos del Tesoro a 10 años por encima del 5 %, toma de beneficios). Los resultados del 1T FY27 baten la guía y el consenso, pero la guía del 2T queda en línea con lo esperado y no con las cifras más optimistas, y la acción cae un 4,5 % fuera de hora [8, 39, 41]. El precio del informe es anterior a los resultados: el veredicto retrasa la señal hasta el cierre del 22-oct. No hay colocaciones, ampliaciones ni ofertas pendientes; la fecha de los resultados del 2T no está publicada (Lam suele presentar a finales de enero).</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Al cierre de junio de 2026 Lam cotizaba a 75 veces el beneficio del año que acababa. En la base adelantada (precio de cierre de junio ÷ BPA del ejercicio siguiente), la mediana de cinco años es de unas 22 veces y el mínimo de 12,8 (junio de 2022); al precio de hoy, 260,81 USD, cotiza a unas 27,5 veces el BPA de FY2027 del consenso (9,49 USD) [39]. Parte de la prima es estructural (más servicio y márgenes 6 puntos más altos que en 2022), pero el mercado sigue pagando un ciclo de IA largo, y el peso de China (35 % de las ventas) ha vuelto a subir [8].</w:t>
      </w:r>
    </w:p>
    <w:p>
      <w:pPr>
        <w:pStyle w:val="Heading1"/>
      </w:pPr>
      <w:r>
        <w:t xml:space="preserve">18. Comparables cotizados</w:t>
      </w:r>
    </w:p>
    <w:p>
      <w:pPr>
        <w:pStyle w:val="Confianza"/>
        <w:spacing w:after="100"/>
      </w:pPr>
      <w:r>
        <w:t xml:space="preserve">Confianza: Media</w:t>
      </w:r>
    </w:p>
    <w:p>
      <w:pPr>
        <w:spacing w:after="100"/>
      </w:pPr>
      <w:r>
        <w:t xml:space="preserve">Fabricantes de equipos de semiconductores: Applied Materials y KLA (los otros dos grandes estadounidenses), ASM International (deposición) y tres proveedores de componentes y subsistemas (MKS, VAT, Inficon). KLA, con las cifras de Stock Analysis del 21-oct [40]; los demás, de la nota D del informe de VAT (6-oct-2026, MarketScreener y Stock Analysis) llevados al cierre del 21-oct con la variación de su precio y, la capitalización, con el tipo del BCE del 21-oct [27, 29, 32]. No incluimos Tokyo Electron porque sus cifras eran incoherentes entre fuentes, ni ASML porque la litografía tiene otro perfil de crecimiento y de márgenes.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Lam Research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327.525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Applied Materials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324.537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KLA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213.210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ASM International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42.048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MKS Inc.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VAT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22.055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Inficon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31,9x / 35,6x / 39,1x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318,13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 / 27,8x / 31,1x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319,02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26.128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8,5x / 11,4x / 14,7x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240,65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308,69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Todo el sector ha caído un 8-9 % desde el 14-oct: la mediana del PER de los próximos 12 meses del grupo baja de 28,3 a 27,8 veces. Lam cotiza a unas 27,5 veces el BPA de FY2027 del consenso [39], en la mediana, con más margen EBITDA y mucho más ROIC que la media; solo KLA (44,6 % de margen y 67 % de ROIC) se le acerca, y cotiza a 30 veces [40]. Los comparables dicen que Lam no está cara frente a sus rivales, no que el sector esté barato frente a su historia.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+49 %: el 1T FY27 (8.219 M USD) y la guía del 2T (8.600 ± 400 M) suman 16.819 M en el semestre; el segundo semestre a unos 8.900 M por trimestre lleva a 34.617 M USD, un 1 % por debajo del consenso (34.950 M) [8, 39]. FY2028e +15 % (consenso +20 %): el WFE sigue creciendo en 2027 según la empresa y SEMI [7, 10]. FY2029e −6 %: incorporamos una corrección del ciclo, porque Lam ha tenido una caída de ventas cada 3-5 años (FY2019 −13 %, FY2024 −14,5 %) [2]. Después, 6-9 % hasta FY2031 y bajada hasta el 3,5 % en FY2036, por debajo del 13,4 % anual de FY2019-FY2026.</w:t>
      </w:r>
    </w:p>
    <w:p>
      <w:pPr>
        <w:keepNext/>
        <w:spacing w:after="100"/>
      </w:pPr>
      <w:r>
        <w:rPr>
          <w:b/>
          <w:bCs/>
        </w:rPr>
        <w:t xml:space="preserve">Márgenes.</w:t>
      </w:r>
    </w:p>
    <w:p>
      <w:pPr>
        <w:spacing w:after="100"/>
      </w:pPr>
      <w:r>
        <w:t xml:space="preserve">EBITDA del 41,5 % en FY2027e, coherente con el 40,0 % de margen operativo del 1T y la guía del 40,5 % para el 2T, más un 1,9 % de amortización [8]; 41,5 % en FY2028e; 40 % en la caída de FY2029e y 42 % a largo plazo. La dirección habla de un margen operativo en la zona media del 40 % [7]: nuestro 42 % de EBITDA (≈ 40 % operativo) queda por debajo, porque los márgenes del pico no se mantienen en todo el ciclo (FY2024: 31 %).</w:t>
      </w:r>
    </w:p>
    <w:p>
      <w:pPr>
        <w:keepNext/>
        <w:spacing w:after="100"/>
      </w:pPr>
      <w:r>
        <w:rPr>
          <w:b/>
          <w:bCs/>
        </w:rPr>
        <w:t xml:space="preserve">Inversión y circulante.</w:t>
      </w:r>
    </w:p>
    <w:p>
      <w:pPr>
        <w:spacing w:after="100"/>
      </w:pPr>
      <w:r>
        <w:t xml:space="preserve">Capex del 4,2 % de las ventas en FY2027e-FY2028e (como en FY2026, con la ampliación de capacidad) y del 3,6 % después, por encima de la amortización del 1,9 %. Circulante comercial del 24-26 % de las ventas (26 % en FY2026), con los ingresos diferidos restados [1].</w:t>
      </w:r>
    </w:p>
    <w:p>
      <w:pPr>
        <w:keepNext/>
        <w:spacing w:after="100"/>
      </w:pPr>
      <w:r>
        <w:rPr>
          <w:b/>
          <w:bCs/>
        </w:rPr>
        <w:t xml:space="preserve">Coste del capital.</w:t>
      </w:r>
    </w:p>
    <w:p>
      <w:pPr>
        <w:spacing w:after="100"/>
      </w:pPr>
      <w:r>
        <w:t xml:space="preserve">Tasa libre del 5,13 % (bono de EE. UU. a 10 años, 21-oct-2026) [31], beta de 1,45 (entre la ajustada de 5 años, 1,62, y la del sector; la bruta mensual es 1,92) [27] y prima de mercado del 5,5 %: coste del capital del 13,1 %. La deuda pesa un 1 % del valor: WACC del 13,0 %. Con la prima implícita del mercado (4,2 %) [30], el WACC baja al 11,2 % y el DCF sube a 131,93 USD: la conclusión no cambia.</w:t>
      </w:r>
    </w:p>
    <w:p>
      <w:pPr>
        <w:keepNext/>
        <w:spacing w:after="100"/>
      </w:pPr>
      <w:r>
        <w:rPr>
          <w:b/>
          <w:bCs/>
        </w:rPr>
        <w:t xml:space="preserve">Valor terminal.</w:t>
      </w:r>
    </w:p>
    <w:p>
      <w:pPr>
        <w:spacing w:after="100"/>
      </w:pPr>
      <w:r>
        <w:t xml:space="preserve">Gordon con un 3 % de crecimiento a perpetuidad (inflación del 2-2,5 % más algo de crecimiento real del contenido de semiconductores), coherente con la tasa libre en USD. El valor terminal pesa un 43 % del valor del DCF. El múltiplo de salida implícito es bajo frente a la historia del sector porque el WACC es alto.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5.814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419.004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14,0 %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101,85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127,16</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16.480 M (11 %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 (reinvierte el 16 %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 (histórico: 120,2 %)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 frente al 9,8 %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FY2036e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18,8 % (hoy: 17,0 %)</w:t>
            </w:r>
          </w:p>
        </w:tc>
      </w:tr>
    </w:tbl>
    <w:p>
      <w:pPr>
        <w:spacing w:after="160" w:before="0"/>
      </w:pPr>
    </w:p>
    <w:p>
      <w:pPr>
        <w:spacing w:after="100"/>
      </w:pPr>
      <w:r>
        <w:t xml:space="preserve">La proyección apenas necesita inversión neta de la amortización (reinversión acumulada de 16.480 M, el 11 % del NOPAT, con un capex bruto medio del 3,7 % de las ventas). En un negocio de activos ligeros, el crecimiento medio del 9,8 % tiene que salir de subir precios y de ganar volumen sin capital nuevo, y la prueba es el poder de precios y la cuota (18,8 % del mercado en FY2036e, frente al 17,0 %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1T FY27 real y guía del 2T, con China de vuelta al 35 % de las ventas [8]; precio: acciones de precio citadas en el 4T [7]; otros: mezcla hacia NAND y servicio.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WFE de 2027 favorable con la DRAM como segmento que más crece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Corrección cíclica de volumen supuesta (precedentes de FY2019 y FY2024)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Vuelta al crecimiento del WFE a largo plazo (≈ 5-7 % anual).</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capas de NAND y nodos de 2 nm; cuota estable.</w:t>
            </w:r>
          </w:p>
        </w:tc>
      </w:tr>
    </w:tbl>
    <w:p>
      <w:pPr>
        <w:spacing w:after="160" w:before="0"/>
      </w:pPr>
    </w:p>
    <w:p>
      <w:pPr>
        <w:spacing w:after="100"/>
      </w:pPr>
      <w:r>
        <w:t xml:space="preserve">Sí. El crecimiento medio proyectado (9,8 % en diez años, con una caída en FY2029e) queda por debajo del histórico (13,4 % anual) y del que financia la reinversión al ROIC actual (12 %). Apenas necesita capital: el ROIC es del 75 % y el incremental histórico del 120 %. La cuota implícita en FY2036e (18,7 % del WFE) es solo 1,7 puntos más que hoy, porque suponemos que el WFE crece un 5 % anual de 2028 a 2036. El foso (costes de cambio y base instalada) y el poder de precio demostrado (margen bruto +590 pb en tres años) sostienen el margen [1, 7]. El riesgo no es de sostenibilidad sino de ciclo y de China.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24,8 % (base: 9,9 %)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72 % justifica el precio (base: 42,0 %)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 (WACC: 13,0 %)</w:t>
            </w:r>
          </w:p>
        </w:tc>
      </w:tr>
    </w:tbl>
    <w:p>
      <w:pPr>
        <w:spacing w:after="160" w:before="0"/>
      </w:pPr>
    </w:p>
    <w:p>
      <w:pPr>
        <w:spacing w:after="100"/>
      </w:pPr>
      <w:r>
        <w:t xml:space="preserve">El DCF da 107,39 USD por acción, un 58,8 % por debajo del precio, con un 43 % del valor en el terminal y un rango de sensibilidad de 100,28 a 115,98 USD. El DCF inverso es la clave: para justificar 260,81 USD con nuestros márgenes, las ventas tendrían que crecer un 24,8 % anual durante diez años (nuestro base, 9,9 %), muy por encima del WFE; o el inversor tiene que aceptar una rentabilidad anual del 7,1 %, apenas 2 puntos sobre el bono de EE. UU. y lejos del 13,0 % de WACC. Es exigente: el precio descuenta que el ciclo de IA no tiene caídas, algo que nunca ha pasado en este sector. Con la prima del mercado el DCF sube a 131,93 USD, pero no cierra la distancia. El 1T FY27 récord no cambia esto: sube algo el BPA de FY2027e (de 9,36 a 9,54 USD), no la duración del ciclo.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WFE corrige en 2027-2028 como en 2019 y 2023: ventas −10 % en FY2028e, margen EBITDA 5 puntos menor y crecimiento 3 puntos menor en todo el periodo; más restricciones a China.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 fuerte en FY2027-FY2028 (ventas de 39.542 M USD), corrección moderada en FY2029e y crecimiento del 5-7 % después, con márgenes del 42 %.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133,09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mantiene el WFE en expansión: 3 puntos más de crecimiento al año y 1,5 puntos más de margen, con NAND y DRAM al máximo.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260,8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103,23 USD (-60,4 %).</w:t>
      </w:r>
    </w:p>
    <w:p>
      <w:pPr>
        <w:spacing w:after="100"/>
      </w:pPr>
      <w:r>
        <w:t xml:space="preserve">La asimetría es negativa en valor intrínseco: incluso el alcista (133,09 USD) queda un 49 % por debajo del precio, y el bajista (65,03) pierde un 75 %. A 12 meses, la regla de múltiplos da 331,10 USD en el alcista (+27 %) y 94,21 en el bajista (−64 %): ganar un 27 % arriesgando casi dos tercios no compensa. El bajista es verosímil: el sector cayó un 56 % en 2022 y Lam vendió un 14,5 % menos en FY2024.</w:t>
      </w:r>
    </w:p>
    <w:p>
      <w:pPr>
        <w:pStyle w:val="Heading1"/>
      </w:pPr>
      <w:r>
        <w:t xml:space="preserve">22. Suma de partes</w:t>
      </w:r>
    </w:p>
    <w:p>
      <w:pPr>
        <w:pStyle w:val="Confianza"/>
        <w:spacing w:after="100"/>
      </w:pPr>
      <w:r>
        <w:t xml:space="preserve">Confianza: Alta</w:t>
      </w:r>
    </w:p>
    <w:p>
      <w:pPr>
        <w:spacing w:after="100"/>
      </w:pPr>
      <w:r>
        <w:t xml:space="preserve">No aplica: un solo segmento contable (equipos de fabricación de obleas y su servicio); sistemas y soporte comparten clientes, tecnología y base instalada, y la empresa no publica su resultado por separado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260,8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319,02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262,11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141,65 USD (-45,7 % sobre 260,81).</w:t>
      </w:r>
    </w:p>
    <w:p>
      <w:pPr>
        <w:spacing w:after="100"/>
      </w:pPr>
      <w:r>
        <w:t xml:space="preserve">Pesos: DCF 50 %, escenarios 30 % y comparables 20 %. El DCF es el método más fiable para un negocio sin deuda neta y con caja predecible a lo largo del ciclo; los comparables pesan poco porque todo el sector cotiza en máximos de su historia y solo dicen que Lam no está cara frente a sus rivales (PER implícito 284,94 USD). Las transacciones no aplican. La dispersión es enorme: 107 USD por DCF frente a 285 por comparables. Esa distancia es la tesis: el mercado paga a todo el sector como si el ciclo de IA no fuera a tener caídas. El valor intrínseco es de 141,65 USD; la recomendación la decide la regla a 12 meses.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(27.3x) ÷ 1.1 (tope: la mediana de 5 años, 22.2x,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272,90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331,10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+27,4 %</w:t>
            </w:r>
          </w:p>
        </w:tc>
      </w:tr>
    </w:tbl>
    <w:p>
      <w:pPr>
        <w:spacing w:after="160" w:before="0"/>
      </w:pPr>
    </w:p>
    <w:p>
      <w:pPr>
        <w:spacing w:after="100"/>
      </w:pPr>
      <w:r>
        <w:rPr>
          <w:b/>
          <w:bCs/>
        </w:rPr>
        <w:t xml:space="preserve">Objetivo a 12 meses (ponderado):</w:t>
      </w:r>
      <w:r>
        <w:t xml:space="preserve"> 242,78 USD · rentabilidad -6,5 % (base +5,1 %) · señal Mantener.</w:t>
      </w:r>
    </w:p>
    <w:p>
      <w:pPr>
        <w:spacing w:after="100"/>
      </w:pPr>
      <w:r>
        <w:t xml:space="preserve">Para comparar, con la regla v2 (historia al cierre, mismo precio): 13,0x / 21,5x / 27,8x, -13,5 % Vender; con el tope anterior del base (×1,3, 14-oct mediodía): -7,1 %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base de FY2028e (10,96 USD) queda un 8,2 % por debajo del consenso (11,94) y el de FY2027e (9,54) un 0,5 % por encima (9,49) [39]: proyectamos FY2028e +15 % frente a +20 % por la cautela de ciclo. La distancia grande está en el múltiplo: los analistas aplican más de 30 veces al beneficio de FY2028 para llegar a su objetivo medio de 375,81 USD; la regla común baja del PER actual de 27,3 veces hacia la mediana de cinco años (22,2) con el tope del 10 %, y deja el base en 24,9 veces y 272,90 USD, un 27,4 % por debajo del consenso. El objetivo medio de los analistas queda por encima de nuestro alcista (331,10).</w:t>
      </w:r>
    </w:p>
    <w:p>
      <w:pPr>
        <w:keepNext/>
        <w:spacing w:after="100"/>
      </w:pPr>
      <w:r>
        <w:rPr>
          <w:b/>
          <w:bCs/>
        </w:rPr>
        <w:t xml:space="preserve">Del valor intrínseco al objetivo a 12 meses.</w:t>
      </w:r>
    </w:p>
    <w:p>
      <w:pPr>
        <w:spacing w:after="100"/>
      </w:pPr>
      <w:r>
        <w:t xml:space="preserve">El objetivo ponderado a 12 meses es de 242,78 USD (−6,5 % con el dividendo) y el del base 272,90 (+5,1 %). El BPA crece un 37,9 % anual desde FY2026 porque el 1T FY27 y la guía del 2T ya lo dan (2,19 y 2,33 USD por trimestre) [8]; lo que resta es el múltiplo, que vuelve hacia su historia, y el bajista de 12,8 veces. El valor intrínseco (141,65 USD) queda un 42 % por debajo del objetivo: la tesis a varios años es peor que la de 12 meses, porque el precio de hoy descuenta un ciclo sin caídas.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sesión tras el 1T FY27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Fuera de hora −4,5 %: la guía del 2T (8.600 M) va en línea con el consenso, lejos de los más de 9.000 M de Morgan Stanley [8, 41]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FY27 y primera visión del WFE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Confirmaría o no la DRAM como segmento que más crece [7]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Proyectos de ley de exportación de chips en el Senado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restricciones a China (26 % de las ventas del 4T) [37]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dos consejeros; consejo de 10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efecto en cifras [22]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Planes de inversión de Samsung, SK hynix, Micron y TSMC para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Fijan el WFE del año siguiente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del ciclo de inversión en IA y corrección del WFE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−40 % (escenario bajista a 12 meses: 93,70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soporte (36 % de las ventas) amortigua; caja neta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trimestral por debajo del trimestre anterior; recortes de capex de los fabricantes de memoria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Más controles de exportación a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(China pasa del 26 % a la mitad)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fuera de China compensa por ahora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los proyectos del Senado; nuevas entidades en la lista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frente a Tokyo Electron o Applied en un nodo de NAND o DRAM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Liderazgo en grabado de alta relación de aspecto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49 %; caída del peso de NAND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Relación de décadas; base instalada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cliente de más del 10 % recorta su capex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Fabricantes chinos (Naura, AMEC) que salen de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fábricas fuera de China no califican equipos chinos en vanguardia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Naura o AMEC en Corea o Taiwán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Tipos de interés altos (bono al 5,2 %)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Cada 0,5 puntos de WACC mueve el DCF un 5-6 %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Clientes con caja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Aplazamiento de fábricas nuevas</w:t>
            </w:r>
          </w:p>
        </w:tc>
      </w:tr>
    </w:tbl>
    <w:p>
      <w:pPr>
        <w:spacing w:after="160" w:before="0"/>
      </w:pPr>
    </w:p>
    <w:p>
      <w:pPr>
        <w:pStyle w:val="Heading2"/>
      </w:pPr>
      <w:r>
        <w:t xml:space="preserve">Pre-mortem</w:t>
      </w:r>
    </w:p>
    <w:p>
      <w:pPr>
        <w:spacing w:after="100"/>
      </w:pPr>
      <w:r>
        <w:t xml:space="preserve">Octubre de 2029: la acción vale 170 USD, un 40 % menos. En 2027 los hiperescaladores frenaron su inversión en centros de datos porque los ingresos de la IA no cubrían la amortización; las memorias HBM pasaron de escasas a sobrantes a mediados de 2027 y Samsung, SK hynix y Micron recortaron su capex un 30 % para 2028. El WFE cayó un 20 % y las ventas de Lam bajaron de unos 40.000 M USD a 32.000 M. A la vez, el Senado aprobó nuevos controles y las ventas a China cayeron a la mitad. El margen operativo volvió al 32 % y el BPA de FY2029 quedó en 7,30 USD; el mercado volvió a pagar el PER de las caídas (13-17 veces) y la acción cayó por debajo de 130 USD antes de rebotar. Lo habrían anticipado: una guía trimestral por debajo del trimestre anterior, el capex de 2028 de los fabricantes de memoria y el precio al contado de la DRAM.</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Oportunidad · </w:t>
      </w:r>
      <w:r>
        <w:rPr>
          <w:b/>
          <w:bCs/>
        </w:rPr>
        <w:t xml:space="preserve">Efecto en valor (3-5 años):</w:t>
      </w:r>
      <w:r>
        <w:t xml:space="preserve"> +10 % (frente a un mundo sin ciclo de IA), con riesgo de −40 % si el ciclo se corta</w:t>
      </w:r>
    </w:p>
    <w:p>
      <w:pPr>
        <w:spacing w:after="100"/>
      </w:pPr>
      <w:r>
        <w:t xml:space="preserve">La IA no amenaza el producto de Lam: nadie puede sustituir con software el grabado o la deposición de capas atómicas, y la propia Lam usa IA en sus procesos (Equipment Intelligence) [1]. La exposición es de demanda: la IA explica la mayor parte del salto del WFE de 2026 (memoria HBM, NAND de centros de datos, lógica de 2-3 nm) [7]. Por eso el riesgo es indirecto y cíclico: si la inversión en IA se frena, Lam cae como en julio (−32 % en un mes). Riesgo de IA para el negocio: bajo como sustitución, alto como dependencia de la demanda. Señal: la guía trimestral y el capex de los fabricantes de memoria.</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Los asuntos que mueven cifras son tres. El cumplimiento de los controles de exportación (una multa o una pérdida de licencias afecta a un tercio de las ventas) [1]. El consumo de energía y de gases de efecto invernadero de sus equipos en las fábricas de los clientes, que pesa en sus compras; Lam tiene objetivos de emisiones netas cero y el 53,8 % de sus proveedores por emisiones tienen objetivos basados en la ciencia [20]. Y el talento: un 26 % de la plantilla en I+D y competencia por ingenieros [1].</w:t>
      </w:r>
    </w:p>
    <w:p>
      <w:pPr>
        <w:pStyle w:val="Heading2"/>
      </w:pPr>
      <w:r>
        <w:t xml:space="preserve">Controversias</w:t>
      </w:r>
    </w:p>
    <w:p>
      <w:pPr>
        <w:spacing w:after="100"/>
      </w:pPr>
      <w:r>
        <w:t xml:space="preserve">Ningún litigio material según el 10-K FY2026 [1]. No hemos encontrado sanciones de la SEC ni del Departamento de Comercio a Lam en los últimos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Duración del ciclo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visibilidad dan los pedidos y los ingresos diferidos sobre el 2S FY27? ¿Cuánto del WFE de 2027 está ya comprometido?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base proyecta FY2028e +15 % y una caída en FY2029e; el precio pide más.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a China es de clientes multinacionales y cuál de fábricas chinas en nodos maduros?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bajó del 43 % al 26 % en tres trimestres.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volumen hace falta para el margen operativo «en la zona media del 40 %»?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supone un EBITDA del 42 %, por debajo del marco de la dirección.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recomprar a 370 USD en junio? ¿Hay un precio máximo?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Recomprar en el pico del ciclo resta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se cambió a KPMG tras décadas con Ernst &amp; Young?</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Señal a descartar.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Clientes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¿Quiénes son los cuatro clientes de más del 10 % y qué pasa si uno aplaza una fábrica?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Pesan el 55 % de las ventas.</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($LRCX)</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de resultados (20-21 oct, unos 107 mensajes) domina el nerviosismo: acusaciones de manipulación y de filtración por la caída de la sesión, apuestas con opciones y compras «de la caída». Tras el comunicado (unos 43 mensajes en la primera hora) la mayoría etiquetada sigue alcista («doble batida», «ocasión de compra»), pero crece la tesis de que el mercado teme el pico del ciclo y que la guía de diciembre apenas crece frente al trimestre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y noticias)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artículos de agosto-octubre se reparten entre «compra la corrección» y «la valoración exige más» o «China puede pesar»; el 21-oct los titulares recogen que la acción cae fuera de hora pese a batir y a dar una guía por encima del consenso, después de que algún banco esperara más de 9.000 M USD para diciembre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Narrativa bajista: la exposición a China y los límites a la exportación comprimirán los márgenes de los fabricantes de equipos [43].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24/7 Wall St. (artículos para particulares, sin comentarios de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 piezas de octubre: una recuerda tres caídas de más del 40 % en diez años (acción muy cíclica) y otra presenta la bajada de tres meses como venta de todo el grupo y no un problema de la empresa, aunque avisa de que el alza «supone que el ciclo aguanta» [44, 45].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Batir y aun así caer: ¿pico del ciclo?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cifras dan la razón a los alcistas en el trimestre: ventas de 8.219 M USD, +22 % sobre el 4T FY26 y +54 % interanual, margen operativo del 40,0 % y BPA de 2,19 USD, todo récord [8]. Lo que pesa es la guía: 8.600 ± 400 M USD para el 2T FY27, solo un 4,6 % más que el trimestre recién cerrado (cálculo propio), cuando hubo quien esperaba más de 9.000 M USD [8, 37]. La desaceleración secuencial es real; el pico no lo demuestra un trimestre.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de la caída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particulares compran tras unas tres semanas de caídas y una bajada fuera de hora tras el comunicado [37, 42]. El argumento de que el beneficio «alcanza» a la valoración tiene base (beneficio neto de 2.750 M USD en el trimestre [8]), pero si el precio ya es barato lo decide la valoración del informe, no el foro.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controles de exportación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foros daban el riesgo por menguante (26 % de las ventas en el 4T FY26), pero en el 1T FY27 China vuelve al 35 % y es otra vez la primera región [8]. La preocupación está más justificada hoy que hace una semana: una norma nueva de exportación golpearía a más ventas.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Manipulación y filtración antes del dato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Muchas quejas de que «alguien sabía algo» por la caída de la sesión del 21-oct [42]. No hay ningún indicio en los documentos: la empresa publicó tras el cierre, como siempre [8]. Es ruido de opciones de vencimiento corto, no un riesgo para la tesis.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exigente y ciclo de memoria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debate si la escasez de memoria es real y si el gasto en equipos de 2027 estará a la altura [37, 42]. Lo trata el DCF inverso del informe: el precio pide varios años de crecimiento por encima de la media histórica del mercado de equipos.</w:t>
            </w:r>
          </w:p>
        </w:tc>
      </w:tr>
    </w:tbl>
    <w:p>
      <w:pPr>
        <w:spacing w:after="160" w:before="0"/>
      </w:pPr>
    </w:p>
    <w:p>
      <w:pPr>
        <w:spacing w:after="100"/>
      </w:pPr>
      <w:r>
        <w:t xml:space="preserve">El foro no está eufórico ni capitula: está dividido y más nervioso que hace tres meses. La caída fuera de hora tras unos resultados récord confirma que el mercado ya no premia batir, sino acelerar, y la guía de diciembre crece poco en secuencia. Eso coincide con la tesis prudente del informe: el riesgo no es el trimestre, sino cuánto dura el ciclo. Dos cosas útiles: los particulares compran la caída por inercia, sin mirar la guía, y el tema chino vuelve con razón (35 % de las ventas). El sentimiento no contradice al consenso de analistas, que sigue comprador, pero muestra que la acción reacciona más a la guía que al resultado; el disparador de vigilancia es la cifra de pedidos y la guía del 2T, no el beneficio.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23 controles correctos y 4 explicados. Fuentes: 45 (23 primarias); citas distintas en el texto: 45.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10,1 %: explica la causa (créditos fiscales, regularizaciones, mezcla de países) y no lo proyectes en el DCF. Explicación: El 10,1 % de FY2025 y el 12,1 % de FY2026 son los publicados: créditos de I+D, el régimen de rentas de intangibles extranjeros de EE. UU. y la mezcla de países [1]. El DCF usa un 13 %, por encima de los dos.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18,8 % en FY2036e frente al 17,0 %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24,0 % frente a 26,0 % real: genera una variación de circulante de 2.274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10.667 M de flujo libre medio en sus tres primeros años, frente a 4.765 M de media real en los tres últimos: justifica el salto (circulante, inversión, márgenes) o ajusta los supuestos. Explicación: El salto de la caja libre (10.667 M de media en FY2027e-FY2029e frente a 4.765 M) sale de las cifras de la propia empresa: 8.219 M USD de ventas y 40,0 % de margen operativo en el 1T FY27 (+54 % interanual) y guía de 8.600 M para el 2T; el flujo operativo del 1T fue de 3.498 M [8]. FY2026 además tuvo una conversión baja (67 %) porque los clientes subieron 1.962 M USD con el salto de ventas del 4T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Applied Materials (35,9x → 19,3x), MKS Inc. (17,9x → 10,0x), Inficon (40,2x → 22,8x): el salto implica un crecimiento del EBITDA que no cuadra con el de las ventas. ¿EBITDA de proveedores distintos, o un cambio de perímetro? Explicación: Los saltos de Applied, MKS e Inficon reflejan el crecimiento del EBITDA esperado en 2027 (ventas +25-30 % con apalancamiento operativo), del mismo proveedor (MarketScreener) [29]; el informe usa sobre todo el PER de los próximos 12 meses.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FY2028e (10,96) supone un 37,9 % anual desde 5,76 (FY2026): explícalo en valoracion.objetivo_12m.comentario o la confianza es baja. Explicación: El BPA base de FY2028e (10,96 USD) supone un 37,9 % anual desde 5,76, pero no es un supuesto propio sin apoyo: el 1T FY27 dio 2,19 USD y la guía del 2T 2,33 (9,04 en el semestre anualizado) [8], y el consenso está en 9,49 y 11,94 para FY2027 y FY2028 [39]. Nuestro base queda un 8 % por debajo del consenso.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45 fuentes (23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FY2019-FY2023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solo FY2024-FY2026 de sistemas y soporte; 2) XBRL companyfacts: el desglose antiguo usa otra definición; 3) 10-K anteriores: no reexpresados con la definición vigente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de sistemas por segmento 1T FY27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8-K del 1T FY27: no la da; 2) búsqueda web de lo dicho en la conferencia del 21-oct: sin transcripción ni resumen publicado aún; 3) web de inversores (listado de documentos y página de resultados): sin presentación del trimestre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deja la del 4T FY26 y se avisa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tcac_historico_pct y cuota en grabado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sin cifras de mercado ni cuota; 2) SEMI: la web da 403 (lección del repo) y la serie histórica es de pago; 3) informes de ASML y VAT del repo y presentación de Tokyo Electron de julio de 2026: solo gráfico sin cifras de 2023-2025 y previsiones de 2026-2027</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EBIT de Naura y AMEC</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de Lam: los nombra sin cifras; 2) notas de comparables del repo (Advantest, Lasertec, KLA, VAT): no los incluyen; 3) búsqueda web de las cuentas de Naura 2025: solo resúmenes de agregadores, sin el informe anual de la bolsa de Shenzhen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Lam no ha hecho compras relevantes (fondo de comercio estable en 1.630 M USD); 2) informes de ASML y VAT del repo: sin tabla de transacciones del sector; 3) las grandes operaciones del sector (Lam-KLA 2016, Applied-Kokusai 2021) se cancelaron por los reguladores y no dan múltiplo pagado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y FY2029 del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las URL de Lam devuelven otra empresa; 2) Stock Analysis: FY2028, FY2029 y EBITDA son de pago; 3) Yahoo Finance: solo ventas y BPA de FY2027 y FY2028</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proximos_resultados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del 1T FY27 en EDGAR: no da la fecha del 2T; 2) Stock Analysis: solo la fecha del 21-oct; 3) calendario de inversores de Lam: sin fecha publicada al cierre de la nota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revisadas (foros con debate más allá de Stocktwits y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Reddit (búsqueda JSON y RSS de r/stocks): 403; 2) Simply Wall St, listado de narrativas de LRCX: 403 (se mantiene la narrativa leída el 15-oct); 3) Investing.com comentarios y Stockchase: 403 y redirección a otra empresa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habla de objetivos climáticos pero no de calificaciones; 2) 10-K FY2026: sin calificaciones; 3) MSCI y Sustainalytics: de pago o con antibot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FY2026: menciona que el diferencial de la línea depende del rating pero no lo da; 2) folletos de 2019 y 2020: no descargados; 3) prensa: sin cifra reciente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FY2026 (cerrado el 28-jun-2026): cuentas auditadas, ingresos por región y por tipo, clientes &gt; 10 %, deuda, recompras, empleados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Lam Research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https://www.sec.gov/Archives/edgar/data/707549/000070754926000037/lrcx-20260628.htm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Hechos XBRL (companyfacts): cuenta, balance y flujos FY2017-FY2026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https://data.sec.gov/api/xbrl/companyfacts/CIK0000707549.json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 Research Corporation Reports Financial Results for the Quarter Ended June 28, 2026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 Research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https://www.sec.gov/Archives/edgar/data/707549/000070754926000033/lrcx_exhibitx991xq4x2026.htm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 Research Corporation Reports Financial Results for the Quarter Ended March 29, 2026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 Research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https://www.sec.gov/Archives/edgar/data/707549/000070754926000020/lrcx_exhibitx991xq3x2026.htm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 Research Corporation Reports Financial Results for the Quarter Ended December 28,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 Research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https://www.sec.gov/Archives/edgar/data/707549/000070754926000006/lrcx_exhibitx991xq2x2026.htm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 Research Corporation Reports Financial Results for the Quarter Ended September 28,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 Research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https://www.sec.gov/Archives/edgar/data/707549/000070754925000082/lrcx_exhibitx991xq1x2026.htm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 Research Q4 Earnings Call Highlights (WFE 2026 en la parte baja de 150.000 M USD, mezcla de sistemas por segmento, marco de margen a largo plazo)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https://www.marketbeat.com/instant-alerts/lam-research-q4-earnings-call-highlights-2026-07-29/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 Research Corporation Reports Financial Results for the Quarter Ended September 27, 2026 (8-K, anexo 99.1), con guía del trimestre a 27-dic-2026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 Research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https://www.sec.gov/Archives/edgar/data/707549/000070754926000052/lrcx_exhibitx991xq1x2027.htm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LRCX earnings calendar: consenso del trimestre a sep-2026 (BPA 2,17 USD con 9 analistas; ingresos 8.100 M USD con 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Right Trader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https://therighttrader.com/earnings-calendar/lrcx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Semiconductor Equipment Sales Forecast to Reach a Record $229 Billion in 2028 (serie de WFE en el informe de ASML del repo,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https://www.semi.org/en/semi-press-release/global-semiconductor-equipment-sales-forecast-to-reach-a-record-229-billion-dollars-in-2028-semi-reports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Finances y Statistics de Applied Materials, ASM International, VAT, Inficon, MKS (nota D del informe de VAT, cierres del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Stock Analysis (vía informe VAT del repo)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https://stockanalysis.com/stocks/amat/statistics/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 Research (LRCX) narrative shifting: objetivos de Mizuho y Morgan Stanley, pausa de ventas a Hua Hong, petición de Micron sobre China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https://finance.yahoo.com/markets/stocks/articles/lam-research-lrcx-narrative-shifting-190322591.html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Tokyo Electron, presentación de resultados del 1T del ejercicio a marzo de 2027 (WFE Market Outlook as of July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Tokyo Electron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https://www.tel.com/ir/library/report/i242su0000000goz-att/fy27q1presentations-e.pdf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Tokyo Electron, Summary of Consolidated Financial Results for the Year Ended March 31, 2026 (Japanese 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Tokyo Electron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https://www.tel.com/ir/library/report/pjuomj00000000tf-att/fy26q4tanshin-e.pdf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KLA Corporation, Form 10-K del ejercicio cerrado el 30-jun-2026 (XBRL: ventas, coste, I+D, gastos generales)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KLA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https://www.sec.gov/Archives/edgar/data/319201/000031920126000027/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 USD y JPY al 31-dic-2025 y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Applied Materials, Form 10-K del ejercicio cerrado el 26-oct-2025 (XBRL: ventas y resultado operativo)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Applied Materials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https://www.sec.gov/Archives/edgar/data/6951/000162828025056742/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 International, informe anual 2025 (ESEF): cuenta de resultados consolidada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 International /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https://filings.xbrl.org/7245001I22ND6ZFHX623/2025-12-31/ESEF/NL/0/asm-2025-12-31-1-en/reports/asm-2025-12-31-1-en.xhtml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 reports Q4 and full-year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 International /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https://www.globenewswire.com/news-release/2026/03/03/3248697/0/en/asm-reports-q4-and-full-year-2025-results.html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comisiones, remuneración, participaciones, auditor, say on pay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 Research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https://www.sec.gov/Archives/edgar/data/707549/000070754926000047/lrcx-20260924.htm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directivos y consejeros (15-oct-2025 a 21-oct-2026), resumen de herramientas/form4.mjs y lista de presentaciones de EDGAR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https://www.sec.gov/cgi-bin/browse-edgar?action=getcompany&amp;CIK=0000707549&amp;type=4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del 27-ago-2026: retirada de los consejeros Sohail Ahmed y Michael Cannon (efectiva el 2-nov-2026)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 Research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https://www.sec.gov/Archives/edgar/data/707549/000070754926000043/lrcx-20260824.htm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8-K/A del 3-feb-2026: nombramiento del consejero Anirudh Devgan, jubilación de Patrick Lord y nombramiento de Sesha Varadarajan como director de operaciones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 Research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https://www.sec.gov/Archives/edgar/data/707549/000070754926000014/lrcx-20260130.htm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con los resultados de las juntas de accionistas del 7-nov-2023, 5-nov-2024 y 4-nov-2025 (consejeros, say on pay, auditor); enlace a la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 Research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https://www.sec.gov/Archives/edgar/data/707549/000070754925000094/lrcx-20251104.htm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(30-abr-2026) y 13G/A n.º 14 de The Vanguard Group (27-mar-2026)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https://www.sec.gov/Archives/edgar/data/707549/000210011926000703/xslSCHEDULE_13G_X02/primary_doc.xml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FY2025 (junio de 2025) y guía del 1T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 Research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https://www.sec.gov/Archives/edgar/data/707549/000070754925000068/lrcx_exhibitx991xq4x2025.htm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e intradía (LRCX, SPY, SOXX y comparables) vía herramientas/bolsa.mjs y movimiento.mjs, cierre del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https://finance.yahoo.com/quote/LRCX/history/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LRCX Stock Forecast: 35 analistas, precio objetivo, estimaciones FY2027 y últimas acciones de analistas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https://stockanalysis.com/stocks/lrcx/forecast/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Finances y Statistics de los comparables (nota D del informe de VAT, cierres del 6-oct-2026, en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Stock Analysis (vía informe VAT del repo)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https://stockanalysis.com/stocks/mksi/statistics/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octubre de 2026: 10 años al 5,13 % el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https://home.treasury.gov/resource-center/data-chart-center/interest-rates/TextView?type=daily_treasury_yield_curve&amp;field_tdr_date_value_month=202610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21-oct-2026 (USD 1,1234; CHF 0,9256)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Semiconductor Equipment Stocks Slide as Investors Take Profits on a Huge Year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https://247wallst.com/investing/2026/10/13/semiconductor-equipment-stocks-slide-as-investors-take-profits-on-a-huge-year-applied-materials-sinks-7-lam-research-and-kla-drop-4/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 Research Stock Fell 10% in a Day (2-jul-2026: informe de Meta sobre exceso de capacidad de 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https://www.tikr.com/blog/lam-research-stock-fell-10-in-a-day-heres-where-the-stock-could-go-in-2026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Chip Equipment Stocks Slide as AI Pacing Call Reaches Fab Spending (14-sep-2026)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https://247wallst.com/investing/2026/09/14/chip-equipment-stocks-slide-as-ai-pacing-call-reaches-fab-spending-applied-materials-and-lam-research-fall-6-asml-sinks-5/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Applied Materials Falls 4%, Lam Research and Teradyne Sink 5% (19-ago-2026)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https://247wallst.com/investing/2026/08/19/applied-materials-falls-4-lam-research-and-teradyne-sink-5-whats-prompting-the-selloff-in-chip-equipment-stocks/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noticias de LRCX (RSS): dividendo +26,9 % a 0,33 USD, conferencia del 21-oct, Morgan Stanley espera guía de más de 9.000 M USD, proyectos de ley de exportación de chips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https://seekingalpha.com/api/sa/combined/LRCX.xml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 Research Corporation Announces September Quarter Financial Conference Call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 Research (vía Finviz)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https://finviz.com/news/397284/lam-research-corporation-announces-september-quarter-financial-conference-call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LRCX Analysis: Earnings Estimate, Revenue Estimate, EPS Trend y EPS Revisions (antes de los resultados del 1T FY27)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(LSEG)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https://finance.yahoo.com/quote/LRCX/analysis/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KLA Corporation (KLAC): Statistics y Forecast a 21-oct-2026 (cierre 163,43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https://stockanalysis.com/stocks/klac/statistics/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 Research (LRCX) Statistics: capitalización, posición corta (2,06 %) y precio fuera de hora del 21-oct-2026 (249,00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https://stockanalysis.com/stocks/lrcx/statistics/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$LRCX (20 y 21-oct-2026, antes y después de los resultados; unos 150 mensajes)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https://api.stocktwits.com/api/2/streams/symbol/LRCX.json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narrativa de la comunidad: «China exposure and export limits will compress semiconductor margins»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https://simplywall.st/community/narratives/us/semiconductors/nasdaq-lrcx/lam-research/3e9kcv57-china-exposure-and-export-limits-will-compress-semiconductor-margins-pr4i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 Research Transformed $1,000 Into $37,462 Over Ten Years Despite Three 40% Crashes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https://247wallst.com/investing/2026/10/09/lam-research-transformed-1000-into-37462-over-ten-years-despite-three-40-crashes/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 Research Imploded By 20% In The Last 3 Months: This Respected Wall Street Firm Says It's About to Double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https://247wallst.com/investing/2026/10/19/lam-research-imploded-by-20-in-the-last-3-months-this-respected-wall-street-firm-says-its-about-to-double/</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84,8 %</w:t>
      </w:r>
      <w:r>
        <w:t xml:space="preserve"> · Secciones con menos del 60 % de campos cubiertos: </w:t>
      </w:r>
      <w:r>
        <w:rPr>
          <w:b/>
          <w:bCs/>
        </w:rPr>
        <w:t xml:space="preserve">transacciones</w:t>
      </w:r>
      <w:r>
        <w:t xml:space="preserve"> · Generado el 21 oct 2026.</w:t>
      </w:r>
    </w:p>
    <w:p>
      <w:pPr>
        <w:pStyle w:val="Nota"/>
        <w:spacing w:after="100"/>
      </w:pPr>
      <w:r>
        <w:t xml:space="preserve">Ejercicio que cierra el último domingo de junio (FY2026 = 30-jun-2025 a 28-jun-2026; etiqueta por el año en que termina). Desdoblamiento 10 por 1 del 2-oct-2024: BPA, DPA y acciones de FY2019-FY2022 divididos o multiplicados por 10 para ponerlos en acciones de hoy. Cuentas FY2019-FY2026 del XBRL de la SEC comprobadas con el 10-K FY2026 [1, 2]; la caja de FY2019-FY2022 es solo efectivo (entonces había además inversiones a corto plazo), lo que exagera la deuda neta de esos años. US GAAP: los arrendamientos operativos (387 M USD) están en el EBITDA y no van al puente. Precio: cierre del 21-oct-2026 (260,81 USD), anterior a los resultados del 1T FY27, publicados tras el cierre; fuera de hora cotizaba a unos 249 USD (−4,5 %) [41]. Puente a 27-sep-2026 del 8-K del 1T FY27 [8]. Comparables de la nota D del informe de VAT llevados al cierre del 21-oct con la variación de cada precio, con la fila de KLA corregida [29]; el consenso de EBITDA de Lam no es gratuito, así que el EV/EBITDA de los próximos 12 meses no se calcula.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Lam Research Corporation (LRCX)</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260,81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(135,50 – 438,50)</c:v>
                </c:pt>
                <c:pt idx="1">
                  <c:v>Precio objetivo de los analistas (290,00 – 500,00)</c:v>
                </c:pt>
                <c:pt idx="2">
                  <c:v>Comparables: PER NTM (239,33 – 319,02)</c:v>
                </c:pt>
                <c:pt idx="3">
                  <c:v>DCF (WACC y g ± 0,5) (100,28 – 115,98)</c:v>
                </c:pt>
                <c:pt idx="4">
                  <c:v>Escenarios (bajista – alcista) (65,03 – 133,09)</c:v>
                </c:pt>
                <c:pt idx="5">
                  <c:v>DCF con la prima implícita del mercado (4,2 %)</c:v>
                </c:pt>
                <c:pt idx="6">
                  <c:v>Precio actual (260,81)</c:v>
                </c:pt>
              </c:strCache>
            </c:strRef>
          </c:cat>
          <c:val>
            <c:numRef>
              <c:f>Hoja1!$B$2:$B$8</c:f>
              <c:numCache>
                <c:formatCode>#,##0</c:formatCode>
                <c:ptCount val="7"/>
                <c:pt idx="0">
                  <c:v>135.5</c:v>
                </c:pt>
                <c:pt idx="1">
                  <c:v>290</c:v>
                </c:pt>
                <c:pt idx="2">
                  <c:v>239.33</c:v>
                </c:pt>
                <c:pt idx="3">
                  <c:v>100.28</c:v>
                </c:pt>
                <c:pt idx="4">
                  <c:v>65.03</c:v>
                </c:pt>
                <c:pt idx="5">
                  <c:v>124.3</c:v>
                </c:pt>
                <c:pt idx="6">
                  <c:v>259.51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(135,50 – 438,50)</c:v>
                </c:pt>
                <c:pt idx="1">
                  <c:v>Precio objetivo de los analistas (290,00 – 500,00)</c:v>
                </c:pt>
                <c:pt idx="2">
                  <c:v>Comparables: PER NTM (239,33 – 319,02)</c:v>
                </c:pt>
                <c:pt idx="3">
                  <c:v>DCF (WACC y g ± 0,5) (100,28 – 115,98)</c:v>
                </c:pt>
                <c:pt idx="4">
                  <c:v>Escenarios (bajista – alcista) (65,03 – 133,09)</c:v>
                </c:pt>
                <c:pt idx="5">
                  <c:v>DCF con la prima implícita del mercado (4,2 %)</c:v>
                </c:pt>
                <c:pt idx="6">
                  <c:v>Precio actual (260,81)</c:v>
                </c:pt>
              </c:strCache>
            </c:strRef>
          </c:cat>
          <c:val>
            <c:numRef>
              <c:f>Hoja1!$C$2:$C$8</c:f>
              <c:numCache>
                <c:formatCode>#,##0</c:formatCode>
                <c:ptCount val="7"/>
                <c:pt idx="0">
                  <c:v>303</c:v>
                </c:pt>
                <c:pt idx="1">
                  <c:v>210</c:v>
                </c:pt>
                <c:pt idx="2">
                  <c:v>79.68999999999997</c:v>
                </c:pt>
                <c:pt idx="3">
                  <c:v>15.700000000000003</c:v>
                </c:pt>
                <c:pt idx="4">
                  <c:v>68.06</c:v>
                </c:pt>
                <c:pt idx="5">
                  <c:v>16.280000000000015</c:v>
                </c:pt>
                <c:pt idx="6">
                  <c:v>2.6000000000000227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Sistemas (equipos nuevos de vanguardia)</c:v>
                </c:pt>
              </c:strCache>
            </c:strRef>
          </c:tx>
          <c:spPr>
            <a:solidFill>
              <a:srgbClr val="2A78D6"/>
            </a:solidFill>
            <a:ln w="12700">
              <a:solidFill>
                <a:srgbClr val="FFFFFF"/>
              </a:solidFill>
            </a:ln>
          </c:spPr>
          <c:invertIfNegative val="0"/>
          <c:cat>
            <c:strRef>
              <c:f>Hoja1!$A$2:$A$4</c:f>
              <c:strCache>
                <c:ptCount val="3"/>
                <c:pt idx="0">
                  <c:v>FY2024</c:v>
                </c:pt>
                <c:pt idx="1">
                  <c:v>FY2025</c:v>
                </c:pt>
                <c:pt idx="2">
                  <c:v>FY2026</c:v>
                </c:pt>
              </c:strCache>
            </c:strRef>
          </c:cat>
          <c:val>
            <c:numRef>
              <c:f>Hoja1!$B$2:$B$4</c:f>
              <c:numCache>
                <c:formatCode>#,##0</c:formatCode>
                <c:ptCount val="3"/>
                <c:pt idx="0">
                  <c:v>8921.7</c:v>
                </c:pt>
                <c:pt idx="1">
                  <c:v>11491.3</c:v>
                </c:pt>
                <c:pt idx="2">
                  <c:v>14885.5</c:v>
                </c:pt>
              </c:numCache>
            </c:numRef>
          </c:val>
        </c:ser>
        <c:ser>
          <c:idx val="1"/>
          <c:order val="1"/>
          <c:tx>
            <c:strRef>
              <c:f>Hoja1!$C$1</c:f>
              <c:strCache>
                <c:ptCount val="1"/>
                <c:pt idx="0">
                  <c:v>Soporte al cliente (CSBG) y otros</c:v>
                </c:pt>
              </c:strCache>
            </c:strRef>
          </c:tx>
          <c:spPr>
            <a:solidFill>
              <a:srgbClr val="EB6834"/>
            </a:solidFill>
            <a:ln w="12700">
              <a:solidFill>
                <a:srgbClr val="FFFFFF"/>
              </a:solidFill>
            </a:ln>
          </c:spPr>
          <c:invertIfNegative val="0"/>
          <c:cat>
            <c:strRef>
              <c:f>Hoja1!$A$2:$A$4</c:f>
              <c:strCache>
                <c:ptCount val="3"/>
                <c:pt idx="0">
                  <c:v>FY2024</c:v>
                </c:pt>
                <c:pt idx="1">
                  <c:v>FY2025</c:v>
                </c:pt>
                <c:pt idx="2">
                  <c:v>FY2026</c:v>
                </c:pt>
              </c:strCache>
            </c:strRef>
          </c:cat>
          <c:val>
            <c:numRef>
              <c:f>Hoja1!$C$2:$C$4</c:f>
              <c:numCache>
                <c:formatCode>#,##0</c:formatCode>
                <c:ptCount val="3"/>
                <c:pt idx="0">
                  <c:v>5983.7</c:v>
                </c:pt>
                <c:pt idx="1">
                  <c:v>6944.3</c:v>
                </c:pt>
                <c:pt idx="2">
                  <c:v>8347.2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Sistemas (equipos nuevos de vanguardia)</c:v>
                </c:pt>
                <c:pt idx="1">
                  <c:v>Soporte al cliente (CSBG) y otros</c:v>
                </c:pt>
              </c:strCache>
            </c:strRef>
          </c:cat>
          <c:val>
            <c:numRef>
              <c:f>Hoja1!$B$2:$B$3</c:f>
              <c:numCache>
                <c:formatCode>General</c:formatCode>
                <c:ptCount val="2"/>
                <c:pt idx="0">
                  <c:v>64.1</c:v>
                </c:pt>
                <c:pt idx="1">
                  <c:v>35.9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China</c:v>
                </c:pt>
                <c:pt idx="1">
                  <c:v>Taiwán</c:v>
                </c:pt>
                <c:pt idx="2">
                  <c:v>Corea</c:v>
                </c:pt>
                <c:pt idx="3">
                  <c:v>Japón</c:v>
                </c:pt>
                <c:pt idx="4">
                  <c:v>Estados Unidos</c:v>
                </c:pt>
                <c:pt idx="5">
                  <c:v>Sudeste asiático</c:v>
                </c:pt>
                <c:pt idx="6">
                  <c:v>Europa</c:v>
                </c:pt>
              </c:strCache>
            </c:strRef>
          </c:cat>
          <c:val>
            <c:numRef>
              <c:f>Hoja1!$B$2:$B$8</c:f>
              <c:numCache>
                <c:formatCode>0"%"</c:formatCode>
                <c:ptCount val="7"/>
                <c:pt idx="0">
                  <c:v>33.8</c:v>
                </c:pt>
                <c:pt idx="1">
                  <c:v>22.5</c:v>
                </c:pt>
                <c:pt idx="2">
                  <c:v>19.4</c:v>
                </c:pt>
                <c:pt idx="3">
                  <c:v>9.3</c:v>
                </c:pt>
                <c:pt idx="4">
                  <c:v>6.6</c:v>
                </c:pt>
                <c:pt idx="5">
                  <c:v>5.4</c:v>
                </c:pt>
                <c:pt idx="6">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(equipos de fabricación de obleas, WFE))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2025</c:v>
                </c:pt>
                <c:pt idx="1">
                  <c:v>2026e</c:v>
                </c:pt>
                <c:pt idx="2">
                  <c:v>2027e</c:v>
                </c:pt>
                <c:pt idx="3">
                  <c:v>2028e</c:v>
                </c:pt>
              </c:strCache>
            </c:strRef>
          </c:cat>
          <c:val>
            <c:numRef>
              <c:f>Hoja1!$B$2:$B$5</c:f>
              <c:numCache>
                <c:formatCode>#,##0</c:formatCode>
                <c:ptCount val="4"/>
                <c:pt idx="0">
                  <c:v>116900</c:v>
                </c:pt>
                <c:pt idx="1">
                  <c:v>143900</c:v>
                </c:pt>
                <c:pt idx="2">
                  <c:v>175300</c:v>
                </c:pt>
                <c:pt idx="3">
                  <c:v>200000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2</c:v>
                </c:pt>
                <c:pt idx="3">
                  <c:v>2</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Lam Research</c:v>
                </c:pt>
                <c:pt idx="1">
                  <c:v>Applied Materials</c:v>
                </c:pt>
                <c:pt idx="2">
                  <c:v>Tokyo Electron</c:v>
                </c:pt>
                <c:pt idx="3">
                  <c:v>KLA</c:v>
                </c:pt>
                <c:pt idx="4">
                  <c:v>ASM International</c:v>
                </c:pt>
                <c:pt idx="5">
                  <c:v>Naura y AMEC</c:v>
                </c:pt>
              </c:strCache>
            </c:strRef>
          </c:cat>
          <c:val>
            <c:numRef>
              <c:f>Hoja1!$B$2:$B$7</c:f>
              <c:numCache>
                <c:formatCode>0.0"%"</c:formatCode>
                <c:ptCount val="6"/>
                <c:pt idx="0">
                  <c:v>35.3</c:v>
                </c:pt>
                <c:pt idx="1">
                  <c:v>29.2</c:v>
                </c:pt>
                <c:pt idx="2">
                  <c:v>25.6</c:v>
                </c:pt>
                <c:pt idx="3">
                  <c:v>41.7</c:v>
                </c:pt>
                <c:pt idx="4">
                  <c:v>29.6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5</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FY2019</c:v>
                </c:pt>
                <c:pt idx="1">
                  <c:v>FY2020</c:v>
                </c:pt>
                <c:pt idx="2">
                  <c:v>FY2021</c:v>
                </c:pt>
                <c:pt idx="3">
                  <c:v>FY2022</c:v>
                </c:pt>
                <c:pt idx="4">
                  <c:v>FY2023</c:v>
                </c:pt>
                <c:pt idx="5">
                  <c:v>FY2024</c:v>
                </c:pt>
                <c:pt idx="6">
                  <c:v>FY2025</c:v>
                </c:pt>
                <c:pt idx="7">
                  <c:v>FY2026</c:v>
                </c:pt>
                <c:pt idx="8">
                  <c:v>FY2027e</c:v>
                </c:pt>
                <c:pt idx="9">
                  <c:v>FY2028e</c:v>
                </c:pt>
                <c:pt idx="10">
                  <c:v>FY2029e</c:v>
                </c:pt>
                <c:pt idx="11">
                  <c:v>FY2030e</c:v>
                </c:pt>
                <c:pt idx="12">
                  <c:v>FY2031e</c:v>
                </c:pt>
                <c:pt idx="13">
                  <c:v>FY2032e</c:v>
                </c:pt>
                <c:pt idx="14">
                  <c:v>FY2033e</c:v>
                </c:pt>
                <c:pt idx="15">
                  <c:v>FY2034e</c:v>
                </c:pt>
                <c:pt idx="16">
                  <c:v>FY2035e</c:v>
                </c:pt>
                <c:pt idx="17">
                  <c:v>FY2036e</c:v>
                </c:pt>
              </c:strCache>
            </c:strRef>
          </c:cat>
          <c:val>
            <c:numRef>
              <c:f>Hoja1!$B$2:$B$19</c:f>
              <c:numCache>
                <c:formatCode>#,##0</c:formatCode>
                <c:ptCount val="18"/>
                <c:pt idx="0">
                  <c:v>9653.6</c:v>
                </c:pt>
                <c:pt idx="1">
                  <c:v>10044.7</c:v>
                </c:pt>
                <c:pt idx="2">
                  <c:v>14626.2</c:v>
                </c:pt>
                <c:pt idx="3">
                  <c:v>17227</c:v>
                </c:pt>
                <c:pt idx="4">
                  <c:v>17428.5</c:v>
                </c:pt>
                <c:pt idx="5">
                  <c:v>14905.4</c:v>
                </c:pt>
                <c:pt idx="6">
                  <c:v>18435.6</c:v>
                </c:pt>
                <c:pt idx="7">
                  <c:v>23232.7</c:v>
                </c:pt>
                <c:pt idx="8">
                  <c:v>34617</c:v>
                </c:pt>
                <c:pt idx="9">
                  <c:v>39809</c:v>
                </c:pt>
                <c:pt idx="10">
                  <c:v>37421</c:v>
                </c:pt>
                <c:pt idx="11">
                  <c:v>39666</c:v>
                </c:pt>
                <c:pt idx="12">
                  <c:v>43236</c:v>
                </c:pt>
                <c:pt idx="13">
                  <c:v>46262</c:v>
                </c:pt>
                <c:pt idx="14">
                  <c:v>49038</c:v>
                </c:pt>
                <c:pt idx="15">
                  <c:v>51490</c:v>
                </c:pt>
                <c:pt idx="16">
                  <c:v>53550</c:v>
                </c:pt>
                <c:pt idx="17">
                  <c:v>55424</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FY2019</c:v>
                </c:pt>
                <c:pt idx="1">
                  <c:v>FY2020</c:v>
                </c:pt>
                <c:pt idx="2">
                  <c:v>FY2021</c:v>
                </c:pt>
                <c:pt idx="3">
                  <c:v>FY2022</c:v>
                </c:pt>
                <c:pt idx="4">
                  <c:v>FY2023</c:v>
                </c:pt>
                <c:pt idx="5">
                  <c:v>FY2024</c:v>
                </c:pt>
                <c:pt idx="6">
                  <c:v>FY2025</c:v>
                </c:pt>
                <c:pt idx="7">
                  <c:v>FY2026</c:v>
                </c:pt>
                <c:pt idx="8">
                  <c:v>FY2027e</c:v>
                </c:pt>
                <c:pt idx="9">
                  <c:v>FY2028e</c:v>
                </c:pt>
                <c:pt idx="10">
                  <c:v>FY2029e</c:v>
                </c:pt>
                <c:pt idx="11">
                  <c:v>FY2030e</c:v>
                </c:pt>
                <c:pt idx="12">
                  <c:v>FY2031e</c:v>
                </c:pt>
                <c:pt idx="13">
                  <c:v>FY2032e</c:v>
                </c:pt>
                <c:pt idx="14">
                  <c:v>FY2033e</c:v>
                </c:pt>
                <c:pt idx="15">
                  <c:v>FY2034e</c:v>
                </c:pt>
                <c:pt idx="16">
                  <c:v>FY2035e</c:v>
                </c:pt>
                <c:pt idx="17">
                  <c:v>FY2036e</c:v>
                </c:pt>
              </c:strCache>
            </c:strRef>
          </c:cat>
          <c:val>
            <c:numRef>
              <c:f>Hoja1!$C$2:$C$19</c:f>
              <c:numCache>
                <c:formatCode>#,##0</c:formatCode>
                <c:ptCount val="18"/>
                <c:pt idx="0">
                  <c:v>2774</c:v>
                </c:pt>
                <c:pt idx="1">
                  <c:v>2942.3</c:v>
                </c:pt>
                <c:pt idx="2">
                  <c:v>4789.2</c:v>
                </c:pt>
                <c:pt idx="3">
                  <c:v>5715.5</c:v>
                </c:pt>
                <c:pt idx="4">
                  <c:v>5517.3</c:v>
                </c:pt>
                <c:pt idx="5">
                  <c:v>4623.6</c:v>
                </c:pt>
                <c:pt idx="6">
                  <c:v>6287.3</c:v>
                </c:pt>
                <c:pt idx="7">
                  <c:v>8641.3</c:v>
                </c:pt>
                <c:pt idx="8">
                  <c:v>14366</c:v>
                </c:pt>
                <c:pt idx="9">
                  <c:v>16521</c:v>
                </c:pt>
                <c:pt idx="10">
                  <c:v>14968</c:v>
                </c:pt>
                <c:pt idx="11">
                  <c:v>16263</c:v>
                </c:pt>
                <c:pt idx="12">
                  <c:v>18159</c:v>
                </c:pt>
                <c:pt idx="13">
                  <c:v>19430</c:v>
                </c:pt>
                <c:pt idx="14">
                  <c:v>20596</c:v>
                </c:pt>
                <c:pt idx="15">
                  <c:v>21626</c:v>
                </c:pt>
                <c:pt idx="16">
                  <c:v>22491</c:v>
                </c:pt>
                <c:pt idx="17">
                  <c:v>23278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0">
                  <c:v>45.1</c:v>
                </c:pt>
                <c:pt idx="1">
                  <c:v>45.9</c:v>
                </c:pt>
                <c:pt idx="2">
                  <c:v>46.5</c:v>
                </c:pt>
                <c:pt idx="3">
                  <c:v>45.7</c:v>
                </c:pt>
                <c:pt idx="4">
                  <c:v>44.6</c:v>
                </c:pt>
                <c:pt idx="5">
                  <c:v>47.3</c:v>
                </c:pt>
                <c:pt idx="6">
                  <c:v>48.7</c:v>
                </c:pt>
                <c:pt idx="7">
                  <c:v>50.5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28.7</c:v>
                </c:pt>
                <c:pt idx="1">
                  <c:v>29.3</c:v>
                </c:pt>
                <c:pt idx="2">
                  <c:v>32.7</c:v>
                </c:pt>
                <c:pt idx="3">
                  <c:v>33.2</c:v>
                </c:pt>
                <c:pt idx="4">
                  <c:v>31.7</c:v>
                </c:pt>
                <c:pt idx="5">
                  <c:v>31</c:v>
                </c:pt>
                <c:pt idx="6">
                  <c:v>34.1</c:v>
                </c:pt>
                <c:pt idx="7">
                  <c:v>37.2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Hoja1!$D$2:$D$9</c:f>
              <c:numCache>
                <c:formatCode>0"%"</c:formatCode>
                <c:ptCount val="8"/>
                <c:pt idx="0">
                  <c:v>25.5</c:v>
                </c:pt>
                <c:pt idx="1">
                  <c:v>26.6</c:v>
                </c:pt>
                <c:pt idx="2">
                  <c:v>30.6</c:v>
                </c:pt>
                <c:pt idx="3">
                  <c:v>31.2</c:v>
                </c:pt>
                <c:pt idx="4">
                  <c:v>29.7</c:v>
                </c:pt>
                <c:pt idx="5">
                  <c:v>28.6</c:v>
                </c:pt>
                <c:pt idx="6">
                  <c:v>32</c:v>
                </c:pt>
                <c:pt idx="7">
                  <c:v>35.3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Hoja1!$E$2:$E$9</c:f>
              <c:numCache>
                <c:formatCode>0"%"</c:formatCode>
                <c:ptCount val="8"/>
                <c:pt idx="0">
                  <c:v>22.7</c:v>
                </c:pt>
                <c:pt idx="1">
                  <c:v>22.4</c:v>
                </c:pt>
                <c:pt idx="2">
                  <c:v>26.7</c:v>
                </c:pt>
                <c:pt idx="3">
                  <c:v>26.7</c:v>
                </c:pt>
                <c:pt idx="4">
                  <c:v>25.9</c:v>
                </c:pt>
                <c:pt idx="5">
                  <c:v>25.7</c:v>
                </c:pt>
                <c:pt idx="6">
                  <c:v>29.1</c:v>
                </c:pt>
                <c:pt idx="7">
                  <c:v>31.3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2T FY25</c:v>
                </c:pt>
                <c:pt idx="1">
                  <c:v>3T FY25</c:v>
                </c:pt>
                <c:pt idx="2">
                  <c:v>4T FY25</c:v>
                </c:pt>
                <c:pt idx="3">
                  <c:v>1T FY26</c:v>
                </c:pt>
                <c:pt idx="4">
                  <c:v>2T FY26</c:v>
                </c:pt>
                <c:pt idx="5">
                  <c:v>3T FY26</c:v>
                </c:pt>
                <c:pt idx="6">
                  <c:v>4T FY26</c:v>
                </c:pt>
                <c:pt idx="7">
                  <c:v>1T FY27</c:v>
                </c:pt>
              </c:strCache>
            </c:strRef>
          </c:cat>
          <c:val>
            <c:numRef>
              <c:f>Hoja1!$B$2:$B$9</c:f>
              <c:numCache>
                <c:formatCode>0.0"%"</c:formatCode>
                <c:ptCount val="8"/>
                <c:pt idx="0">
                  <c:v>16.4</c:v>
                </c:pt>
                <c:pt idx="1">
                  <c:v>24.4</c:v>
                </c:pt>
                <c:pt idx="2">
                  <c:v>33.6</c:v>
                </c:pt>
                <c:pt idx="3">
                  <c:v>27.7</c:v>
                </c:pt>
                <c:pt idx="4">
                  <c:v>22.1</c:v>
                </c:pt>
                <c:pt idx="5">
                  <c:v>23.8</c:v>
                </c:pt>
                <c:pt idx="6">
                  <c:v>30</c:v>
                </c:pt>
                <c:pt idx="7">
                  <c:v>54.4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0">
                  <c:v>55</c:v>
                </c:pt>
                <c:pt idx="1">
                  <c:v>76</c:v>
                </c:pt>
                <c:pt idx="2">
                  <c:v>76</c:v>
                </c:pt>
                <c:pt idx="3">
                  <c:v>91</c:v>
                </c:pt>
                <c:pt idx="4">
                  <c:v>59</c:v>
                </c:pt>
                <c:pt idx="5">
                  <c:v>62</c:v>
                </c:pt>
                <c:pt idx="6">
                  <c:v>67</c:v>
                </c:pt>
                <c:pt idx="7">
                  <c:v>84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106</c:v>
                </c:pt>
                <c:pt idx="1">
                  <c:v>128</c:v>
                </c:pt>
                <c:pt idx="2">
                  <c:v>126</c:v>
                </c:pt>
                <c:pt idx="3">
                  <c:v>155</c:v>
                </c:pt>
                <c:pt idx="4">
                  <c:v>182</c:v>
                </c:pt>
                <c:pt idx="5">
                  <c:v>196</c:v>
                </c:pt>
                <c:pt idx="6">
                  <c:v>166</c:v>
                </c:pt>
                <c:pt idx="7">
                  <c:v>136</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Hoja1!$D$2:$D$9</c:f>
              <c:numCache>
                <c:formatCode>0</c:formatCode>
                <c:ptCount val="8"/>
                <c:pt idx="0">
                  <c:v>26</c:v>
                </c:pt>
                <c:pt idx="1">
                  <c:v>40</c:v>
                </c:pt>
                <c:pt idx="2">
                  <c:v>39</c:v>
                </c:pt>
                <c:pt idx="3">
                  <c:v>39</c:v>
                </c:pt>
                <c:pt idx="4">
                  <c:v>18</c:v>
                </c:pt>
                <c:pt idx="5">
                  <c:v>29</c:v>
                </c:pt>
                <c:pt idx="6">
                  <c:v>33</c:v>
                </c:pt>
                <c:pt idx="7">
                  <c:v>41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0">
                  <c:v>2872.5</c:v>
                </c:pt>
                <c:pt idx="1">
                  <c:v>1919.8</c:v>
                </c:pt>
                <c:pt idx="2">
                  <c:v>3233.1</c:v>
                </c:pt>
                <c:pt idx="3">
                  <c:v>2542.2</c:v>
                </c:pt>
                <c:pt idx="4">
                  <c:v>4662.299999999999</c:v>
                </c:pt>
                <c:pt idx="5">
                  <c:v>3999.9000000000005</c:v>
                </c:pt>
                <c:pt idx="6">
                  <c:v>5410</c:v>
                </c:pt>
                <c:pt idx="7">
                  <c:v>4886.3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2191.4</c:v>
                </c:pt>
                <c:pt idx="1">
                  <c:v>2251.8</c:v>
                </c:pt>
                <c:pt idx="2">
                  <c:v>3908.5</c:v>
                </c:pt>
                <c:pt idx="3">
                  <c:v>4605.3</c:v>
                </c:pt>
                <c:pt idx="4">
                  <c:v>4510.9</c:v>
                </c:pt>
                <c:pt idx="5">
                  <c:v>3827.8</c:v>
                </c:pt>
                <c:pt idx="6">
                  <c:v>5358.2</c:v>
                </c:pt>
                <c:pt idx="7">
                  <c:v>7265.4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0">
                  <c:v>40.5</c:v>
                </c:pt>
                <c:pt idx="1">
                  <c:v>40</c:v>
                </c:pt>
                <c:pt idx="2">
                  <c:v>61.6</c:v>
                </c:pt>
                <c:pt idx="3">
                  <c:v>64.7</c:v>
                </c:pt>
                <c:pt idx="4">
                  <c:v>56.7</c:v>
                </c:pt>
                <c:pt idx="5">
                  <c:v>46.5</c:v>
                </c:pt>
                <c:pt idx="6">
                  <c:v>65.6</c:v>
                </c:pt>
                <c:pt idx="7">
                  <c:v>75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13</c:v>
                </c:pt>
                <c:pt idx="1">
                  <c:v>13</c:v>
                </c:pt>
                <c:pt idx="2">
                  <c:v>13</c:v>
                </c:pt>
                <c:pt idx="3">
                  <c:v>13</c:v>
                </c:pt>
                <c:pt idx="4">
                  <c:v>13</c:v>
                </c:pt>
                <c:pt idx="5">
                  <c:v>13</c:v>
                </c:pt>
                <c:pt idx="6">
                  <c:v>13</c:v>
                </c:pt>
                <c:pt idx="7">
                  <c:v>13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Hoja1!$D$2:$D$9</c:f>
              <c:numCache>
                <c:formatCode>0"%"</c:formatCode>
                <c:ptCount val="8"/>
                <c:pt idx="0">
                  <c:v>46.9</c:v>
                </c:pt>
                <c:pt idx="1">
                  <c:v>45.7</c:v>
                </c:pt>
                <c:pt idx="2">
                  <c:v>69.8</c:v>
                </c:pt>
                <c:pt idx="3">
                  <c:v>74.8</c:v>
                </c:pt>
                <c:pt idx="4">
                  <c:v>62.3</c:v>
                </c:pt>
                <c:pt idx="5">
                  <c:v>45.7</c:v>
                </c:pt>
                <c:pt idx="6">
                  <c:v>58.2</c:v>
                </c:pt>
                <c:pt idx="7">
                  <c:v>65.1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0.0"x"</c:formatCode>
                <c:ptCount val="8"/>
                <c:pt idx="0">
                  <c:v>0.28</c:v>
                </c:pt>
                <c:pt idx="1">
                  <c:v>0.36</c:v>
                </c:pt>
                <c:pt idx="2">
                  <c:v>0.16</c:v>
                </c:pt>
                <c:pt idx="3">
                  <c:v>0.3</c:v>
                </c:pt>
                <c:pt idx="4">
                  <c:v>-0.02</c:v>
                </c:pt>
                <c:pt idx="5">
                  <c:v>-0.12</c:v>
                </c:pt>
                <c:pt idx="6">
                  <c:v>-0.26</c:v>
                </c:pt>
                <c:pt idx="7">
                  <c:v>-0.17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FY2027</c:v>
                </c:pt>
                <c:pt idx="1">
                  <c:v>FY2028</c:v>
                </c:pt>
                <c:pt idx="2">
                  <c:v>FY2029</c:v>
                </c:pt>
                <c:pt idx="3">
                  <c:v>FY2030</c:v>
                </c:pt>
                <c:pt idx="4">
                  <c:v>FY2031</c:v>
                </c:pt>
                <c:pt idx="5">
                  <c:v>FY2032+</c:v>
                </c:pt>
              </c:strCache>
            </c:strRef>
          </c:cat>
          <c:val>
            <c:numRef>
              <c:f>Hoja1!$B$2:$B$7</c:f>
              <c:numCache>
                <c:formatCode>#,##0</c:formatCode>
                <c:ptCount val="6"/>
                <c:pt idx="0">
                  <c:v>0</c:v>
                </c:pt>
                <c:pt idx="1">
                  <c:v>0</c:v>
                </c:pt>
                <c:pt idx="2">
                  <c:v>1000</c:v>
                </c:pt>
                <c:pt idx="3">
                  <c:v>750</c:v>
                </c:pt>
                <c:pt idx="4">
                  <c:v>0</c:v>
                </c:pt>
                <c:pt idx="5">
                  <c:v>2000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0">
                  <c:v>0</c:v>
                </c:pt>
                <c:pt idx="1">
                  <c:v>0</c:v>
                </c:pt>
                <c:pt idx="2">
                  <c:v>0</c:v>
                </c:pt>
                <c:pt idx="3">
                  <c:v>0</c:v>
                </c:pt>
                <c:pt idx="4">
                  <c:v>120</c:v>
                </c:pt>
                <c:pt idx="5">
                  <c:v>0</c:v>
                </c:pt>
                <c:pt idx="6">
                  <c:v>0</c:v>
                </c:pt>
                <c:pt idx="7">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678.3</c:v>
                </c:pt>
                <c:pt idx="1">
                  <c:v>656.8</c:v>
                </c:pt>
                <c:pt idx="2">
                  <c:v>727</c:v>
                </c:pt>
                <c:pt idx="3">
                  <c:v>815.3</c:v>
                </c:pt>
                <c:pt idx="4">
                  <c:v>907.9</c:v>
                </c:pt>
                <c:pt idx="5">
                  <c:v>1018.9</c:v>
                </c:pt>
                <c:pt idx="6">
                  <c:v>1149.5</c:v>
                </c:pt>
                <c:pt idx="7">
                  <c:v>1270.6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Hoja1!$D$2:$D$9</c:f>
              <c:numCache>
                <c:formatCode>#,##0</c:formatCode>
                <c:ptCount val="8"/>
                <c:pt idx="0">
                  <c:v>3780.6</c:v>
                </c:pt>
                <c:pt idx="1">
                  <c:v>1369.6</c:v>
                </c:pt>
                <c:pt idx="2">
                  <c:v>2697.7</c:v>
                </c:pt>
                <c:pt idx="3">
                  <c:v>3865.7</c:v>
                </c:pt>
                <c:pt idx="4">
                  <c:v>2017</c:v>
                </c:pt>
                <c:pt idx="5">
                  <c:v>2842.8</c:v>
                </c:pt>
                <c:pt idx="6">
                  <c:v>3422.3</c:v>
                </c:pt>
                <c:pt idx="7">
                  <c:v>3851.3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11</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BlackRock, Inc.</c:v>
                </c:pt>
                <c:pt idx="1">
                  <c:v>Vanguard Capital Management</c:v>
                </c:pt>
                <c:pt idx="2">
                  <c:v>Consejeros y directivos (18 personas)</c:v>
                </c:pt>
              </c:strCache>
            </c:strRef>
          </c:cat>
          <c:val>
            <c:numRef>
              <c:f>Hoja1!$B$2:$B$4</c:f>
              <c:numCache>
                <c:formatCode>0.0"%"</c:formatCode>
                <c:ptCount val="3"/>
                <c:pt idx="0">
                  <c:v>9.41</c:v>
                </c:pt>
                <c:pt idx="1">
                  <c:v>7.49</c:v>
                </c:pt>
                <c:pt idx="2">
                  <c:v>0.31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35.2</c:v>
                </c:pt>
                <c:pt idx="1">
                  <c:v>76.2</c:v>
                </c:pt>
                <c:pt idx="2">
                  <c:v>-24.4</c:v>
                </c:pt>
                <c:pt idx="3">
                  <c:v>119.3</c:v>
                </c:pt>
                <c:pt idx="4">
                  <c:v>64.2</c:v>
                </c:pt>
                <c:pt idx="5">
                  <c:v>53.7</c:v>
                </c:pt>
                <c:pt idx="6">
                  <c:v>-40.7</c:v>
                </c:pt>
                <c:pt idx="7">
                  <c:v>88.6</c:v>
                </c:pt>
                <c:pt idx="8">
                  <c:v>-6.8</c:v>
                </c:pt>
                <c:pt idx="9">
                  <c:v>139.2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0.0"x"</c:formatCode>
                <c:ptCount val="8"/>
                <c:pt idx="0">
                  <c:v>11.1</c:v>
                </c:pt>
                <c:pt idx="1">
                  <c:v>16.8</c:v>
                </c:pt>
                <c:pt idx="2">
                  <c:v>19.9</c:v>
                </c:pt>
                <c:pt idx="3">
                  <c:v>10.8</c:v>
                </c:pt>
                <c:pt idx="4">
                  <c:v>15.8</c:v>
                </c:pt>
                <c:pt idx="5">
                  <c:v>30.3</c:v>
                </c:pt>
                <c:pt idx="6">
                  <c:v>19.7</c:v>
                </c:pt>
                <c:pt idx="7">
                  <c:v>63.1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0.0"x"</c:formatCode>
                <c:ptCount val="8"/>
                <c:pt idx="0">
                  <c:v>18.3</c:v>
                </c:pt>
                <c:pt idx="1">
                  <c:v>18.3</c:v>
                </c:pt>
                <c:pt idx="2">
                  <c:v>18.3</c:v>
                </c:pt>
                <c:pt idx="3">
                  <c:v>18.3</c:v>
                </c:pt>
                <c:pt idx="4">
                  <c:v>18.3</c:v>
                </c:pt>
                <c:pt idx="5">
                  <c:v>18.3</c:v>
                </c:pt>
                <c:pt idx="6">
                  <c:v>18.3</c:v>
                </c:pt>
                <c:pt idx="7">
                  <c:v>18.3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Lam Research</c:v>
                </c:pt>
                <c:pt idx="1">
                  <c:v>Applied Materials</c:v>
                </c:pt>
                <c:pt idx="2">
                  <c:v>KLA</c:v>
                </c:pt>
                <c:pt idx="3">
                  <c:v>ASM International</c:v>
                </c:pt>
                <c:pt idx="4">
                  <c:v>MKS Inc.</c:v>
                </c:pt>
                <c:pt idx="5">
                  <c:v>VAT Group</c:v>
                </c:pt>
                <c:pt idx="6">
                  <c:v>Inficon</c:v>
                </c:pt>
              </c:strCache>
            </c:strRef>
          </c:cat>
          <c:val>
            <c:numRef>
              <c:f>Hoja1!$B$2:$B$8</c:f>
              <c:numCache>
                <c:formatCode>0.0"x"</c:formatCode>
                <c:ptCount val="7"/>
                <c:pt idx="1">
                  <c:v>19.3</c:v>
                </c:pt>
                <c:pt idx="3">
                  <c:v>18.1</c:v>
                </c:pt>
                <c:pt idx="4">
                  <c:v>10</c:v>
                </c:pt>
                <c:pt idx="5">
                  <c:v>29.4</c:v>
                </c:pt>
                <c:pt idx="6">
                  <c:v>22.8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Applied Materials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27.5</c:v>
                </c:pt>
              </c:numCache>
            </c:numRef>
          </c:xVal>
          <c:yVal>
            <c:numRef>
              <c:f>Hoja1!$C$2</c:f>
              <c:numCache>
                <c:formatCode>0.0"x"</c:formatCode>
                <c:ptCount val="1"/>
                <c:pt idx="0">
                  <c:v>19.3</c:v>
                </c:pt>
              </c:numCache>
            </c:numRef>
          </c:yVal>
          <c:smooth val="0"/>
        </c:ser>
        <c:ser>
          <c:idx val="1"/>
          <c:order val="1"/>
          <c:tx>
            <c:strRef>
              <c:f>Hoja1!$A$3</c:f>
              <c:strCache>
                <c:ptCount val="1"/>
                <c:pt idx="0">
                  <c:v>ASM International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31.1</c:v>
                </c:pt>
              </c:numCache>
            </c:numRef>
          </c:xVal>
          <c:yVal>
            <c:numRef>
              <c:f>Hoja1!$C$3</c:f>
              <c:numCache>
                <c:formatCode>0.0"x"</c:formatCode>
                <c:ptCount val="1"/>
                <c:pt idx="0">
                  <c:v>18.1</c:v>
                </c:pt>
              </c:numCache>
            </c:numRef>
          </c:yVal>
          <c:smooth val="0"/>
        </c:ser>
        <c:ser>
          <c:idx val="2"/>
          <c:order val="2"/>
          <c:tx>
            <c:strRef>
              <c:f>Hoja1!$A$4</c:f>
              <c:strCache>
                <c:ptCount val="1"/>
                <c:pt idx="0">
                  <c:v>MKS Inc.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25.7</c:v>
                </c:pt>
              </c:numCache>
            </c:numRef>
          </c:xVal>
          <c:yVal>
            <c:numRef>
              <c:f>Hoja1!$C$4</c:f>
              <c:numCache>
                <c:formatCode>0.0"x"</c:formatCode>
                <c:ptCount val="1"/>
                <c:pt idx="0">
                  <c:v>10</c:v>
                </c:pt>
              </c:numCache>
            </c:numRef>
          </c:yVal>
          <c:smooth val="0"/>
        </c:ser>
        <c:ser>
          <c:idx val="3"/>
          <c:order val="3"/>
          <c:tx>
            <c:strRef>
              <c:f>Hoja1!$A$5</c:f>
              <c:strCache>
                <c:ptCount val="1"/>
                <c:pt idx="0">
                  <c:v>VAT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51.9</c:v>
                </c:pt>
              </c:numCache>
            </c:numRef>
          </c:xVal>
          <c:yVal>
            <c:numRef>
              <c:f>Hoja1!$C$5</c:f>
              <c:numCache>
                <c:formatCode>0.0"x"</c:formatCode>
                <c:ptCount val="1"/>
                <c:pt idx="0">
                  <c:v>29.4</c:v>
                </c:pt>
              </c:numCache>
            </c:numRef>
          </c:yVal>
          <c:smooth val="0"/>
        </c:ser>
        <c:ser>
          <c:idx val="4"/>
          <c:order val="4"/>
          <c:tx>
            <c:strRef>
              <c:f>Hoja1!$A$6</c:f>
              <c:strCache>
                <c:ptCount val="1"/>
                <c:pt idx="0">
                  <c:v>Inficon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18.3</c:v>
                </c:pt>
              </c:numCache>
            </c:numRef>
          </c:xVal>
          <c:yVal>
            <c:numRef>
              <c:f>Hoja1!$C$6</c:f>
              <c:numCache>
                <c:formatCode>0.0"x"</c:formatCode>
                <c:ptCount val="1"/>
                <c:pt idx="0">
                  <c:v>22.8</c:v>
                </c:pt>
              </c:numCache>
            </c:numRef>
          </c:yVal>
          <c:smooth val="0"/>
        </c:ser>
        <c:axId val="10"/>
        <c:axId val="20"/>
      </c:scatterChart>
      <c:valAx>
        <c:axId val="10"/>
        <c:scaling>
          <c:orientation val="minMax"/>
          <c:max val="70"/>
          <c:min val="1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8856</c:v>
                </c:pt>
                <c:pt idx="1">
                  <c:v>11155</c:v>
                </c:pt>
                <c:pt idx="2">
                  <c:v>11991</c:v>
                </c:pt>
                <c:pt idx="3">
                  <c:v>12235</c:v>
                </c:pt>
                <c:pt idx="4">
                  <c:v>13420</c:v>
                </c:pt>
                <c:pt idx="5">
                  <c:v>14566</c:v>
                </c:pt>
                <c:pt idx="6">
                  <c:v>15553</c:v>
                </c:pt>
                <c:pt idx="7">
                  <c:v>16450</c:v>
                </c:pt>
                <c:pt idx="8">
                  <c:v>17236</c:v>
                </c:pt>
                <c:pt idx="9">
                  <c:v>17906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74925</c:v>
                </c:pt>
                <c:pt idx="1">
                  <c:v>56234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260,81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65.03</c:v>
                </c:pt>
                <c:pt idx="1">
                  <c:v>107.39</c:v>
                </c:pt>
                <c:pt idx="2">
                  <c:v>133.09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260,81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(135,50 – 438,50)</c:v>
                </c:pt>
                <c:pt idx="1">
                  <c:v>Precio objetivo de los analistas (290,00 – 500,00)</c:v>
                </c:pt>
                <c:pt idx="2">
                  <c:v>Comparables: PER NTM (239,33 – 319,02)</c:v>
                </c:pt>
                <c:pt idx="3">
                  <c:v>DCF (WACC y g ± 0,5) (100,28 – 115,98)</c:v>
                </c:pt>
                <c:pt idx="4">
                  <c:v>Escenarios (bajista – alcista) (65,03 – 133,09)</c:v>
                </c:pt>
                <c:pt idx="5">
                  <c:v>DCF con la prima implícita del mercado (4,2 %)</c:v>
                </c:pt>
                <c:pt idx="6">
                  <c:v>Precio actual (260,81)</c:v>
                </c:pt>
              </c:strCache>
            </c:strRef>
          </c:cat>
          <c:val>
            <c:numRef>
              <c:f>Hoja1!$B$2:$B$8</c:f>
              <c:numCache>
                <c:formatCode>#,##0</c:formatCode>
                <c:ptCount val="7"/>
                <c:pt idx="0">
                  <c:v>135.5</c:v>
                </c:pt>
                <c:pt idx="1">
                  <c:v>290</c:v>
                </c:pt>
                <c:pt idx="2">
                  <c:v>239.33</c:v>
                </c:pt>
                <c:pt idx="3">
                  <c:v>100.28</c:v>
                </c:pt>
                <c:pt idx="4">
                  <c:v>65.03</c:v>
                </c:pt>
                <c:pt idx="5">
                  <c:v>124.3</c:v>
                </c:pt>
                <c:pt idx="6">
                  <c:v>259.51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(135,50 – 438,50)</c:v>
                </c:pt>
                <c:pt idx="1">
                  <c:v>Precio objetivo de los analistas (290,00 – 500,00)</c:v>
                </c:pt>
                <c:pt idx="2">
                  <c:v>Comparables: PER NTM (239,33 – 319,02)</c:v>
                </c:pt>
                <c:pt idx="3">
                  <c:v>DCF (WACC y g ± 0,5) (100,28 – 115,98)</c:v>
                </c:pt>
                <c:pt idx="4">
                  <c:v>Escenarios (bajista – alcista) (65,03 – 133,09)</c:v>
                </c:pt>
                <c:pt idx="5">
                  <c:v>DCF con la prima implícita del mercado (4,2 %)</c:v>
                </c:pt>
                <c:pt idx="6">
                  <c:v>Precio actual (260,81)</c:v>
                </c:pt>
              </c:strCache>
            </c:strRef>
          </c:cat>
          <c:val>
            <c:numRef>
              <c:f>Hoja1!$C$2:$C$8</c:f>
              <c:numCache>
                <c:formatCode>#,##0</c:formatCode>
                <c:ptCount val="7"/>
                <c:pt idx="0">
                  <c:v>303</c:v>
                </c:pt>
                <c:pt idx="1">
                  <c:v>210</c:v>
                </c:pt>
                <c:pt idx="2">
                  <c:v>79.68999999999997</c:v>
                </c:pt>
                <c:pt idx="3">
                  <c:v>15.700000000000003</c:v>
                </c:pt>
                <c:pt idx="4">
                  <c:v>68.06</c:v>
                </c:pt>
                <c:pt idx="5">
                  <c:v>16.280000000000015</c:v>
                </c:pt>
                <c:pt idx="6">
                  <c:v>2.6000000000000227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