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Copart, Inc.</w:t>
      </w:r>
    </w:p>
    <w:p>
      <w:pPr>
        <w:spacing w:after="60"/>
        <w:rPr>
          <w:color w:val="52514E"/>
          <w:sz w:val="22"/>
          <w:szCs w:val="22"/>
        </w:rPr>
      </w:pPr>
      <w:r>
        <w:rPr>
          <w:color w:val="52514E"/>
          <w:sz w:val="22"/>
          <w:szCs w:val="22"/>
        </w:rPr>
        <w:t xml:space="preserve">CPRT · NASDAQ Global Select Market · ISIN US2172041061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26,82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25,71 USD · mercado 27,88</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-4,1 % · mercado +4,0 %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24.980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10,4x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Copart,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CPRT / US2172041061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comerciales y profesionales (servicios de apoyo diversificados)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Dallas, Texas (EE. UU.) · 1982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https://www.copart.com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26,82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26,64 – 45,89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24.980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20.510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322 M USD/día (10,8 M de acciones; 64 sesiones hasta el 6-oct-2026) [55]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25,71 USD</w:t>
      </w:r>
      <w:r>
        <w:t xml:space="preserve"> frente a 26,82 · con la prima implícita del mercado: 27,88 (+4,0 %) · Rentabilidad total esperada a 12 meses </w:t>
      </w:r>
      <w:r>
        <w:rPr>
          <w:b/>
          <w:bCs/>
        </w:rPr>
        <w:t xml:space="preserve">-4,1 %</w:t>
      </w:r>
      <w:r>
        <w:t xml:space="preserve"> · Alcista / bajista +24,3 % / -31,7 %</w:t>
      </w:r>
    </w:p>
    <w:p>
      <w:pPr>
        <w:spacing w:after="100"/>
      </w:pPr>
      <w:r>
        <w:rPr>
          <w:b/>
        </w:rPr>
        <w:t xml:space="preserve">La recomendación y por qué.</w:t>
      </w:r>
      <w:r>
        <w:t xml:space="preserve"> Mantener, con convicción media. El valor objetivo es de 25,71 USD frente a un precio de 26,82 (cierre del 6-oct-2026): rentabilidad total esperada del −4,1 %, sin dividendo, con un alcista de +24,3 % y un bajista de −31,7 % (asimetría de 0,77x). Con la prima que hoy pide el mercado (4,2 % [91]) el valor sube a 27,88 USD (+4,0 %, asimetría 1,51x) y la regla relativa también da Mantener: tras caer un 58 % desde mayo de 2025, Copart ya no está cara, pero el precio descuenta nuestro caso base.</w:t>
      </w:r>
    </w:p>
    <w:p>
      <w:pPr>
        <w:spacing w:after="100"/>
      </w:pPr>
      <w:r>
        <w:rPr>
          <w:b/>
        </w:rPr>
        <w:t xml:space="preserve">El negocio.</w:t>
      </w:r>
      <w:r>
        <w:t xml:space="preserve"> Copart es la mitad grande del duopolio de subastas de coches siniestrados en EE. UU. (≈ 62 % de las unidades del par, estimación [26]), con terrenos propios, ≈ 1 M de compradores [1] y un margen EBITDA del 40,3 % frente al 30,5 % de RB Global [67]. Su ROIC (29,5 %) triplica el WACC (10,41 %). Lo vulnerable: los contratos con aseguradoras se rescinden con semanas de preaviso [26].</w:t>
      </w:r>
    </w:p>
    <w:p>
      <w:pPr>
        <w:spacing w:after="100"/>
      </w:pPr>
      <w:r>
        <w:rPr>
          <w:b/>
        </w:rPr>
        <w:t xml:space="preserve">Sector y ciclo.</w:t>
      </w:r>
      <w:r>
        <w:t xml:space="preserve"> Las unidades de aseguradoras en EE. UU. cayeron un 8 % en FY2026 y un 7,5 % en el 4T [16], por menos siniestros declarados (frecuencia de Progressive −7 %, −8 % y −5 % en 2023-2025 [25]) y por el cliente perdido; sin él, habrían subido un 2,3 % [16]. Leemos la caída de frecuencia como cíclica (se modera al −3,4 %) y la tasa de siniestro total al alza (23,3 %, casi 5 puntos más en cuatro años [22]) como estructural y favorable. Lo que puede durar es la pérdida de cuota: IAA creció un 11 % en lotes en el 2T de 2026 [28].</w:t>
      </w:r>
    </w:p>
    <w:p>
      <w:pPr>
        <w:spacing w:after="100"/>
      </w:pPr>
      <w:r>
        <w:rPr>
          <w:b/>
        </w:rPr>
        <w:t xml:space="preserve">Finanzas.</w:t>
      </w:r>
      <w:r>
        <w:t xml:space="preserve"> FY2026 fue el primer año sin crecimiento en una década: ventas de 4.666 M (+0,4 %), EBIT −2,6 % y margen EBITDA del 37,3 % en el 4T, con el coste por coche +12,7 % [11, 16]. La caja neta es de 4.487 M (4,82 USD por acción) tras recomprar 1.632,5 M a 37,63 USD [1]; ACV (≈ 1.900 M, OPA abierta) no está en nuestro valor. Calidad contable sin señales (Beneish M −2,51), salvo una investigación del DOJ sobre blanqueo sin provisión [1].</w:t>
      </w:r>
    </w:p>
    <w:p>
      <w:pPr>
        <w:spacing w:after="100"/>
      </w:pPr>
      <w:r>
        <w:rPr>
          <w:b/>
        </w:rPr>
        <w:t xml:space="preserve">Equipo y gobierno.</w:t>
      </w:r>
      <w:r>
        <w:t xml:space="preserve"> Resta. La familia fundadora (8,9 % con opciones [41]) controla de hecho: el fundador preside y en junio de 2026 su yerno, Jay Adair, volvió a CEO tras la salida de Jeff Liaw, que salió con más de lo que fijaba su contrato [36]. Cumple 6 de 13 criterios; los insiders vendieron 9,92 M USD en 12 meses sin comprar [48].</w:t>
      </w:r>
    </w:p>
    <w:p>
      <w:pPr>
        <w:spacing w:after="100"/>
      </w:pPr>
      <w:r>
        <w:rPr>
          <w:b/>
        </w:rPr>
        <w:t xml:space="preserve">Valoración.</w:t>
      </w:r>
      <w:r>
        <w:t xml:space="preserve"> DCF de 25,88 USD (peso 50 %), escenarios 30 % y comparables 20 % (8,8x EBITDA de los próximos 12 meses, 23,51 USD; muestra frágil). </w:t>
      </w:r>
      <w:r>
        <w:rPr>
          <w:b/>
        </w:rPr>
        <w:t xml:space="preserve">El DCF inverso dice que el precio descuenta un crecimiento del 4,9 % anual hasta FY2036e o un margen EBITDA del 41,4 %</w:t>
      </w:r>
      <w:r>
        <w:t xml:space="preserve">, frente al 4,5 % y el 40 % de nuestra base y al +3,8 % del consenso para FY2027 [64]. Es poco frente al 13,9 % anual de la década, y la acción cotiza a 10,9x EBITDA, la mitad de su media (22,3x). Coincidimos con el consenso en ventas y quedamos un 3,7 % por debajo en EBITDA de FY2027e: no discrepamos del mercado.</w:t>
      </w:r>
    </w:p>
    <w:p>
      <w:pPr>
        <w:spacing w:after="100"/>
      </w:pPr>
      <w:r>
        <w:rPr>
          <w:b/>
        </w:rPr>
        <w:t xml:space="preserve">Riesgos y catalizadores.</w:t>
      </w:r>
      <w:r>
        <w:t xml:space="preserve"> Otro gran asegurador que pase a IAA llevaría al bajista (18,31 USD); cada punto de margen permanente vale ≈ 2,6 % del valor; ACV, comprada a 29,1x EBITDA ajustado y con pérdidas GAAP [62], puede restar hasta 2,04 USD por acción. Catalizadores: fin de la OPA y del plazo antimonopolio (7 al 13-oct-2026 [59, 60]) y resultados del 1T FY2027 (19-nov, estimada [58]).</w:t>
      </w:r>
    </w:p>
    <w:p>
      <w:pPr>
        <w:spacing w:after="100"/>
      </w:pPr>
      <w:r>
        <w:rPr>
          <w:b/>
        </w:rPr>
        <w:t xml:space="preserve">Qué cambiaría la decisión.</w:t>
      </w:r>
      <w:r>
        <w:t xml:space="preserve"> Compraríamos por debajo de 24,22 USD o si las unidades de aseguradoras en EE. UU. vuelven a crecer con margen por encima del 40 %; venderíamos por encima de 30,98 USD o si caen más de un 5 %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25,71 USD</w:t>
      </w:r>
      <w:r>
        <w:t xml:space="preserve"> (-4,1 % sobre 26,82; rentabilidad total esperada -4,1 %) · con la prima implícita del mercado: 27,88 (+4,0 %)</w:t>
      </w:r>
    </w:p>
    <w:p>
      <w:pPr>
        <w:spacing w:after="100"/>
      </w:pPr>
      <w:r>
        <w:t xml:space="preserve">Copart es un negocio excepcional en un mal momento. Tiene la red de compradores más grande del salvage (≈ 1 M de miembros en 185 países [1]), terrenos propios que su rival arrienda [26], un margen EBITDA del 40,3 % y un ROIC del 29,5 %, por encima del 26,9 % cada año desde FY2017. En diez años multiplicó las ventas por 3,2 sin deuda y sin grandes compras [2].</w:t>
      </w:r>
    </w:p>
    <w:p>
      <w:pPr>
        <w:spacing w:after="100"/>
      </w:pPr>
      <w:r>
        <w:t xml:space="preserve">El precio, 26,82 USD, ya no paga un compuesto de crecimiento: 10,9x EBITDA frente a una media histórica de 22,3x, y un DCF inverso que descuenta un 4,9 % de crecimiento anual o un margen del 41,4 %, en línea con nuestro caso base (25,88 USD) y por debajo de la historia. Los comparables de subastas (RB Global, OPENLANE, USS) cotizan a 10,2-10,6x [67, 68, 69, 70, 71, 72]: el descuento frente a su pasado no lo es frente a sus pares.</w:t>
      </w:r>
    </w:p>
    <w:p>
      <w:pPr>
        <w:spacing w:after="100"/>
      </w:pPr>
      <w:r>
        <w:t xml:space="preserve">Para invertir hay que creer dos cosas que aún no se ven en los datos: que la caída del 8 % de las unidades de aseguradoras en EE. UU. [16] es un valle de la frecuencia de siniestros y no una pérdida de cuota frente a IAA [28], y que la compra de ACV por ≈ 1.900 M [13] no destruye valor. La primera tiene argumentos (la frecuencia se modera, la tasa de siniestro total sube [22]); la segunda, pocos datos. Hasta que el 1T y 2T FY2027 lo aclaren, el precio es justo.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 / -31,7 %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 frente a 10,4 %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24,22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24,22 y 30,98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30,98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las unidades de aseguradoras en EE. UU. caen más de un 5 % interanual en el 1T y el 2T FY2027, pasaríamos a Vender.</w:t>
      </w:r>
    </w:p>
    <w:p>
      <w:pPr>
        <w:pStyle w:val="ListParagraph"/>
        <w:numPr>
          <w:ilvl w:val="0"/>
          <w:numId w:val="2"/>
        </w:numPr>
        <w:spacing w:after="60"/>
      </w:pPr>
      <w:r>
        <w:t xml:space="preserve">Si el margen EBITDA trimestral baja del 36 % en dos trimestres seguidos, revisaríamos el caso base a la baja (≈ −2,6 % por punto).</w:t>
      </w:r>
    </w:p>
    <w:p>
      <w:pPr>
        <w:pStyle w:val="ListParagraph"/>
        <w:numPr>
          <w:ilvl w:val="0"/>
          <w:numId w:val="2"/>
        </w:numPr>
        <w:spacing w:after="60"/>
      </w:pPr>
      <w:r>
        <w:t xml:space="preserve">Si el precio baja de 24,22 USD sin deterioro de los volúmenes, pasaríamos a Comprar; por encima de 30,98 USD, a Vender.</w:t>
      </w:r>
    </w:p>
    <w:p>
      <w:pPr>
        <w:pStyle w:val="ListParagraph"/>
        <w:numPr>
          <w:ilvl w:val="0"/>
          <w:numId w:val="2"/>
        </w:numPr>
        <w:spacing w:after="60"/>
      </w:pPr>
      <w:r>
        <w:t xml:space="preserve">Si la OPA sobre ACV fracasa y Copart devuelve la caja con recompras por debajo de 30 USD, el valor por acción subiría y mejoraría la asignación de capital.</w:t>
      </w:r>
    </w:p>
    <w:p>
      <w:pPr>
        <w:pStyle w:val="ListParagraph"/>
        <w:numPr>
          <w:ilvl w:val="0"/>
          <w:numId w:val="2"/>
        </w:numPr>
        <w:spacing w:after="60"/>
      </w:pPr>
      <w:r>
        <w:t xml:space="preserve">Si RB Global publica un crecimiento de lotes de automoción por debajo del 3 % en dos trimestres, la tesis de la cuota perdida se debilitaría.</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maduro: crecimiento del 4,9 % anual y margen del 41,4 %, o una rentabilidad del 10,1 %, en línea con un coste de capital del 10,4 %. El consenso espera +3,8 % de ventas en FY2027 y 39 USD de precio objetivo medio [64, 65], pero el precio no lo sigue: la acción cotiza a la mitad de su múltiplo histórico desde los resultados del 4T y la compra de ACV.</w:t>
      </w:r>
    </w:p>
    <w:p>
      <w:pPr>
        <w:keepNext/>
        <w:spacing w:after="100"/>
      </w:pPr>
      <w:r>
        <w:rPr>
          <w:b/>
          <w:bCs/>
        </w:rPr>
        <w:t xml:space="preserve">Lo que creemos nosotros.</w:t>
      </w:r>
    </w:p>
    <w:p>
      <w:pPr>
        <w:spacing w:after="100"/>
      </w:pPr>
      <w:r>
        <w:t xml:space="preserve">Coincidimos con el precio y no con el consenso de analistas: nuestro valor es 25,88 USD en el DCF y 25,71 en la síntesis, con un margen algo más bajo que el consenso en FY2027-FY2028 por los costes del 4T26. Creemos que la caída de frecuencia es sobre todo cíclica, pero que la pérdida de cuota frente a IAA puede no serlo, y que ACV añade riesgo de asignación de capital.</w:t>
      </w:r>
    </w:p>
    <w:p>
      <w:pPr>
        <w:keepNext/>
        <w:spacing w:after="100"/>
      </w:pPr>
      <w:r>
        <w:rPr>
          <w:b/>
          <w:bCs/>
        </w:rPr>
        <w:t xml:space="preserve">Por qué podemos tener razón.</w:t>
      </w:r>
    </w:p>
    <w:p>
      <w:pPr>
        <w:spacing w:after="100"/>
      </w:pPr>
      <w:r>
        <w:t xml:space="preserve">Los precios objetivo de los analistas (25-55 USD) se apoyan en la historia de crecimiento; nuestros datos muestran que IAA gana lotes (+11 % en el 2T de 2026 [28]) y que los contratos se rescinden con semanas de preaviso [26]. Hasta ver dos trimestres de volumen, no hay base para pagar más que el DCF.</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6,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muy superior al coste de capital</w:t>
      </w:r>
      <w:r>
        <w:t xml:space="preserve">: ROIC del 29,5 % frente a un WACC del 10,41 %, y nunca por debajo del 26,9 % en diez años.</w:t>
      </w:r>
    </w:p>
    <w:p>
      <w:pPr>
        <w:pStyle w:val="ListParagraph"/>
        <w:numPr>
          <w:ilvl w:val="0"/>
          <w:numId w:val="2"/>
        </w:numPr>
        <w:spacing w:after="60"/>
      </w:pPr>
      <w:r>
        <w:rPr>
          <w:b/>
        </w:rPr>
        <w:t xml:space="preserve">Terrenos propios y caja</w:t>
      </w:r>
      <w:r>
        <w:t xml:space="preserve">: 2.501 M de terrenos a coste histórico [1] y 4.487 M de caja neta, el 18 % de la capitalización.</w:t>
      </w:r>
    </w:p>
    <w:p>
      <w:pPr>
        <w:pStyle w:val="ListParagraph"/>
        <w:numPr>
          <w:ilvl w:val="0"/>
          <w:numId w:val="2"/>
        </w:numPr>
        <w:spacing w:after="60"/>
      </w:pPr>
      <w:r>
        <w:rPr>
          <w:b/>
        </w:rPr>
        <w:t xml:space="preserve">Valoración en mínimos de diez años</w:t>
      </w:r>
      <w:r>
        <w:t xml:space="preserve">: 10,9x EBITDA frente a una media de 22,3x y un mínimo anterior de 12,4x.</w:t>
      </w:r>
    </w:p>
    <w:p>
      <w:pPr>
        <w:pStyle w:val="ListParagraph"/>
        <w:numPr>
          <w:ilvl w:val="0"/>
          <w:numId w:val="2"/>
        </w:numPr>
        <w:spacing w:after="60"/>
      </w:pPr>
      <w:r>
        <w:rPr>
          <w:b/>
        </w:rPr>
        <w:t xml:space="preserve">La tasa de siniestro total sube de forma estructural</w:t>
      </w:r>
      <w:r>
        <w:t xml:space="preserve">: 23,3 % en el 2T de 2026, casi 5 puntos más en cuatro años [16, 22].</w:t>
      </w:r>
    </w:p>
    <w:p>
      <w:pPr>
        <w:pStyle w:val="ListParagraph"/>
        <w:numPr>
          <w:ilvl w:val="0"/>
          <w:numId w:val="2"/>
        </w:numPr>
        <w:spacing w:after="60"/>
      </w:pPr>
      <w:r>
        <w:rPr>
          <w:b/>
        </w:rPr>
        <w:t xml:space="preserve">Internacional crece a doble dígito</w:t>
      </w:r>
      <w:r>
        <w:t xml:space="preserve">: servicios +12,4 % en FY2026, ya el 18 % de las ventas [1].</w:t>
      </w:r>
    </w:p>
    <w:p>
      <w:pPr>
        <w:pStyle w:val="Heading2"/>
      </w:pPr>
      <w:r>
        <w:t xml:space="preserve">En contra</w:t>
      </w:r>
    </w:p>
    <w:p>
      <w:pPr>
        <w:pStyle w:val="ListParagraph"/>
        <w:numPr>
          <w:ilvl w:val="0"/>
          <w:numId w:val="2"/>
        </w:numPr>
        <w:spacing w:after="60"/>
      </w:pPr>
      <w:r>
        <w:rPr>
          <w:b/>
        </w:rPr>
        <w:t xml:space="preserve">Volumen de aseguradoras a la baja</w:t>
      </w:r>
      <w:r>
        <w:t xml:space="preserve">: −8 % en EE. UU. en FY2026 y −7,5 % en el 4T, con un gran cliente perdido [16].</w:t>
      </w:r>
    </w:p>
    <w:p>
      <w:pPr>
        <w:pStyle w:val="ListParagraph"/>
        <w:numPr>
          <w:ilvl w:val="0"/>
          <w:numId w:val="2"/>
        </w:numPr>
        <w:spacing w:after="60"/>
      </w:pPr>
      <w:r>
        <w:rPr>
          <w:b/>
        </w:rPr>
        <w:t xml:space="preserve">IAA gana cuota</w:t>
      </w:r>
      <w:r>
        <w:t xml:space="preserve">: +11 % de lotes de automoción en el 2T de 2026 [28].</w:t>
      </w:r>
    </w:p>
    <w:p>
      <w:pPr>
        <w:pStyle w:val="ListParagraph"/>
        <w:numPr>
          <w:ilvl w:val="0"/>
          <w:numId w:val="2"/>
        </w:numPr>
        <w:spacing w:after="60"/>
      </w:pPr>
      <w:r>
        <w:rPr>
          <w:b/>
        </w:rPr>
        <w:t xml:space="preserve">Márgenes bajo presión</w:t>
      </w:r>
      <w:r>
        <w:t xml:space="preserve">: EBITDA del 37,3 % en el 4T26 con el coste por coche un 12,7 % más alto [16].</w:t>
      </w:r>
    </w:p>
    <w:p>
      <w:pPr>
        <w:pStyle w:val="ListParagraph"/>
        <w:numPr>
          <w:ilvl w:val="0"/>
          <w:numId w:val="2"/>
        </w:numPr>
        <w:spacing w:after="60"/>
      </w:pPr>
      <w:r>
        <w:rPr>
          <w:b/>
        </w:rPr>
        <w:t xml:space="preserve">Asignación de capital discutible</w:t>
      </w:r>
      <w:r>
        <w:t xml:space="preserve">: 1.632,5 M recomprados a 37,63 USD y ≈ 1.900 M por ACV, con pérdidas GAAP [1, 31].</w:t>
      </w:r>
    </w:p>
    <w:p>
      <w:pPr>
        <w:pStyle w:val="ListParagraph"/>
        <w:numPr>
          <w:ilvl w:val="0"/>
          <w:numId w:val="2"/>
        </w:numPr>
        <w:spacing w:after="60"/>
      </w:pPr>
      <w:r>
        <w:rPr>
          <w:b/>
        </w:rPr>
        <w:t xml:space="preserve">Gobierno familiar</w:t>
      </w:r>
      <w:r>
        <w:t xml:space="preserve">: 6 de 13 criterios; vuelta del yerno del fundador a CEO y salida generosa del anterior [36].</w:t>
      </w:r>
    </w:p>
    <w:p>
      <w:pPr>
        <w:pStyle w:val="ListParagraph"/>
        <w:numPr>
          <w:ilvl w:val="0"/>
          <w:numId w:val="2"/>
        </w:numPr>
        <w:spacing w:after="60"/>
      </w:pPr>
      <w:r>
        <w:rPr>
          <w:b/>
        </w:rPr>
        <w:t xml:space="preserve">Investigación del DOJ sobre blanqueo</w:t>
      </w:r>
      <w:r>
        <w:t xml:space="preserve"> sin provisión ni rango de pérdida [1].</w:t>
      </w:r>
    </w:p>
    <w:p>
      <w:pPr>
        <w:pStyle w:val="Heading2"/>
      </w:pPr>
      <w:r>
        <w:t xml:space="preserve">Qué tiene que pasar para que la tesis funcione</w:t>
      </w:r>
    </w:p>
    <w:p>
      <w:pPr>
        <w:spacing w:after="100"/>
      </w:pPr>
      <w:r>
        <w:t xml:space="preserve">La tesis depende de que las unidades de aseguradoras en EE. UU. dejen de caer en FY2027: la dirección dice que, sin el cliente perdido, ya habrían subido un 2,3 % en el 4T26 [16]. Si el 1T y el 2T FY2027 vuelven a mostrar caídas por encima del 5 % y RB Global sigue ganando lotes a ritmo de doble dígito, la caída ya no es un valle sino pérdida de cuota y el valor se acerca al bajista (18,31 USD).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aseguradoras en EE. UU. (variación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−5 %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valle de la 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permanente es ≈ 2,6 %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Lotes de automoción de RB Global (IAA)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(2T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+8 % sostenido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cuota que gana el rival.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siniestro total en EE. UU. (CCC)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 (2T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estructural del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4.487 M (jul-26)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Compras por encima de 15x EBITDA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Disciplina en la asignación de capital tras ACV.</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 / 10,4x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 / 16,3x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Copart nació en 1982 en California con un único patio en Vallejo y salió a bolsa en 1994 [1]. Creció comprando patios de salvage en EE. UU. y, desde FY2003, fuera: Canadá, Reino Unido (FY2007-08), Emiratos, Brasil, Alemania y España (FY2013), Omán y Bahréin (FY2015), Irlanda (FY2016) y Finlandia (FY2018) [1]. La decisión que la separa de sus rivales fue vender </w:t>
      </w:r>
      <w:r>
        <w:rPr>
          <w:b/>
        </w:rPr>
        <w:t xml:space="preserve">solo por internet</w:t>
      </w:r>
      <w:r>
        <w:t xml:space="preserve">: en FY2004 pasó toda la venta norteamericana a la subasta virtual (VB2, hoy VB3) y en FY2008 la británica [27]. En 2012 se reincorporó en Delaware con sede en Dallas [38]. La familia fundadora sigue al mando: A. Jayson Adair, yerno del presidente Willis J. Johnson, fue CEO, compartió el cargo con Jeff Liaw en 2023 y vuelve a ser CEO desde el 31-07-2026 [5, 36]. En septiembre de 2026 acordó comprar ACV por ≈ 1.900 M USD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en California, con un patio en Vallejo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compra fuera de EE. UU., en Canadá (FY2003)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la venta norteamericana pasa a la subasta por internet VB2 (FY2004)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significativas en Reino Unido (FY2007-08); la venta británica pasa a internet en FY2008 [1,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 en EE. UU. de la plataforma de subasta virtual VB3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Reincorporación en Delaware (enero) y sede central en Dallas, Texas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Emiratos, Brasil, Alemania y España (FY2013)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Adair y Liaw, co-consejeros delegados [5]; compra del 80 % de Purple Wave (maquinaria) por 108 M USD en acciones [1]; carta del DOJ sobre prácticas contra el blanqueo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Huracanes Helene y Milton: decenas de miles de coches inundados recogidos en Florida [1]; antes de la temporada de 2025, compra de Hull Ranch, casi 400 acres para tormentas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Adair vuelve como CEO (31-07) en sustitución de Liaw y Jane Pocock, hasta entonces al frente de Reino Unido, es nombrada presidenta [36, 37]; acuerdo para comprar ACV a 10,50 USD por acción (10-09) [13].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Copart vende por internet, en su plataforma VB3, vehículos que otros le confían: el 79 % de las unidades de FY2026 vino de aseguradoras (coches declarados pérdida total o robados recuperados) y el resto de bancos, empresas de alquiler, flotas, concesionarios y particulares [1]. Los compradores son desguaces, reconstructores, exportadores, comerciantes y público en general: ≈ 1 M de miembros en más de 185 países [20]. Recoge el coche con grúas propias o subcontratadas, lo guarda en uno de sus 286 patios, tramita el título ante el DMV y lo subasta en dos fases (pujas previas y subasta virtual en directo) [1]. Opera en 11 países; EE. UU. aporta el 81,6 % de los ingresos y el segmento internacional (Reino Unido, Canadá, Brasil, Alemania, España, Finlandia, Irlanda y Oriente Medio) el 18,4 % [1]. Vendió más de 4 M de unidades en el último año [20] y tiene ≈ 11.900 empleados [1].</w:t>
      </w:r>
    </w:p>
    <w:p>
      <w:pPr>
        <w:pStyle w:val="Heading2"/>
      </w:pPr>
      <w:r>
        <w:t xml:space="preserve">Cómo gana dinero</w:t>
      </w:r>
    </w:p>
    <w:p>
      <w:pPr>
        <w:spacing w:after="100"/>
      </w:pPr>
      <w:r>
        <w:t xml:space="preserve">En EE. UU. y la mayoría de países actúa como </w:t>
      </w:r>
      <w:r>
        <w:rPr>
          <w:b/>
        </w:rPr>
        <w:t xml:space="preserve">agente</w:t>
      </w:r>
      <w:r>
        <w:t xml:space="preserve">: cobra comisiones al vendedor (fijas o un porcentaje del precio de remate), al comprador (puja, carga, almacenaje) y por servicios (transporte, títulos) [1]; son el 85 % de los ingresos de FY2026 (3.970 de 4.666 M USD) [20]. En Reino Unido, Alemania y España también compra coches y los revende por cuenta propia [1]. El ingreso por unidad depende del precio de remate: en FY2026 las unidades cayeron un 5,5 % pero el ingreso por unidad subió un 5,7 % y el precio medio un 5,5 %, y los ingresos quedaron planos [21]. El margen operativo fue del 35,4 % (1.652,6 M USD) [2, 20]; el coste es sobre todo personal de patio, grúas y suelo, con apalancamiento operativo alto [1]. Hay estacionalidad (más accidentes en invierno) y picos por catástrofes: sin los huracanes de FY2025 la caída de unidades de FY2026 habría sido del 3,1 % [1, 21].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pero «un número limitado» de vendedores aporta una parte sustancial, y los contratos, regionales y no exclusivos, pueden rescindirse con poco preaviso [1]. Referencia del sector: los tres mayores proveedores de RB Global suman el 23 % de sus ingresos [26]. La concentración ya se ha notado: tras perder un asegurador, las unidades de seguros en EE. UU. cayeron un 7,5 % en el 4T FY2026, cuando sin él las asignaciones habrían subido un 2,3 % [21]. El poder de precio sí se ve: el ingreso por unidad subió un 5,4 % en el 4T y un 5,7 % en el año con volúmenes a la baja, gracias a servicios nuevos (Title Express, pago de préstamos) y a precios de remate por encima del mercado de usados (+3,7 % frente al +2,8 % de Manheim) [21]. La dirección no desglosa cuánto es tarifa fija y cuánto porcentaje del remate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aseguradoras en los vehículos procesados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desde FY2021 (77 %); máximo 83 % en FY2023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vendidas globales, variación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−5,5 % (−3,1 % sin catástrofes)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−2,9 %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en el año y en el trimestre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−5,7 % e Internacional +10 % en el 4T26; la empresa no publica unidades absolutas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aseguradoras en EE. UU., variación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−4,2 % (≈−3 % sin catástrofes)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−7,5 %; FY2026 −8 %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Se acelera la caída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 cliente perdido, asignaciones +2,3 % [16,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no aseguradoras en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−1,4 % (global)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+0,2 %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Vuelve a crecer</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Concesionarios +5,8 % y BluCar casi +20 % en el 4T26; según Adair, las no aseguradoras son ya en torno a una cuarta parte del volumen (el 10-K da un 21 % de vehículos procesados) [1,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de venta (ASP) de aseguradoras en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+3,7 %; FY2026 +5,5 %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Positivo pero frenando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 global +3,5 % en el 4T26; Internacional +7,3 % en el año [16,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unidad (global)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≈+5,7 %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Compensa la caída de unidades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Impulsado por TitleExpress, precios y mezcla [16,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de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global −2 %, EE. UU. −4,7 %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global −1 %, EE. UU. −3,4 %, Internacional +10,4 %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Indicador adelantado de volumen: sigue negativo en EE. UU.</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Tasa de siniestro total en EE. UU. (dato de CCC citado por la dirección)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 (2T del año natural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 (2T 2026); 23,6 % en el 1T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5 puntos más en cuatro años, pero la frecuencia de colisión cae un 3,4 % [16, 17].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w:t>
      </w:r>
      <w:r>
        <w:rPr>
          <w:b/>
        </w:rPr>
        <w:t xml:space="preserve">subasta de vehículos siniestrados y de bajo valor</w:t>
      </w:r>
      <w:r>
        <w:t xml:space="preserve"> que las aseguradoras declaran pérdida total (salvage) y venden por cuenta propia a desguaces, reconstructores, exportadores y comerciantes; el 79 % de los vehículos que procesó Copart en FY2026 vino de aseguradoras [1]. El perímetro principal es EE. UU. (81,6 % de los ingresos de Copart [1]), con un segundo mercado en Reino Unido, Canadá, Brasil, Alemania, España y Oriente Medio. No existe una estadística pública del número de pérdidas totales; medimos el tamaño por dos vías: las unidades que venden los dos operadores que dominan EE. UU. (Copart e IAA, de RB Global) [20, 26] y la </w:t>
      </w:r>
      <w:r>
        <w:rPr>
          <w:b/>
        </w:rPr>
        <w:t xml:space="preserve">tasa de pérdida total</w:t>
      </w:r>
      <w:r>
        <w:t xml:space="preserve"> de CCC (porcentaje de siniestros que acaba en salvage) [22, 23], que es el indicador que usan la propia Copart y RB Global para explicar su volumen [1, 26]. La compra de ACV (10,50 USD por acción) añade la subasta mayorista entre concesionarios, un mercado distinto que no entra en esta definición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 6,5 M de vehículos al año entre los dos líderes. Copart vendió «más de 4 millones de unidades» en el último año [20] y IAA vendió 2,45 M de lotes de automoción en 2025 [26] (ambas cifras incluyen algo de no seguros y de fuera de EE. UU.). En ingresos, Copart facturó 4.666 M USD en FY2026, de ellos 3.970 M de comisiones de servicio [20]; RB Global no publica los ingresos de automoción, solo su volumen bruto (GTV) de 8.659 M USD en 2025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 de los siniestros de automóvil en EE. UU. declarados pérdida total (CCC Intelligent Solution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Frecuencia de siniestros de colisión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frecuencia de colisión de Progressive cayó un 7 % en 2023, un 8 % en 2024 y un 5 % en 2025 [25]; en el 4T FY2026 la del sector bajó un 3,4 % interanual, «una moderación» frente a las caídas de casi dos dígitos de 2025 [21]. Las unidades de seguros de Copart en EE. UU. cayeron un 8 % en FY2026 y un 7,5 % en el 4T [21]. Parte de la caída es de reparto entre aseguradoras, no del mercado: la dirección atribuye una porción a «cambios en la mezcla de pólizas» entre ellas [17], y Progressive ganó un 18 % de pólizas de particulares en 2024 y un 11 % en 2025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pérdida total (coste de reparación frente a valor del coche)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23,1 % de los siniestros en 2025, máximo de la serie de CCC [22]; 23,6 % en el 1T de 2026, casi 5 puntos más en cuatro años [17]; 23,3 % en el 2T de 2026 frente al 22,4 % un año antes [21]. La edad media del parque subió de 11,4 años en 2013 a 13,0 en 2026 [1] y el 28,3 % de las reparaciones ya exige calibrar sensores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Asequibilidad del seguro: menos cobertura y franquicias más altas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«earned car years» asegurados cayeron un 4 % interanual en el 4T de 2025 mientras el parque crecía un 1,4 % (ISS Fast Track, citado por Copart), y el 25 % de las reparaciones ya las paga el propio conductor (CCC, citado por Copart) [17]. El 15,4 % de los conductores no tenía seguro en 2023 y el 33,4 % no tenía seguro o lo tenía insuficiente, 10 puntos más que en 2017 [24]. CCC atribuye a las franquicias más altas que los siniestros pequeños ya no se declaren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Parque y kilómetros recorridos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parque creció un 1,6 % interanual en el 2T natural de 2026 y los kilómetros recorridos un 0,27 % en el 4T FY2026 [21]; el parque superó los 295 M de vehículos en el 2T de 2025 y en 2025 se condujo un 1,5 % más que en 2019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subasta (coche usado, demanda exterior, chatarra)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medio de Copart subió un 5,5 % en FY2026 y el de seguros en EE. UU. un 3,7 % en el 4T, por encima del índice Manheim (+2,8 %) [21]. Un coche usado caro sube los ingresos por unidad pero reduce la tasa de pérdida total [1]; en 2008-09 pasó lo contrario: precios bajos, más pérdidas totales y más unidades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Catástrofes meteorológicas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huracanes Helene y Milton inflaron FY2025; sin ellos, las unidades de FY2026 cayeron un 3,1 % en vez del 5,5 % [21]. La empresa estuvo en el 4T de 2024 recogiendo «decenas de miles» de coches inundados en Florida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racional en precios, pero los contratos con aseguradoras se reasignan: IAA ganó cuota en 2025-2026 (lotes de automoción +7 % en 2025 y +11 % en el 2T de 2026 [26, 28]) mientras las unidades de seguros de Copart en EE. UU. caían un 8 % [21]; Copart atribuye parte de la caída a la pérdida de un cliente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aseguradoras grandes: los tres primeros proveedores dan el 23 % de los ingresos de RB Global y sus contratos se cancelan con 30-90 días de preaviso [26]; en Copart ningún cliente pasa del 10 %, pero un número limitado concentra «una parte sustancial»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suelo, grúas y mano de obra; el suelo industrial con licencia para almacenar chatarra es escaso por la zonificación local, lo que favorece a quien ya lo tiene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cientos de patios con permisos (Copart tiene 286 [1]), red de grúas, gestión de títulos con 50 tráficos estatales y una base de compradores de ≈ 1 M de miembros en más de 185 países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desguaces (LKQ y grupos de compra) pueden comprar directamente a las aseguradoras [1]; el conductor sin seguro repara o vende fuera del canal [1]; a largo plazo, la conducción asistida reduce accidentes [1].</w:t>
            </w:r>
          </w:p>
        </w:tc>
      </w:tr>
    </w:tbl>
    <w:p>
      <w:pPr>
        <w:spacing w:after="160" w:before="0"/>
      </w:pPr>
    </w:p>
    <w:p>
      <w:pPr>
        <w:pStyle w:val="Heading2"/>
      </w:pPr>
      <w:r>
        <w:t xml:space="preserve">Ciclo</w:t>
      </w:r>
    </w:p>
    <w:p>
      <w:pPr>
        <w:spacing w:after="100"/>
      </w:pPr>
      <w:r>
        <w:t xml:space="preserve">Los volúmenes de seguros en EE. UU. llevan dos años cayendo (−8 % en FY2026 [21]) por menos siniestros declarados, pero los indicadores giran: la caída de frecuencia se modera a −3,4 % y, sin el cliente perdido, las asignaciones de seguros domésticas habrían subido un 2,3 % en el 4T [21]. En 2008-09 Copart vendió más unidades por la mayor tasa de pérdida total y sus ingresos solo cayeron un 5,3 % (de 784,8 a 743,1 M USD), sobre todo por la libra [27]; en FY2020 el beneficio operativo subió un 13,9 % y en FY2022 un 21,0 % [2]. FY2026 es el primer año de caída del beneficio operativo (−2,6 %) desde FY2014 [2].</w:t>
      </w:r>
    </w:p>
    <w:p>
      <w:pPr>
        <w:pStyle w:val="Heading2"/>
      </w:pPr>
      <w:r>
        <w:t xml:space="preserve">Regulación</w:t>
      </w:r>
    </w:p>
    <w:p>
      <w:pPr>
        <w:spacing w:after="100"/>
      </w:pPr>
      <w:r>
        <w:t xml:space="preserve">En EE. UU. un coche declarado pérdida total solo puede venderse, en la mayoría de los estados, tras obtener un título de salvage del registro de vehículos (DMV), lo que tarda 45-60 días desde la recogida; Copart tiene enlaces directos con los sistemas de varios DMV y considera ese saber hacer una ventaja [1]. La zonificación local encarece y retrasa abrir patios nuevos [1]. Las ventas al exterior (38,2 % de las unidades en EE. UU. [1]) están sujetas a controles de exportación (EAR) y sanciones (OFAC), y algunos países restringen la importación de siniestrados [1, 26]. Datos personales: CCPA, RGPD y LGPD [1]. Las primas de auto se vigilan estado a estado: en 2025 Florida obligó a Progressive a devolver beneficios «excesivos» de auto, 1,7 puntos de su ratio combinado [25]. El Departamento de Justicia investiga a Copart por posible incumplimiento de normas contra el blanqueo en el control de sus miembros (carta de octubre de 2023, sin estimación de pérdida) [1].</w:t>
      </w:r>
    </w:p>
    <w:p>
      <w:pPr>
        <w:pStyle w:val="Heading2"/>
      </w:pPr>
      <w:r>
        <w:t xml:space="preserve">Tendencias y disrupción</w:t>
      </w:r>
    </w:p>
    <w:p>
      <w:pPr>
        <w:spacing w:after="100"/>
      </w:pPr>
      <w:r>
        <w:t xml:space="preserve">El coche es cada vez más caro de reparar: el 28,3 % de los presupuestos reparables ya incluye calibrar sensores [22] y la severidad media de colisión superó los 6.300 USD por siniestro en el 4T FY2026, un 8,8 % más [21]; eso empuja la tasa de pérdida total y favorece a Copart. En sentido contrario, la conducción asistida y, si se generaliza, la autónoma reducen accidentes [1]. La subasta mayorista entre concesionarios se digitaliza (OPENLANE habla de «disrupción digital» [30]) y Copart entra con ACV, que vende más de 800.000 vehículos al año sin apenas terrenos propios [21]. La herramienta Co.ai de visión artificial decide antes si un coche es pérdida total [1]. RB Global invierte en IAA y gana contratos [26, 28]: la competencia por las aseguradoras es más dura que en 2019-2023.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subastas de vehículos siniestrados en EE. UU. y en el mundo, en duopolio con IAA (RB Global). Estimación propia por unidades: Copart vendió más de 4 M de vehículos en el último año [20] e IAA 2,45 M lotes de automoción en 2025 [26], ≈ 62 % frente a ≈ 38 % del total de ambos; ninguna de las dos publica la cifra solo de EE. UU. ni solo de seguros. La cuota se mueve en contra: IAA creció un 7 % en lotes de automoción en 2025 y un 11 % en el 2T de 2026 por «ganancias de cuota» [26, 28], mientras Copart perdió un cliente asegurador y sus unidades de seguros en EE. UU. cayeron un 8 % en FY2026 [21]. Fuera de EE. UU., las unidades de seguros de Copart crecieron un 11,2 % en el 4T [21].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RB Global (IAA)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nacional en salvage. Ingresos y EBIT consolidados de 2025 (713,4 M), que incluyen maquinaria Ritchie Bros.; no separa el resultado de automoción [26]. GTV de automoción 8.659 M USD (+5 %) y 2,45 M lotes (+7 %) en 2025 por contratos ganados; +11 % de lotes en el 2T de 2026 [26, 28]. La mayoría de sus patios son arrendados [26]. Cuota: estimación propia sobre unidades del duopolio.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OPENLANE (antes KAR)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OPLN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Subasta digital mayorista entre concesionarios y vendedores comerciales en EE. UU., Canadá y Europa, más financiación a concesionarios (AFC). Beneficio operativo 196,6 M USD en 2025; el negocio de marketplace solo ganó 47,7 M [30]. Compite en coche entero, no en salvage.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ACV Auctions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ACVA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Subasta digital entre concesionarios; pérdida operativa de 63,2 M USD en 2025 [31]. Copart acordó comprarla a 10,50 USD por acción (≈ 1.900 M USD de valor de las acciones, prima del 45 %) con cierre previsto antes de fin de 2026 [13]; deja de ser competidor si se cierra.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USS 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4732.T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operador de subastas de coches usados de Japón; no compite con Copart pero es la referencia de márgenes del modelo de subasta con terrenos propios. Ventas de 113.854 M JPY y beneficio operativo de 59.849 M JPY en el ejercicio a marzo de 2026 [33], convertidos a 159,50 JPY/USD del 31-03-2026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LKQ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desguazador de EE. UU.: es comprador en las subastas de Copart y puede comprar directamente a las aseguradoras, saltándose a los subastadores [1]. Beneficio operativo de 993 M USD en 2025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Manheim (Cox Automotive)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subasta de coche entero de EE. UU., propiedad de Cox Enterprises (privada, sin cuentas públicas). Copart la cita entre sus mayores competidores junto a RB Global, Carvana (ADESA), OPENLANE y ACV [1]; su índice de precios de usados subió un 2,8 % en el 4T FY2026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 M de miembros en más de 185 países [2]; los compradores extranjeros se llevan el 38,2 % de las unidades vendidas en EE. UU. y el 45,8 % del valor bruto [1]. Más pujas suben el precio de remate: el precio medio de seguros en EE. UU. creció un 3,7 % en el 4T frente al +2,8 % del índice Manheim [3], y eso es lo que mira la aseguradora al elegir subastador (retorno sobre el valor previo al siniestro)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los contratos con aseguradoras no son exclusivos y pueden rescindirse con poco preaviso [1]; en RB Global, con 30-90 días [8]. Un gran asegurador pasó volumen a IAA en 2025 [19] y su pérdida restó casi 10 puntos al crecimiento de las asignaciones de seguros domésticas del 4T (−7,5 % frente a +2,3 % sin él)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 de 2008 sobre la subasta virtual VB3, con vigencia de 20 años [1]; el resto es saber hacer: tramitación de títulos con enlaces a varios DMV y licencia de tratamiento de vehículos al final de su vida en Reino Unido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35,4 % en FY2026 (1.652,6 M sobre 4.666 M USD) [2, 12] frente al 15,5 % consolidado de RB Global [8], que arrienda la mayoría de sus patios [8]; Copart posee o arrienda sus 286 instalaciones y es propietaria en Canadá, Irlanda y España [1]. Terreno de reserva para catástrofes: Hull Ranch, casi 400 acres en el sur de Florida, para una tormenta tres veces mayor que la mayor registrada allí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EE. UU. sostiene dos redes nacionales; la zonificación hace caro y lento abrir patios nuevos [1]. Copart abrió 7 instalaciones en EE. UU. en FY2026 [1] y en 2008-09 siguió creciendo en unidades [10]. ACV, sin terrenos, usará los patios de Copart para mover y almacenar coches tras la compra [3].</w:t>
            </w:r>
          </w:p>
        </w:tc>
      </w:tr>
    </w:tbl>
    <w:p>
      <w:pPr>
        <w:spacing w:after="160" w:before="0"/>
      </w:pPr>
    </w:p>
    <w:p>
      <w:pPr>
        <w:pStyle w:val="Heading2"/>
      </w:pPr>
      <w:r>
        <w:t xml:space="preserve">Amenazas</w:t>
      </w:r>
    </w:p>
    <w:p>
      <w:pPr>
        <w:spacing w:after="100"/>
      </w:pPr>
      <w:r>
        <w:t xml:space="preserve">La amenaza principal es comercial, no tecnológica: </w:t>
      </w:r>
      <w:r>
        <w:rPr>
          <w:b/>
        </w:rPr>
        <w:t xml:space="preserve">IAA gana cuota con RB Global detrás</w:t>
      </w:r>
      <w:r>
        <w:t xml:space="preserve"> (+11 % de lotes de automoción en el 2T de 2026 frente a −5,7 % de unidades de Copart en EE. UU. en el 4T [21, 28]; la prensa habla de seis trimestres seguidos creciendo más que Copart [35]). Si otro gran asegurador se mueve, el efecto de red no lo impide porque el contrato se rescinde en semanas [1, 26]: probabilidad media. Segunda: menos siniestros declarados por franquicias altas y menos cobertura [17, 22]; la consideramos sobre todo cíclica (probabilidad alta a un año, baja a cinco). Tercera: desguaces que compran directo a la aseguradora [1] y conducción asistida que reduce accidentes [1] (probabilidad baja a diez años). Cuarta: la investigación del DOJ sobre blanqueo podría obligar a endurecer el registro de compradores extranjeros, que son el 45,8 % del valor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FY2017-FY2026: ingresos </w:t>
      </w:r>
      <w:r>
        <w:rPr>
          <w:b/>
          <w:bCs/>
        </w:rPr>
        <w:t xml:space="preserve">13,9 %</w:t>
      </w:r>
      <w:r>
        <w:t xml:space="preserve">, EBITDA </w:t>
      </w:r>
      <w:r>
        <w:rPr>
          <w:b/>
          <w:bCs/>
        </w:rPr>
        <w:t xml:space="preserve">15,4 %</w:t>
      </w:r>
      <w:r>
        <w:t xml:space="preserve">, BPA </w:t>
      </w:r>
      <w:r>
        <w:rPr>
          <w:b/>
          <w:bCs/>
        </w:rPr>
        <w:t xml:space="preserve">15,6 %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1.448 M en FY2017 a 4.666 M en FY2026 [1, 2]. El crecimiento ha sido casi todo orgánico: las compras de diez años suman menos de 300 M de caja (NPA, Hills Motors) más Purple Wave pagada en acciones [1, 6, 10]. </w:t>
      </w:r>
      <w:r>
        <w:rPr>
          <w:b/>
        </w:rPr>
        <w:t xml:space="preserve">FY2026 rompe la serie</w:t>
      </w:r>
      <w:r>
        <w:t xml:space="preserve">: ventas +0,4 %, EBIT −2,6 % (1.652,6 M) y beneficio neto −4,4 % (1.484,3 M) [1]. Los servicios de EE. UU. cayeron un 1,8 % por el efecto base de los huracanes Helene y Milton de FY2025 y por menos volumen, compensado por más ingreso por coche; Internacional creció un 12,4 % en servicios [1]. El margen EBITDA (EBIT + amortizaciones de instalaciones y de G&amp;A) pasó del 35,8 % en FY2017 a un máximo del 46,7 % en FY2021 (precios de coches usados disparados) y ha bajado cada año desde entonces hasta el 40,3 % de FY2026: el gasto de instalaciones por coche sube (+12,7 % en el 4T26 según la dirección [16]) y el G&amp;A pasó de 250 M en FY2023 a 431 M en FY2026 (fuerza comercial, tecnología, legal) [1, 5]. Una parte creciente del beneficio antes de impuestos viene de los intereses de la caja: 181,9 M en FY2026, el 9,9 % del BAI, frente a gasto financiero neto hasta FY2022 [1, 2].</w:t>
      </w:r>
    </w:p>
    <w:p>
      <w:pPr>
        <w:pStyle w:val="Heading2"/>
      </w:pPr>
      <w:r>
        <w:t xml:space="preserve">Ajustes y partidas no recurrentes</w:t>
      </w:r>
    </w:p>
    <w:p>
      <w:pPr>
        <w:spacing w:after="100"/>
      </w:pPr>
      <w:r>
        <w:t xml:space="preserve">Cifras reportadas US GAAP, sin ajustes. EBITDA = EBIT + amortizaciones totales sin costes de deuda (de instalaciones 201,7 M + de G&amp;A 27,7 M en FY2026) [1, 2]. No recurrentes dentro del EBIT: FY2017, deterioro de 19,4 M de software de gestión capitalizado; FY2018, deterioro de 1,1 M de un contrato de suministro en Internacional [9]; FY2024, 1,2 M de costes de la compra de Purple Wave en G&amp;A [1]; FY2025, ingresos y costes puntuales de los huracanes Helene y Milton que la empresa no cuantifica en el 10-K (sí dice que explican la caída de servicios en EE. UU. en FY2026) [1, 3]. Fuera del EBIT (resultado financiero): FY2022, pago de 16,8 M de make-whole al amortizar los pagarés senior; FY2024, ganancia de 4,1 M por extinción de pasivos; FY2025, ganancia de 13,7 M por venta de inmovilizado y diferencias de cambio positivas [1, 2, 6]. Impuestos: FY2017, tipo efectivo del 10,4 % por 107,6 M de beneficio fiscal de opciones ejercidas; FY2018, 12,4 M del impuesto de transición de la reforma fiscal [8, 10]. La modificación de las opciones de Jeff Liaw (jul-2026) tuvo coste incremental inmaterial; los costes de la operación ACV caen en FY2027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 = trimestre fiscal (1T25 = ago-oct 2024; 4T26 = may-jul 2026). En el 3T26 (21-may-2026, aún con Jeff Liaw de consejero delegado) el mensaje era de resistencia: ingresos +2,1 %, BPA de 0,43 USD frente a 0,406 esperado, unidades de aseguradoras globales −2,7 % (−1,9 % sin catástrofes) compensadas con precios récord y más compradores internacionales [17, 18]. La dirección presentó la caída de siniestros como cíclica y achacó parte a que los conductores pagan ellos mismos el 25 % de las reparaciones y recortan seguros [17]. En el 4T26 (10-sep-2026), con Jay Adair de vuelta, el tono cambió: unidades de aseguradoras en EE. UU. −7,5 %, coste por coche +12,7 %, EBIT −10,6 % y BPA de 0,35 USD (−14,6 %), y el anuncio de ACV [11, 16]. Los analistas preguntaron sobre todo por ACV (encaje, acretividad, inversión), por el aumento de costes (Baird, Barclays), por la presión en precios de los concursos de aseguradoras (Jefferies) y por el cliente perdido (Baird) [16]. </w:t>
      </w:r>
      <w:r>
        <w:rPr>
          <w:b/>
        </w:rPr>
        <w:t xml:space="preserve">Lo que evitó</w:t>
      </w:r>
      <w:r>
        <w:t xml:space="preserve">: las cláusulas de ruptura de ACV (remitió a los registros), cualquier guía de crecimiento, costes o márgenes («nunca doy guías»), la estrategia de precios con las aseguradoras y el tamaño del negocio de no aseguradoras, que ya en el 3T26 rehusó cuantificar [16, 17]. Dijo que la mayor parte del aumento de costes es «discrecional» (unos 17 M de entrega de larga distancia, instalaciones y servicios nuevos) sin fecha para corregirlo [16]. La acretividad de ACV también cambió de versión: neutral el primer año completo y acretiva desde FY2028 en la presentación, «acretiva el primer año completo» en la llamada [14,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(FY2017: Compra de Cycle Express (National Powersport Auctions, NPA) y otros activos por 160,8 M de caja neta.; FY2022: Hills Motors (ILT Project Ltd, desguace y venta de piezas en el Reino Unido), comprada el 5-jul-2022 por 106,6 M: entra en el balance a 31-jul-2022 con menos de un mes en la cuenta.; FY2024: Purple Wave (80 %, subastas de maquinaria), consolidada desde el 6-oct-2023, pagada con 2,5 M de acciones (112,1 M a valor razonable); el fondo de comercio sube de 394 a 514 M.; FY2020: el activo total crece un 36 % y los ingresos un 8 %).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de caja neta desde FY2022, cuando se amortizaron los 400 M de pagarés senior pagando 420,6 M [6]. La caja + letras subió de 210 M (FY2017) a 4.789 M (FY2025) y bajó a 4.490 M en FY2026 por las recompras de 1.632,5 M [1, 2]. El circulante es positivo porque la caja domina; sin ella, clientes (809 M) y costes de vehículos en depósito (122,9 M) se financian en buena parte con acreedores y pasivos devengados (634,7 M) [1]. Las cuentas a cobrar suben más que las ventas: +6,1 % en FY2026 con ventas planas, y la provisión de insolvencias pasa de 12,9 a 18,6 M [1]. El inmovilizado neto (3.733 M) es el 37 % del activo, con 2.501 M de terrenos a coste histórico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6.837</w:t>
      </w:r>
      <w:r>
        <w:t xml:space="preserve">, conversión </w:t>
      </w:r>
      <w:r>
        <w:rPr>
          <w:b/>
          <w:bCs/>
        </w:rPr>
        <w:t xml:space="preserve">70 %</w:t>
      </w:r>
      <w:r>
        <w:t xml:space="preserve"> del beneficio neto; adquisiciones 300, dividendos 0, recompras 2.313.</w:t>
      </w:r>
    </w:p>
    <w:p>
      <w:pPr>
        <w:spacing w:after="100"/>
      </w:pPr>
      <w:r>
        <w:t xml:space="preserve">El flujo operativo convierte bien: 1.604,5 M en FY2026 frente a 1.484,3 M de beneficio, con 238,5 M de amortizaciones y 38,8 M de remuneración en acciones; bajó un 10,8 % por menos beneficio y por más cuentas a cobrar (+80,6 M) e impuestos a cobrar (+49,3 M) [1]. </w:t>
      </w:r>
      <w:r>
        <w:rPr>
          <w:b/>
        </w:rPr>
        <w:t xml:space="preserve">El capex es sobre todo terreno</w:t>
      </w:r>
      <w:r>
        <w:t xml:space="preserve">: la empresa no publica el desglose entre mantenimiento y crecimiento [1]; el coste bruto de los terrenos pasó de 629,8 M (FY2017) a 2.501,2 M (FY2026), +1.871 M en nueve años, el 55 % del capex de FY2018-FY2026 (3.438 M) [1, 3, 4, 5, 6, 7, 8, 9, 10]. Por años: +366,9 M de terrenos en FY2025 (capex 569,0 M, más 64,1 M pagados con un depósito previo) y +106,7 M en FY2026 (capex 337,4 M, el más bajo desde FY2022) [1, 3]. </w:t>
      </w:r>
      <w:r>
        <w:rPr>
          <w:b/>
        </w:rPr>
        <w:t xml:space="preserve">Estimación propia</w:t>
      </w:r>
      <w:r>
        <w:t xml:space="preserve">: capex de mantenimiento ≈ amortización, unos 230 M en FY2026; el resto (≈110 M en FY2026, ≈340 M en FY2025) es expansión, casi toda terreno y naves. Fuera de la tabla: compras de letras del Tesoro (2.889 M) y vencimientos (2.345 M) en FY2026, y 3,7 M en participadas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cuestiones clave de auditoría en FY2026; control interno sobre la información financiera también auditado por EY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a Copart desde 2006 (21 ejercicios) y en FY2026 no identificó ninguna cuestión clave de auditoría [1]. No hay reexpresiones ni cambios de criterio relevantes; FY2026 adopta ASU 2023-09 (desglose de impuestos) de forma prospectiva [1]. Capitalización: software de uso interno (136,4 M brutos, amortización de 15,7 M en FY2026) y costes de obtención de contratos con aseguradoras, que se amortizan contra ingresos [1]. Se difieren costes de vehículos en depósito (122,9 M) que se imputan al venderse el coche, una estimación de reparto que puede mover el margen trimestral [1]. Remuneración en acciones moderada: 38,8 M, el 2,6 % del beneficio neto, aunque los ejercicios de opciones han generado grandes deducciones fiscales (107,6 M en FY2017, 36,7 M en FY2025, 6,6 M en FY2026) [1, 10]. Tipo efectivo del 19,3 % gracias a la deducción FDII (46,7 M) [1]. El flujo operativo supera al beneficio todos los años [2]. Lo que más preocupa es la investigación del Departamento de Justicia, sin provisión ni rango de pérdida [1]. Los tres indicadores son tranquilizadores: Altman Z de 19,11 (zona segura, aunque inflado por 4.490 M de caja y ningún pasivo financiero), Piotroski F de 6 sobre 9 (falla en la mejora del ROA y de la liquidez, por un año de beneficio a la baja y recompras) y Beneish M de −2,51, lejos del umbral de manipulación (−1,78).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 del Departamento de Justicia por blanqueo de capitales en la plataforma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Abierta, con carta de posible responsabilidad de oct-2023; sin provisión ni rango de pérdida estimable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a cobrar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+6,1 % en FY2026 con ventas +0,4 %; provisión de insolvencias de 12,9 a 18,6 M; impuestos a cobrar de 0,6 a 49,9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diferidos de vehículos en depósito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122,9 M reparten costes de instalaciones entre periodos con factores estimados; un cambio de factores mueve el margen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con 21 años seguidos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desde 2006; opinión limpia y sin cuestiones clave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30,6 % · </w:t>
      </w:r>
      <w:r>
        <w:rPr>
          <w:b/>
          <w:bCs/>
        </w:rPr>
        <w:t xml:space="preserve">WACC</w:t>
      </w:r>
      <w:r>
        <w:t xml:space="preserve">: 10,4 %.</w:t>
      </w:r>
    </w:p>
    <w:p>
      <w:pPr>
        <w:spacing w:after="100"/>
      </w:pPr>
      <w:r>
        <w:t xml:space="preserve">Copart crea valor con holgura: ROIC del 29,5 % en FY2026 frente a un WACC del 10,4 %, y por encima del 26,9 % todos los años desde FY2017, con máximo del 36,5 % en FY2022. El ROIC baja desde entonces porque el capital invertido crece más deprisa que el beneficio: de 3.061 M en FY2022 a 4.524 M en FY2026 (+48 %), sobre todo terrenos (2.501 M brutos [1]), mientras el NOPAT sube un 19 %. La rotación cae de 0,71 a 0,46 veces: es la parte de los terrenos que se compraron antes de tener el volumen. El ROIC incremental de diez años (30,6 %) muestra que la expansión rindió, pero la de FY2025-FY2026 aún no: el NOPAT bajó de 1.386 a 1.333 M. El ROE (16,2 %) está deprimido por 4.490 M de caja que rinde un 4 %. Frente a sus pares, solo USS (57 % según Stock Analysis [72]) supera a Copart; RB Global, que arrienda sus patios, tiene un margen operativo del 15,5 % [26].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1.907,9 M + letras del Tesoro a vencimiento (held-to-maturity) 2.581,9 M = 4.489,8 M a 31-jul-2026, sin deuda financiera; línea revolving no garantizada de 1.250 M con Wells Fargo (firmada el 23-ene-2026, vence el 23-ene-2031), sin disponer: 22,5 M de cartas de crédito y 1.227,5 M libres [1, 12]. 598,3 M de la caja está en filiales extranjeras [1]. La compra de ACV (≈1.900 M de valor de las acciones) se pagará con caja propia; a la fecha de corte la OPA seguía abierta (prorrogada al 7-oct-2026 con el 47,78 % aceptado a 30-sep) [13, 14,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la empresa no tiene bonos en circulación y el 10-K no menciona calificación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Pasivos por arrendamiento operativo: 85,6 M a 31-jul-2026 (15,1 M corrientes + 70,5 M no corrientes; 101,0 M en FY2025), cuyo gasto ya está dentro del EBITDA; los financieros son 2,7 M [1, 2]. Cartas de crédito de 22,5 M para obligaciones de seguros [1]. Minoritarios rescatables de Purple Wave (20 %) por 16,6 M en el entresuelo del balance [1]. </w:t>
      </w:r>
      <w:r>
        <w:rPr>
          <w:b/>
        </w:rPr>
        <w:t xml:space="preserve">Contingencia sin provisión</w:t>
      </w:r>
      <w:r>
        <w:t xml:space="preserve">: el Departamento de Justicia de EE. UU. investiga posibles infracciones de las normas contra el blanqueo de capitales por los controles sobre los compradores de la plataforma; en octubre de 2023 envió una carta diciendo que la empresa podría tener responsabilidad, y Copart no puede estimar el rango de pérdida [1]. Covenants de la línea revolving cumplidos [1]. Sin pensiones de prestación definida (solo planes de aportación, 8,7 M de gasto en FY2026) ni factoring [1]. Compromiso posterior al cierre: ≈1.900 M para ACV [1, 13].</w:t>
      </w:r>
    </w:p>
    <w:p>
      <w:pPr>
        <w:pStyle w:val="Heading1"/>
      </w:pPr>
      <w:r>
        <w:t xml:space="preserve">12. Asignación de capital</w:t>
      </w:r>
    </w:p>
    <w:p>
      <w:pPr>
        <w:pStyle w:val="Confianza"/>
        <w:spacing w:after="100"/>
      </w:pPr>
      <w:r>
        <w:t xml:space="preserve">Confianza: Alta</w:t>
      </w:r>
    </w:p>
    <w:p>
      <w:pPr>
        <w:spacing w:after="100"/>
      </w:pPr>
      <w:r>
        <w:t xml:space="preserve">Sin dividendo: Copart no ha declarado nunca uno [1]. Recompras oportunistas con un programa sin límite temporal: autorizadas 784 M de acciones, recompradas 502 M, quedan 282 M [1]. Se usan a golpes: 365 M en FY2019, nada entre FY2020 y FY2025 mientras la caja se acumulaba, y 1.632,5 M en FY2026 (43,4 M de acciones a 37,63 USD de media) [1, 2]. Prioridades: reinvertir en terrenos y capacidad, crecer por compras (ACV, ≈1.900 M en efectivo, la mayor de su historia) y mantener flexibilidad de balance; la dirección dice que estudia otros usos de la caja restante [1, 14]. Acciones en circulación: 926,3 M a 31-jul-2026 y 926,3 M a 25-sep-2026 (portada del 10-K); diluidas medias del año, 956,9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Cycle Express, LLC (National Powersport Auctions, subastas de motos y vehículos recreativos, EE. UU.) y otros activos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sin deterioro del fondo de comercio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ILT Project Ltd (Hills Motors), desguace y venta de piezas recicladas en el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Internacional; sin deterioro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Purple Wave (80 %), subastas online de maquinaria pesada,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M de acciones propias; minoritario del 20 % valorado en 25,2 M y rescatable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minoritario rescatable baja de 24,5 a 16,6 M porque el negocio pierde dinero (resultado atribuido a minoritarios −3,9 M en FY2026)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 (pendiente)</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(subastas digitales entre concesionarios, EE. UU.): 10,50 USD por acción, prima del 45 % sobre el precio no afectado; ingresos de ACV de 760 M en 2025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propia; neutral en BPA el primer año completo y acretiva desde FY2028 según la presentación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10-sep-2026; OPA iniciada el 17-sep; a 30-sep se habían aceptado 81,3 M de acciones (47,78 %), por debajo de la mayoría exigida, y el plazo se prorrogó hasta las 17:00 (hora de Nueva York) del 7-oct-2026; también pendiente de la autorización antimonopolio (HSR). Sin cerrar a la fecha de corte [13, 14, 15, 19].</w:t>
            </w:r>
          </w:p>
        </w:tc>
      </w:tr>
    </w:tbl>
    <w:p>
      <w:pPr>
        <w:spacing w:after="160" w:before="0"/>
      </w:pPr>
    </w:p>
    <w:p>
      <w:pPr>
        <w:spacing w:after="100"/>
      </w:pPr>
      <w:r>
        <w:t xml:space="preserve">La dirección ha creado valor sobre todo reinvirtiendo en terrenos: el inmovilizado neto pasó de 944 M a 3.733 M en diez años mientras el EBIT se multiplicaba por 3,6 [2]. Las compras han sido pequeñas hasta ACV, que cambia la escala: ≈1.900 M (valor de las acciones) por un negocio de 760 M de ingresos en 2025, 2,5 veces ventas sin contar su caja ni su deuda [13, 14]. Las recompras llegaron tarde y concentradas: nada durante seis años y 1.632,5 M en FY2026 a 37,63 USD [1]. La caja acumulada (4.490 M, que rinde 182 M de intereses) rebaja la rentabilidad sobre fondos propios. En diez años generó 6.837 M de flujo libre y destinó 2.313 M a recompras y 300 M a compras, con un ROIC incremental del 30,6 %: el veredicto es bueno en la reinversión orgánica y dudoso en las dos grandes decisiones de FY2026, recompras a 37,63 USD (hoy 26,82) y ACV.</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Jayson Adair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Copart desde 1989; presidente (President) de 1996 a 2010, CEO de 2010 a 2022, co-CEO de 2022 a 2024 y presidente ejecutivo de abril de 2024 a julio de 2026 [41]. Vuelve a CEO el 31 de julio de 2026 tras la salida de Liaw [36]. Es yerno del fundador; cobra 1 USD de salario y renuncia a todo variable (432.172 USD en FY2025, casi todo uso privado del avión) [41]. La empresa atribuye a su etapa una rentabilidad del 1.888 % en 15 ejercicios frente al 475 % del S&amp;P 500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Leah C. Stearns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(SVP y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diciembre de 2022; antes CFO de CBRE Group (2019-2021) y 17 años en American Tower, donde acabó como CFO de la división de EE. UU. [41]. Participación de 348.000 acciones, de ellas 276.000 opciones ejercitables (octubre de 2025) [41]; en agosto de 2026 recibió 200.000 opciones y 12.654 RSU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Willis J. Johnson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Copart en 1982 y fue su CEO hasta febrero de 2010; preside el consejo desde enero de 2004, como presidente ejecutivo hasta abril de 2024 y después como presidente no ejecutivo [41, 47]. Tiene 55,7 millones de acciones, sobre todo en su fideicomiso familiar, y en septiembre de 2025 el consejo le dispensó de la prohibición de pignorar hasta el 20 % de ellas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Jane Pocock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enero de 2019 como directora general de Copart UK y llegó a CEO de Reino Unido; antes fue consejera delegada de Vans Direct [37]. Presidenta desde el 1 de agosto de 2026, un puesto que estaba vacante [37]: salario de 804.000 USD, bonus objetivo de 643.000 USD, RSU por 0,8 M USD y 500.000 opciones, 279.000 de ellas con barrera del 125 % del precio [45]. Al nombrarla tenía 330 acciones y 89.767 RSU sin consolidar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Jeffrey Liaw</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CEO (abril de 2024 a julio de 2026); asesor sénior hasta julio 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Llegó en 2016 como CFO desde FleetPride y TPG; presidente (2019-2021), co-CEO (2022-2024) y CEO único desde abril de 2024 [41, 47]. Dejó el cargo y el consejo el 31 de julio de 2026 tras un FY2026 con ingresos +0,4 % y beneficio neto −4,4 % [11, 36]. En 12 meses vendió 103.378 acciones por 3,81 M USD, todas tras ejercer opciones [48].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pública. Objetivo interno de beneficio operativo del plan de bonus: 1.500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USD; pago del 100 % en la parte financiera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pública. Objetivo interno de beneficio operativo del plan de bonus: 1.715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1.570 M USD (−8 %); pago del 99 % pese a quedarse corto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pública. Objetivo interno de beneficio operativo del plan de bonus: 1.800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1.700 M USD (−6 %); pago del 99 %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FY2027-FY2028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ACV (10-sep-2026): neutral para el BPA en el primer año completo y acretiva desde FY2028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cierre previsto a finales de 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Copart </w:t>
      </w:r>
      <w:r>
        <w:rPr>
          <w:b/>
        </w:rPr>
        <w:t xml:space="preserve">no da guía</w:t>
      </w:r>
      <w:r>
        <w:t xml:space="preserve"> de resultados: ni los comunicados trimestrales ni el 10-K fijan objetivos [1, 11]. El único contraste posible son los objetivos internos de beneficio operativo del plan de bonus, que se incumplieron en FY2024 y FY2025 sin apenas efecto en el pago (99 %) [41, 52]; la tabla los recoge como sustituto, no como guía. La credibilidad descansa en Adair, CEO de 2010 a 2022 [41]. La sucesión planificada hacia Liaw, un directivo externo procedente de TPG, duró 28 meses como CEO único: el consejo devolvió el cargo a Adair el 29 de junio de 2026, tras un ejercicio plano (ingresos +0,4 %, beneficio −4,4 %) [11, 36]. El plan de sucesión vuelve a ser familiar; Pocock, presidenta desde agosto, es la candidata interna visible [37]. La CFO sigue desde 2022 [41].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Willis J.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Jayson Adair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(yerno del 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 Blunt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D. Cohan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(directivo de Copart de 1992 a 1996)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J. Englander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Nombramientos,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Fisher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Cherylyn Harley LeBon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E. Meeks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operaciones de Copart hasta 2007; su hija es empleada)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Diane M. Morefield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Gobierno y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 D. Sparks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N. Tryforos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J. Berger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(socio de Wilson Sonsini, abogados externos de la empresa)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James E. Meeks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cuestiones clave de auditoría en FY2026; control interno sobre la información financiera también auditado por EY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9,93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66,1 M acciones a 31-mar-2026 [49]. Tras su reorganización de enero de 2026, The Vanguard Group declaró 0 % y sus filiales declaran por separado [50]; el proxy de 2025 daba 10,24 % al grupo entero, así que las cifras no son comparables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58,2 M acciones a 31-mar-2025 [51]; sin presentaciones posteriores en EDGAR hasta el 7-oct-2026.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Willis J. Johnson (fundador y presidente)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familia Johnson-Adair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55,90 M (oct-2023), 55,81 M (oct-2024) y 55,70 M (oct-2025), incluidas unas 0,2 M opciones [41, 52, 53]. Sin ventas en 12 meses [48]. Sobre las 926,3 M acciones de septiembre de 2026 serían un 6,0 % (estimación propia)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Jayson Adair (CEO, yerno del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Johnson-Adair (incluye 4 M opciones y sociedades familiares)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35,75 M (oct-2023), 30,64 M (oct-2024) y 30,56 M (oct-2025) [41, 52, 53]; donó 50.161 acciones en enero de 2026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en conjunto (13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10,8 M opciones ejercitables (oct-2025) [41]; el 10-K FY2026 dice que superan el 10 %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amortiza lo que recompra: en FY2026 compró 43,4 M acciones a 37,63 USD (1.600 M USD) y las restó del capital, sin autocartera en balance [1]. Las acciones pasaron de 967,8 M (oct-2025) a 926,3 M (25-sep-2026) [1, 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Liaw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N. Tryforos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Liaw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Liaw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J. Englander (consejero coordinador; vía Ursula Capital)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Jeffrey Liaw (CEO saliente;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Adair cobra 1 USD y renuncia a todo variable; el resto cobra sobre todo con concesiones de opciones plurianuales, por eso Liaw no tuvo largo plazo en FY2025 [41]. El bonus (60 % beneficio operativo, 40 % objetivos personales) tiene una curva </w:t>
      </w:r>
      <w:r>
        <w:rPr>
          <w:b/>
        </w:rPr>
        <w:t xml:space="preserve">casi plana</w:t>
      </w:r>
      <w:r>
        <w:t xml:space="preserve">: el umbral de 1.300 M USD paga el 93 % y el máximo de 2.300 M USD, el 107 %; en FY2024 y FY2025 el beneficio quedó un 8 % y un 6 % por debajo del objetivo y se pagó el 99 % [41, 52]. La mitad del valor de las opciones exige cotizar al 125 % del precio de ejercicio, condición que se quitó a Liaw al salir [1, 41]. Hay *clawback* desde 2023 e indemnización del 50 % del salario [41]. *Say-on-pay* a favor: 79,5 % (2023), 95,2 % (2024) y 92,2 % (2025) [42, 43, 44], tras un 62 % en 2022 [52].</w:t>
      </w:r>
    </w:p>
    <w:p>
      <w:pPr>
        <w:pStyle w:val="Heading2"/>
      </w:pPr>
      <w:r>
        <w:t xml:space="preserve">Operaciones vinculadas, estructura de control y defensas</w:t>
      </w:r>
    </w:p>
    <w:p>
      <w:pPr>
        <w:spacing w:after="100"/>
      </w:pPr>
      <w:r>
        <w:t xml:space="preserve">Nadie tiene la mayoría ni hay pactos declarados: la familia Johnson-Adair suma el </w:t>
      </w:r>
      <w:r>
        <w:rPr>
          <w:b/>
        </w:rPr>
        <w:t xml:space="preserve">8,9 %</w:t>
      </w:r>
      <w:r>
        <w:t xml:space="preserve"> con opciones (8,5 % de los votos) [41], y consejeros y directivos, más del 10 % [1]. Lo tratamos como </w:t>
      </w:r>
      <w:r>
        <w:rPr>
          <w:b/>
        </w:rPr>
        <w:t xml:space="preserve">control de hecho</w:t>
      </w:r>
      <w:r>
        <w:t xml:space="preserve">: el fundador preside el consejo desde 2004, su yerno ha sido CEO, co-CEO o presidente ejecutivo desde 2010 y en junio de 2026 el consejo le devolvió el cargo de CEO [36, 41]. Una sola clase de acciones, elección anual de todo el consejo por mayoría y derecho a convocar junta [41]; el 10-K menciona cláusulas antiopa sin detallarlas [1]. Vinculadas: el hermano de Adair cobró 0,41 M USD y la hija de Meeks, 0,33 M USD; Adair y Liaw usan el avión para viajes privados; Johnson puede pignorar el 20 % de sus acciones [41].</w:t>
      </w:r>
    </w:p>
    <w:p>
      <w:pPr>
        <w:pStyle w:val="Heading2"/>
      </w:pPr>
      <w:r>
        <w:t xml:space="preserve">Señales de alerta</w:t>
      </w:r>
    </w:p>
    <w:p>
      <w:pPr>
        <w:pStyle w:val="ListParagraph"/>
        <w:numPr>
          <w:ilvl w:val="0"/>
          <w:numId w:val="2"/>
        </w:numPr>
        <w:spacing w:after="60"/>
      </w:pPr>
      <w:r>
        <w:t xml:space="preserve">Salida de Liaw generosa: frente al 50 % del salario (0,45 M USD) de su contrato, recibe 0,45 M USD al contado, 0,2 M USD como asesor, 0,25 M USD al separarse, el bonus de FY2026, 20 horas de avión privado, la consolidación completa de lo pendiente y dos años más para ejercer [36, 41]. Además se eliminaron las barreras de precio de 785.336 opciones (85.336 de 2021 con barrera en 33,22 USD y 700.000 de 2022 en 39,28 USD) cuando la acción se vendía a 27-30 USD (Form 4 de julio de 2026), y el periodo de tenencia de 10 años de sus RSU [36, 41, 48]. La empresa califica de inmaterial el coste contable incremental [1].</w:t>
      </w:r>
    </w:p>
    <w:p>
      <w:pPr>
        <w:pStyle w:val="ListParagraph"/>
        <w:numPr>
          <w:ilvl w:val="0"/>
          <w:numId w:val="2"/>
        </w:numPr>
        <w:spacing w:after="60"/>
      </w:pPr>
      <w:r>
        <w:t xml:space="preserve">Insiders en 12 meses: ninguna compra en mercado abierto y ventas por 9,92 M USD (Liaw 3,81; Tryforos 3,91; Englander 2,20) [48]. Además hubo ejercicios de opciones (Liaw 198.171, Tryforos 100.000, Englander 100.000 y Morefield 50.000 acciones), donaciones de Adair (50.161 acciones en enero de 2026) y traspasos sin precio de Tryforos y Englander (27.850 y 40.000 acciones). Las 10 presentaciones del 5-dic-2025 son la concesión anual de 17.813 opciones a cada consejero externo, Johnson incluido [48].</w:t>
      </w:r>
    </w:p>
    <w:p>
      <w:pPr>
        <w:pStyle w:val="ListParagraph"/>
        <w:numPr>
          <w:ilvl w:val="0"/>
          <w:numId w:val="2"/>
        </w:numPr>
        <w:spacing w:after="60"/>
      </w:pPr>
      <w:r>
        <w:t xml:space="preserve">David J. Berger, socio de Wilson Sonsini (abogados externos de Copart), entró en el consejo el 13-ago-2026, cuatro semanas antes de anunciar la compra de ACV, en la que Wilson Sonsini es el asesor legal de Copart [13, 46]. La empresa espera honorarios «no materiales», sin cifra [46].</w:t>
      </w:r>
    </w:p>
    <w:p>
      <w:pPr>
        <w:pStyle w:val="ListParagraph"/>
        <w:numPr>
          <w:ilvl w:val="0"/>
          <w:numId w:val="2"/>
        </w:numPr>
        <w:spacing w:after="60"/>
      </w:pPr>
      <w:r>
        <w:t xml:space="preserve">Antigüedad del consejo: cuatro de los ocho independientes llevan más de 12 años (Cohan desde 2004, que preside Auditoría y fue directivo de 1992 a 1996; Englander desde 2006, consejero coordinador y presidente de Retribuciones; Blunt desde 2009; Tryforos desde 2012), y Meeks, ex director de operaciones con una hija empleada, figura como independiente para la empresa [41].</w:t>
      </w:r>
    </w:p>
    <w:p>
      <w:pPr>
        <w:pStyle w:val="ListParagraph"/>
        <w:numPr>
          <w:ilvl w:val="0"/>
          <w:numId w:val="2"/>
        </w:numPr>
        <w:spacing w:after="60"/>
      </w:pPr>
      <w:r>
        <w:t xml:space="preserve">Rechazo sostenido a ciertos consejeros en la junta de 2025: 13,2 % en contra de Morefield y 11,6 % de Cohan sobre los votos emitidos [42].</w:t>
      </w:r>
    </w:p>
    <w:p>
      <w:pPr>
        <w:pStyle w:val="ListParagraph"/>
        <w:numPr>
          <w:ilvl w:val="0"/>
          <w:numId w:val="2"/>
        </w:numPr>
        <w:spacing w:after="60"/>
      </w:pPr>
      <w:r>
        <w:t xml:space="preserve">Dispensa en septiembre de 2025 para que el presidente pignore hasta el 20 % de sus acciones como garantía de préstamos personales [41].</w:t>
      </w:r>
    </w:p>
    <w:p>
      <w:pPr>
        <w:pStyle w:val="ListParagraph"/>
        <w:numPr>
          <w:ilvl w:val="0"/>
          <w:numId w:val="2"/>
        </w:numPr>
        <w:spacing w:after="60"/>
      </w:pPr>
      <w:r>
        <w:t xml:space="preserve">Adair presentó con nueve meses de retraso el Form 4 de unas donaciones de enero de 2025 [41].</w:t>
      </w:r>
    </w:p>
    <w:p>
      <w:pPr>
        <w:pStyle w:val="ListParagraph"/>
        <w:numPr>
          <w:ilvl w:val="0"/>
          <w:numId w:val="2"/>
        </w:numPr>
        <w:spacing w:after="60"/>
      </w:pPr>
      <w:r>
        <w:t xml:space="preserve">El cambio de CEO llega con el negocio parado: ingresos FY2026 +0,4 % y beneficio neto −4,4 % (4T: −17,4 %) [11]; el proxy de 2026, con la retribución de FY2026 y la de Adair como CEO, no se había publicado a 7-oct-2026.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Copart no publica previsiones anuales ni objetivos a medio plazo: ni la nota de resultados del 4T FY26 (10-sep-2026) ni el 10-K FY2026 dan cifras de ingresos, márgenes o BPA para FY2027 [1, 11]. La única referencia cuantitativa de la dirección es la de la compra de ACV, anunciada el mismo 10-sep-2026: la operación será neutral para el BPA de Copart en el primer ejercicio completo de propiedad y aumentará el BPA desde FY2028, con sinergias de costes a corto plazo y de ingresos en los canales de concesionarios, comerciales y minoristas que no se cuantifican; se paga con la caja del balance y Copart dice conservar margen para otras inversiones [13, 14]. El consenso, por tanto, lo construyen los analistas sin ancla de la empresa, lo que explica la dispersión de precios objetivo (25-55 USD).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(12 analistas en precio objetivo) [64]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[64]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[64]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 – 55,00</w:t>
            </w:r>
          </w:p>
        </w:tc>
      </w:tr>
    </w:tbl>
    <w:p>
      <w:pPr>
        <w:spacing w:after="160" w:before="0"/>
      </w:pPr>
    </w:p>
    <w:p>
      <w:pPr>
        <w:pStyle w:val="Heading2"/>
      </w:pPr>
      <w:r>
        <w:t xml:space="preserve">Revisiones de estimaciones</w:t>
      </w:r>
    </w:p>
    <w:p>
      <w:pPr>
        <w:spacing w:after="100"/>
      </w:pPr>
      <w:r>
        <w:t xml:space="preserve">No hay un historial gratuito de las revisiones del BPA a 3 y 12 meses; sí de las recomendaciones: en julio de 2026 había 5 «compra fuerte», 2 «compra», 5 «mantener» y 1 «vender»; en octubre, 3, 4, 4 y 1 [66]. Tras los resultados del 4T y la compra de ACV, HSBC bajó a «mantener» (36 USD, 16-sep), Baird mantuvo «comprar» bajando a 38 USD y Jefferies la mantuvo subiendo a 47 USD (11-sep); Barclays sigue en «vender» con 25 USD (25-sep) [66]; J.P. Morgan y Barrington subieron la recomendación en septiembre y BNP Paribas subió su objetivo a 43 USD [65]. El consenso de FY2027 (ingresos +3,8 %, BPA +4,7 %; horquilla de BPA 1,56-1,67 USD [66]) apenas crece: el mercado descuenta un año plano. Contraste: Stock Analysis da los mismos 12 analistas, objetivo medio 39 USD (mediana 37), mínimo 25 y máximo 55 [66]. Estimaciones completas solo de MarketScreener; el BPA FY2027 coincide con el de Stock Analysis (1,62 USD).</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bl>
    <w:p>
      <w:pPr>
        <w:spacing w:after="160" w:before="0"/>
      </w:pPr>
    </w:p>
    <w:p>
      <w:pPr>
        <w:spacing w:after="100"/>
      </w:pPr>
      <w:r>
        <w:t xml:space="preserve">La acción ha perdido un 58 % desde su máximo del 16-may-2025 y un 39,4 % en el último año, frente al +17,7 % del S&amp;P 500 y el +12,5 % de las industriales (XLI) [55]. A diez años aún bate al sector (14,9 % anual frente a 13,4 %) y empata casi con el índice. La caída tiene tres tramos con hechos detrás: un FY2026 sin crecimiento (ingresos +0,4 %, beneficio neto −4,4 %, BPA diluido del 4T −14,6 %), con menos volumen de vehículos en EE. UU. y sin los huracanes que inflaron FY2025 [1, 11]; la salida del consejero delegado Jeff Liaw el 31-jul-2026 y la vuelta de Jayson Adair [1]; y el 10-sep-2026, resultados más la compra de ACV por ≈ 1.900 M: de 32,03 USD el 9-sep a 26,82 el 6-oct (−16 %), con 22 M de acciones el 11-sep, el doble de lo normal [85]. La posición corta es moderada: 33,97 M de acciones a 15-sep-2026, el 3,7 % del capital y el 4,0 % del flotante, 3,5 días para cubrir, un 10 % menos que a 31-ago [58, 84].</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Copart cotiza a 10,9x EBITDA de los últimos 12 meses y 17,3x beneficio, un 51 % y un 45 % por debajo de su media de diez años (22,3x y 31,6x) y por debajo del mínimo de la serie (12,4x y 18,7x). Lo que ha cambiado es el crecimiento: de un 9,5-9,7 % en FY2024-FY2025 y un 13,9 % anual en diez años a un +0,4 % en FY2026, con el primer descenso del beneficio operativo desde FY2014 [2]. Los tipos también pesan: el Tesoro a 10 años está en el 5,31 % [56]. La prima histórica pagaba un compuesto de crecimiento con terrenos propios; el precio actual paga un negocio maduro. El descuento es razonable si los volúmenes no se recuperan y exagerado si lo hacen.</w:t>
      </w:r>
    </w:p>
    <w:p>
      <w:pPr>
        <w:pStyle w:val="Heading1"/>
      </w:pPr>
      <w:r>
        <w:t xml:space="preserve">18. Comparables cotizados</w:t>
      </w:r>
    </w:p>
    <w:p>
      <w:pPr>
        <w:pStyle w:val="Confianza"/>
        <w:spacing w:after="100"/>
      </w:pPr>
      <w:r>
        <w:t xml:space="preserve">Confianza: Media</w:t>
      </w:r>
    </w:p>
    <w:p>
      <w:pPr>
        <w:spacing w:after="100"/>
      </w:pPr>
      <w:r>
        <w:t xml:space="preserve">Subastas y mercados de vehículos y bienes usados con modelo de comisión y red física o digital: RB Global (dueña de IAA, el rival directo de Copart en siniestros), OPENLANE (subastas digitales de concesionarios), USS y Aucnet (subastas de coches en Japón), CarGurus y Cars.com (mercados digitales de coches), LKQ (comprador de siniestros y recambios) y eBay (mercado de subasta con red de compradores). Fuera: ACV, porque cotiza al precio de la OPA (10,44 USD frente a 10,50); Cintas y Rollins, porque comparten la calidad pero no el negocio ni el ciclo.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Copart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RB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OPENLANE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Aucnet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LKQ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CarGurus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 / 8,8x / 10,5x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 / 9,6x / 11,6x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 16,1x / 22,2x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 2,2x / 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5,5 + 0,47 × crecimiento; R² = 0,24. El crecimiento explica poco los múltiplos de estos comparables (R² &lt; 0,3): la regresión no se usa en la valoración.</w:t>
      </w:r>
    </w:p>
    <w:p>
      <w:pPr>
        <w:spacing w:after="100"/>
      </w:pPr>
      <w:r>
        <w:t xml:space="preserve">Copart cotiza a 10,4x EBITDA de los próximos 12 meses y 16,3x beneficio, frente a medianas de 8,8x y 16,2x de ocho comparables (estimación propia con el consenso [64]). La prima en EBITDA es pequeña para lo que separa a Copart: margen EBITDA del 40 % (frente a 30,5 % de RB Global y 17,2 % de OPENLANE), caja neta de 4.487 M y un ROIC del 28 % según Stock Analysis [58]; solo USS (57 % de margen, 57 % de ROIC, caja neta) tiene un perfil parecido y cotiza a 10,2x con un crecimiento del 5,9 % [71, 72]. Lo que el mercado castiga es el crecimiento: Copart espera ≈ +4 % frente al 5,9-10 % de RB Global, OPENLANE, CarGurus y eBay. Los múltiplos de la parte baja (LKQ 6,1x, Cars.com 4,0x, CarGurus 6,4x) responden a deuda, márgenes bajos o un negocio de anuncios más expuesto; con ellos fuera la mediana sube a 10,5x. El múltiplo de referencia más útil es el de RB Global, USS y OPENLANE, 10,2-10,6x EBITDA: el precio actual ya no cobra prima frente a sus pares directos.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ACV Auctions (subastas digitales de concesionarios,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Copart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10,50 USD por acción en efectivo; ≈ 1.900 M por el capital [13] menos 37,3 M de caja neta a 30-jun-2026 (242,3 M de caja − 205,0 M de deuda) [61]. Múltiplos sobre los últimos 12 meses a jun-26 (estimación propia): ingresos 801,3 M y EBITDA ajustado 64,1 M, que excluye ≈ 57 M al año de remuneración en acciones [61, 63]; sobre el EBITDA ajustado 2026e de la dirección (78 M) son 23,9x y sobre 2027e (123 M), 15,1x [62]. Prima del 45 % sobre el precio sin afectar del 10-ago-2026 [13]. Hubo dos ofertas rivales: «Party B» ofreció 11-12 USD en efectivo (EV 1.882-2.066 M, 30,4-33,4x EBITDA)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IAA (subastas de vehículos siniestrados, EE. UU., Canadá y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Ritchie Bros. (hoy RB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más efectivo (10 USD + 0,5804 acciones de Ritchie Bros.), 46,88 USD por acción y 7.300 M de valor empresa con 1.000 M de deuda neta asumida; 13,6x el EBITDA ajustado de los últimos 12 meses a 2-oct-2022; prima del 19 % sobre el cierre del 4-nov-2022 [86]. Es la única compra del competidor directo de Copart en siniestros.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ADESA EE. UU. (56 subastas físicas de vehículos usados)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Carvana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2.200 M en efectivo por el negocio físico de ADESA en EE. UU. [87]. Carvana solo dice que facturó «más de 800 M» y generó «más de 100 M» de EBITDA en 2021 [88]: 22,0x es por tanto un MÁXIMO del múltiplo de EBITDA (y 2,75x el de ventas). Activos con suelo (56 parcelas), comprados en el pico del mercado de usados.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Uni-Select (distribución de recambios, Canadá y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48,00 CAD por acción en efectivo, valor empresa de ≈ 2.800 M CAD (2.100 M USD); prima del 19,2 % sobre el cierre del 24-feb-2023 [89]. LKQ solo publicó 9,7x el EBITDA de segmentos 2023e incluidas las sinergias (55 M) [90]: no es un múltiplo de los últimos 12 meses ni sin sinergias, así que no lo uso. Referencia del valor de control en el negocio de recambios y siniestros adyacente a Copart.</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22,0x (17,8x – 25,6x)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40,77 – 56,43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se han pagado entre 13,6x (IAA, el único rival directo de Copart en siniestros) y ≈ 22-29x (ADESA y ACV, plataformas compradas por su crecimiento o su red). Copart cotiza a 10,8x el EBITDA de FY2026, por debajo incluso de lo que se pagó por IAA en 2022. El múltiplo de ACV no sirve para valorar a Copart: es sobre un EBITDA ajustado que excluye una remuneración en acciones casi igual al propio EBITDA. Copart no es un objetivo verosímil: 25.000 M de capitalización, consejeros y directivos con más del 10 % del capital [1] y ninguna empresa del sector con tamaño para comprarla. Las transacciones, por eso, deben pesar poco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un FY2027e del +3,5 %, en línea con el consenso (+3,8 % [64]) y con el 4T26 (+2,4 % [11]): las unidades de aseguradoras en EE. UU. caen un 7,5 % y el ingreso por unidad sube un 5,4 % [16]. Después, del 4,5 % al 5 % hasta FY2032e y 4 % en FY2035e-FY2036e, muy por debajo del 13,9 % anual de FY2017-FY2026 y del 9,5-9,7 % de FY2024-FY2025. El crecimiento sale de tres motores con datos: la tasa de siniestro total sube de forma estructural (23,3 % en el 2T de 2026, casi 5 puntos más en cuatro años [16, 22]), Internacional crece a doble dígito (+12,4 % en servicios en FY2026 [1]) y las no aseguradoras ya son el 21 % de los vehículos procesados [1]. La compra de ACV no está en la proyección.</w:t>
      </w:r>
    </w:p>
    <w:p>
      <w:pPr>
        <w:keepNext/>
        <w:spacing w:after="100"/>
      </w:pPr>
      <w:r>
        <w:rPr>
          <w:b/>
          <w:bCs/>
        </w:rPr>
        <w:t xml:space="preserve">Márgenes.</w:t>
      </w:r>
    </w:p>
    <w:p>
      <w:pPr>
        <w:spacing w:after="100"/>
      </w:pPr>
      <w:r>
        <w:t xml:space="preserve">Margen EBITDA del 39,0 % en FY2027e, 1,3 puntos por debajo del 40,3 % de FY2026 y del 40,4 % del consenso [64]: el 4T26 cerró en el 37,3 % con el coste por coche un 12,7 % más alto, y la dirección no dio fecha para corregirlo [16]. Vuelve al 40 % desde FY2029e, por debajo de la media de FY2019-FY2026 (41,9 %) y del máximo de FY2021 (46,7 %), porque la mezcla gira hacia Internacional y no aseguradoras, de menor margen, y porque IAA compite en precio con RB Global detrás [26, 28]. El margen sigue más de 9 puntos por encima del EBITDA de RB Global (30,5 % [67]).</w:t>
      </w:r>
    </w:p>
    <w:p>
      <w:pPr>
        <w:keepNext/>
        <w:spacing w:after="100"/>
      </w:pPr>
      <w:r>
        <w:rPr>
          <w:b/>
          <w:bCs/>
        </w:rPr>
        <w:t xml:space="preserve">Inversión y circulante.</w:t>
      </w:r>
    </w:p>
    <w:p>
      <w:pPr>
        <w:spacing w:after="100"/>
      </w:pPr>
      <w:r>
        <w:t xml:space="preserve">Capex del 8,5-9 % de las ventas hasta FY2031e, bajando al 6,5 % en FY2035e-FY2036e. FY2026 fue un mínimo (7,2 %, con +106,7 M de terrenos); la media de FY2022-FY2026 fue del 10,9 % y la de FY2018-FY2021, del 19,5 %, cuando se compraba terreno a gran escala [1, 2, 3, 4, 5, 6, 7, 8, 9, 10]. La empresa no separa mantenimiento y crecimiento; estimamos el mantenimiento en la amortización, ≈ 5 % de las ventas [1], y el resto es expansión (terreno, naves y software). El último año deja el capex en 1,2 veces la amortización (5,3 %). Circulante comercial del 5,0 % de las ventas (4,8 % en FY2026 y 4,5-7,8 % en diez años). Tipo impositivo del 20,5 % (19,3 % en FY2026, con la deducción FDII [1]).</w:t>
      </w:r>
    </w:p>
    <w:p>
      <w:pPr>
        <w:keepNext/>
        <w:spacing w:after="100"/>
      </w:pPr>
      <w:r>
        <w:rPr>
          <w:b/>
          <w:bCs/>
        </w:rPr>
        <w:t xml:space="preserve">Coste del capital.</w:t>
      </w:r>
    </w:p>
    <w:p>
      <w:pPr>
        <w:spacing w:after="100"/>
      </w:pPr>
      <w:r>
        <w:t xml:space="preserve">Tasa libre del 5,31 %, bono del Tesoro a 10 años a 5-oct-2026 (FRED, DGS10 [56]). Beta ajustada de Blume de 1,02 sobre la de 1,03 frente al S&amp;P 500 (60 meses [55]); Stock Analysis da 1,06 [58]. La caja (18 % de la capitalización) rebaja la beta de la acción y la del negocio sería algo mayor, pero el salvage es poco cíclico (ingresos −5,3 % en 2008-09 [27]): lo dejamos en 1,02. Prima de mercado del 5,0 %, por encima de la implícita de Damodaran con pago sostenible (4,20 % en octubre de 2026 [91]), que se usa aparte como referencia relativa. Sin deuda (peso 0 %). WACC del 10,41 %.</w:t>
      </w:r>
    </w:p>
    <w:p>
      <w:pPr>
        <w:keepNext/>
        <w:spacing w:after="100"/>
      </w:pPr>
      <w:r>
        <w:rPr>
          <w:b/>
          <w:bCs/>
        </w:rPr>
        <w:t xml:space="preserve">Valor terminal.</w:t>
      </w:r>
    </w:p>
    <w:p>
      <w:pPr>
        <w:spacing w:after="100"/>
      </w:pPr>
      <w:r>
        <w:t xml:space="preserve">Crecimiento a perpetuidad del 3,0 % en dólares (≈ 1 % real más ≈ 2 % de inflación), tras una etapa de transición de diez años que baja del 4 % al 3 %. El Gordon implica 9,2x EBITDA de salida, por debajo del 10,2-10,6x de los comparables de subastas [67, 68, 69, 70, 71, 72] y muy por debajo de la mediana histórica de la propia Copart (22,3x): es prudente a propósito. Un múltiplo de 14x daría un valor terminal un 52 % mayor; no lo usamos porque supondría un crecimiento perpetuo del 5,41 %.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10 años el DCF da 25,88 por acción; sin ella (crecimiento terminal desde FY2036e), 25,08.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FY2046e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La usamos porque el ROIC de FY2026 (29,5 %) supera al WACC (10,4 %) en 19 puntos y lo ha hecho cada año desde FY2017 (26,9-36,5 %), y porque el crecimiento tiene recorrido más allá de FY2036e: Internacional es solo el 18 % de las ventas [11] y crece a doble dígito con un modelo probado en Reino Unido; la tasa de siniestro total sube por el coste de reparar coches con sensores (28,3 % de las reparaciones exige calibración [22]); y la red de ≈ 1 M de compradores en más de 185 países [1] se refuerza con el volumen. La etapa es corta en crecimiento (del 4 % al 3 % en diez años) y con margen constante del 40 %: añade un 3,2 % al valor (25,88 frente a 25,08 sin ella). No la estiramos más porque los volúmenes de las aseguradoras caen y la cuota frente a IAA se ha movido en contra [28].</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32,02</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41,4 % (base: 40,0 %)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10,4 %)</w:t>
            </w:r>
          </w:p>
        </w:tc>
      </w:tr>
    </w:tbl>
    <w:p>
      <w:pPr>
        <w:spacing w:after="160" w:before="0"/>
      </w:pPr>
    </w:p>
    <w:p>
      <w:pPr>
        <w:spacing w:after="100"/>
      </w:pPr>
      <w:r>
        <w:t xml:space="preserve">El DCF da </w:t>
      </w:r>
      <w:r>
        <w:rPr>
          <w:b/>
        </w:rPr>
        <w:t xml:space="preserve">25,88 USD por acción</w:t>
      </w:r>
      <w:r>
        <w:t xml:space="preserve">, un 3,5 % por debajo del precio (26,82), con un valor terminal del 27 % del valor empresa y 4.487 M de caja neta (4,82 USD por acción). La etapa de transición aporta un 3,2 %. </w:t>
      </w:r>
      <w:r>
        <w:rPr>
          <w:b/>
        </w:rPr>
        <w:t xml:space="preserve">El DCF inverso dice que el precio descuenta un crecimiento del 4,9 % anual en FY2027e-FY2036e con nuestro margen, o un margen EBITDA del 41,4 % con nuestro crecimiento, o una rentabilidad del 10,1 %</w:t>
      </w:r>
      <w:r>
        <w:t xml:space="preserve">, a tres décimas de nuestro WACC. Es una exigencia moderada: está por debajo del 13,9 % anual de los últimos diez años y del 9,5-9,7 % de FY2024-FY2025, pero por encima del +0,4 % de FY2026 y del +3,8 % que espera el consenso para FY2027 [64]. En otras palabras, el mercado ya no paga a Copart como compuesto de crecimiento (10,9x EBITDA frente a una mediana histórica de 22,3x), pero tampoco descuenta un declive: pide que la caída de volumen de las aseguradoras sea un valle y que el negocio vuelva a crecer a un ritmo medio. La sensibilidad es estrecha (24,07-28,19 con ±0,5 puntos de WACC y crecimiento terminal): el precio está dentro.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volumen de las aseguradoras es estructural: la frecuencia de siniestros sigue bajando con la conducción asistida y las franquicias altas, IAA (RB Global) gana otro gran asegurador como en 2025 y Copart compite en precio. Ingresos −2,5 % en FY2027e y planos en FY2028e, luego +2,5-3 % anual, margen EBITDA tres puntos más bajo para siempre (36-37 %, el del 4T26) y WACC medio punto más alto. Le pasó a IAA en 2019-2022, cuando perdió cuota y margen frente a Copart.</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Valle cíclico de volumen en FY2027e (+3,5 %) y recuperación al 4,5-5 % con la tasa de siniestro total al alza, Internacional y no aseguradoras; margen EBITDA del 39 % en FY2027e y del 40 % desde FY2029e; capex del 8,5-9 % con compras de terreno moderadas.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frecuencia de siniestros se estabiliza en 2027 con primas de seguro ya planas, Copart recupera volumen y la integración de ACV (no modelada) abre el canal de concesionarios. Crecimiento dos puntos mayor cada año (5,5-7 %), margen 1,5 puntos más alto (41,5 %, aún por debajo de FY2019-FY2025) y WACC 0,3 puntos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26,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25,85 USD (-3,6 %).</w:t>
      </w:r>
    </w:p>
    <w:p>
      <w:pPr>
        <w:spacing w:after="100"/>
      </w:pPr>
      <w:r>
        <w:t xml:space="preserve">La asimetría es desfavorable con nuestro WACC: el alcista da 33,33 USD (+24,3 %) y el bajista 18,31 (−31,7 %), una asimetría de 0,77x. El bajista pesa más porque combina un valle de dos años (perfil de FY2027e-FY2028e calibrado con el −8 % de unidades de aseguradoras de FY2026 [16]) con una pérdida permanente de margen y crecimiento; es verosímil porque ya ocurrió a la inversa a IAA. Con la prima implícita del mercado (4,2 %), en cambio, el alcista sube a 37,54 USD, el bajista queda en 19,73 y la asimetría pasa a 1,51x: la decisión depende tanto de la tasa como de los escenarios.</w:t>
      </w:r>
    </w:p>
    <w:p>
      <w:pPr>
        <w:pStyle w:val="Heading1"/>
      </w:pPr>
      <w:r>
        <w:t xml:space="preserve">22. Suma de partes</w:t>
      </w:r>
    </w:p>
    <w:p>
      <w:pPr>
        <w:pStyle w:val="Confianza"/>
        <w:spacing w:after="100"/>
      </w:pPr>
      <w:r>
        <w:t xml:space="preserve">Confianza: Media</w:t>
      </w:r>
    </w:p>
    <w:p>
      <w:pPr>
        <w:spacing w:after="100"/>
      </w:pPr>
      <w:r>
        <w:t xml:space="preserve">No aplica: EE. UU. (82 % de los ingresos) e Internacional comparten modelo, red de compradores y tecnología, y el informe de segmentos solo da resultado operativo sin capital asignado [11]. ACV, cuando se cierre, sí sería un negocio de perfil distinto (sin terrenos, pérdidas GAAP), pero no está consolidada a la fecha de corte.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26,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25,71 USD (-4,1 % sobre 26,82).</w:t>
      </w:r>
    </w:p>
    <w:p>
      <w:pPr>
        <w:spacing w:after="100"/>
      </w:pPr>
      <w:r>
        <w:t xml:space="preserve">Pesamos el DCF al 50 % porque Copart tiene diez años de flujos estables, sin deuda y sin guía de la empresa: el valor depende de supuestos de volumen y margen que el DCF hace explícitos. Los escenarios llevan un 30 % porque la duda central (¿valle o declive de los volúmenes de seguros?) se recoge mejor ahí. Los comparables, un 20 %: la muestra es frágil (la mediana va de 7,4x a 10,2x según qué empresa se quite) y solo tres son subastas. Las transacciones no pesan: llevan prima de control y la familia fundadora y el tamaño (≈ 25.000 M) hacen improbable una OPA; los 13,6x de IAA en 2022 [86] marcan, eso sí, un suelo de valor estratégico por encima del precio actual (10,9x). El valor por transacciones del gráfico (49,25 USD) no es una referencia: la mediana la fijan ADESA (22x es un máximo, sobre un EBITDA de «más de 100 M») y ACV (29,1x sobre un EBITDA que excluye una remuneración en acciones casi igual a él) [62, 88]. Los métodos están cerca: DCF 25,88, mediana de EV/EBITDA de los próximos 12 meses 23,51, PER 26,61 y valor ponderado de escenarios por debajo del precio. </w:t>
      </w:r>
      <w:r>
        <w:rPr>
          <w:b/>
        </w:rPr>
        <w:t xml:space="preserve">ACV no está en el puente</w:t>
      </w:r>
      <w:r>
        <w:t xml:space="preserve">: pagar ≈ 1.900 M en caja (2,04 USD por acción) por ACV solo resta valor si Copart paga más de lo que vale; a 29,1x EBITDA ajustado y con pérdidas GAAP [31, 62], el riesgo existe. Con la prima implícita del mercado (4,2 %, WACC del 9,59 %), el valor objetivo sería 27,88 USD (+4,0 %).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al 13-oct-2026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plazo ampliado de la OPA sobre ACV (47,78 % aceptado a 30-sep, hace falta la mayoría) y del plazo de espera antimonopolio (HSR), que vence el 13-oct [59, 60]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OPA no llega a la mayoría o la FTC pide más información, la operación se retrasa o cae; Copart conserva ≈ 1.900 M de caja (2,04 USD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(agosto-octubre de 2026) [58]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Adair de CEO: unidades de aseguradoras en EE. UU. (−7,5 % en el 4T26) y coste por coche (+12,7 %)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fin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ACV e integración como filial independiente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 +16 % de perímetro (760 M en 2025 [14]); neutra en BPA el primer año completo según la presentación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de 2026 y junta anual (diciembre): primera remuneración con Adair de CEO y voto sobre la retribución [41]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gobierno: el voto en contra de 2023 fue del 19,7 % [44]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CCC Crash Course 2027 y datos de frecuencia de siniestros de 2026 de las aseguradoras (Progressive) [22, 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Diría si la caída de frecuencia se modera (−3,4 % en el último trimestre [16]) y si la tasa de siniestro total sigue al alza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de la investigación del Departamento de Justicia sobre blanqueo en la plataforma (abierta desde la carta de octubre de 2023)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sin provisión y posible endurecimiento del registro de compradores extranjeros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IAA (RB Global) en aseguradoras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−31,7 % (escenario bajista: 18,31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compradores y terrenos propios; Copart sigue con ≈ 62 % de las unidades del duopolio (estimación [26])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de aseguradoras en EE. UU. por debajo de −5 % dos trimestres más, o crecimiento de lotes de IAA por encima del 8 % [28]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estructural de los siniestros declarados (menos cobertura, franquicias altas, conducción asistida)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−14,6 % con 2 puntos menos de crecimiento cada año (DCF recalculado: 22,09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siniestro total al alza (23,3 %) y crecimiento internacional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Frecuencia de colisión de Progressive o CCC por debajo de −3 % en 2027 [22, 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ACV cara o mal integrada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Hasta −2,04 USD por acción si ACV no vale nada; ≈ −1 USD si vale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neutral en BPA el primer año según la empresa; ACV crece a doble dígito (de 358 a 760 M en 2021-2025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operativas de ACV y deterioro del fondo de comercio en FY2028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por coche al alza sin corrección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por cada punto de margen EBITDA perdido de forma permanente (DCF recalculado: 25,22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la mayor parte es «discrecional»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trimestral por debajo del 37 % (37,3 % en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 del Departamento de Justicia sobre blanqueo de capitales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Multa sin provisión; −5 % si obliga a restringir compradores extranjeros (45,8 % del valor bruto vendido en EE. UU.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Coopera con la investigación; caja de 4.490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el DOJ o cambios en el registro de miembros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y gobierno concentrados en la familia fundadora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Adair cobra 1 USD y su riqueza está en acciones (3,14 % [41])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cambio de CEO o salida de la presidenta Pocock antes de 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los coches usados y de la chatarra a la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(ingreso por unidad)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Coches más baratos elevan la tasa de siniestro total y las unidades, como en 2008-09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Índice Manheim por debajo de −5 %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a precios altos y caja ociosa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−0,5 USD por acción (pérdida implícita de las recompras de FY2026 a 37,63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neta de 4.487 M y sin deuda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recompras o compras por encima de 15x EBITDA</w:t>
            </w:r>
          </w:p>
        </w:tc>
      </w:tr>
    </w:tbl>
    <w:p>
      <w:pPr>
        <w:spacing w:after="160" w:before="0"/>
      </w:pPr>
    </w:p>
    <w:p>
      <w:pPr>
        <w:pStyle w:val="Heading2"/>
      </w:pPr>
      <w:r>
        <w:t xml:space="preserve">Pre-mortem</w:t>
      </w:r>
    </w:p>
    <w:p>
      <w:pPr>
        <w:spacing w:after="100"/>
      </w:pPr>
      <w:r>
        <w:t xml:space="preserve">Octubre de 2029: Copart vale 16 USD. La historia empieza en el 1T FY2027: las unidades de aseguradoras en EE. UU. caen otro 7 % y el coste por coche sigue subiendo. La dirección, sin guía, atribuye la caída al ciclo, pero en 2027 la frecuencia de colisión no rebota: las primas se estabilizan y los conductores mantienen las franquicias altas que adoptaron en 2024-2025, mientras la conducción asistida resta siniestros leves. IAA, con RB Global detrás y patios arrendados que puede abrir o cerrar con rapidez, gana un segundo gran asegurador con precios más bajos; Copart responde bajando comisiones y el margen EBITDA cae al 36 %. ACV, comprada por ≈ 1.900 M, sigue en pérdidas GAAP y en FY2028 hay un deterioro del fondo de comercio. El mercado deja de ver un valle y valora Copart como un negocio maduro que pierde cuota: 9x EBITDA. Las señales que lo habrían anticipado: unidades de aseguradoras en EE. UU. por debajo de −5 % en el 1T y 2T FY2027, crecimiento de lotes de IAA por encima del 8 % y margen EBITDA trimestral por debajo del 37 %.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 Ratings (según MarketScreener [40])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Tres asuntos mueven cifras. </w:t>
      </w:r>
      <w:r>
        <w:rPr>
          <w:b/>
        </w:rPr>
        <w:t xml:space="preserve">Cumplimiento con compradores extranjeros</w:t>
      </w:r>
      <w:r>
        <w:t xml:space="preserve">: el Departamento de Justicia investiga desde octubre de 2023 si los controles contra el blanqueo sobre sus miembros fueron suficientes [1]; los compradores de fuera de EE. UU. son el 38,2 % de las unidades y el 45,8 % del valor vendido en EE. UU. [1], así que endurecer el registro afecta al precio de remate. </w:t>
      </w:r>
      <w:r>
        <w:rPr>
          <w:b/>
        </w:rPr>
        <w:t xml:space="preserve">Suelo y contaminación</w:t>
      </w:r>
      <w:r>
        <w:t xml:space="preserve">: patios con miles de coches siniestrados (fluidos, baterías de vehículos eléctricos), terrenos comprados a veces con pasivos previos (vertederos) y gastos de remediación en el pasado [1]; Copart tiene programas de prevención y respuesta a derrames [39]. </w:t>
      </w:r>
      <w:r>
        <w:rPr>
          <w:b/>
        </w:rPr>
        <w:t xml:space="preserve">Seguridad en patio</w:t>
      </w:r>
      <w:r>
        <w:t xml:space="preserve">: ≈ 11.900 empleados moviendo vehículos dañados [1], con plan de prevención de lesiones y revisiones semestrales por instalación, pero sin tasa de accidentes publicada [39]. Las emisiones son pequeñas: alcance 1 de entre 79.000 y 92.000 t CO₂e y alcance 2 de 12.000-14.000 t en FY2023-FY2025, frente a 12,4 M t de emisiones de fabricación que dice evitar al alargar la vida de los coches (cálculo propio de la empresa) [39].</w:t>
      </w:r>
    </w:p>
    <w:p>
      <w:pPr>
        <w:pStyle w:val="Heading2"/>
      </w:pPr>
      <w:r>
        <w:t xml:space="preserve">Controversias</w:t>
      </w:r>
    </w:p>
    <w:p>
      <w:pPr>
        <w:spacing w:after="100"/>
      </w:pPr>
      <w:r>
        <w:t xml:space="preserve">Investigación del Departamento de Justicia (Consumer Protection Branch) por posibles infracciones de las normas contra el blanqueo, con carta de octubre de 2023 que advierte de una posible responsabilidad; Copart coopera y no estima la pérdida posible [1]. Fuera de eso, solo litigios ordinarios (lesiones, daños, contratos, manipulación de vehículos) que la empresa no considera materiales [1]. No hemos encontrado multas ni sanciones firmes en los últimos tres años en el 10-K.</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aseguradoras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del 8 % de las unidades de aseguradoras en EE. UU. en FY2026 se debe al cliente perdido y qué parte a la frecuencia de siniestros? ¿Hay otros contratos grandes en renovación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valle cíclico de la pérdida de cuota, que es la diferencia entre el escenario base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IAA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 bajado las comisiones a las aseguradoras para defender volumen en los concursos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preguntó por la presión en precios y la dirección no contestó [16]; un punto de margen permanente es ≈ 2,6 %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por coche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+12,7 % del coste por coche del 4T26 es estructural (salarios, transporte) y cuál es la «discrecional» que se puede revertir, y cuándo?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supuesto de margen del 39 % en FY2027e y del 40 % desde FY2029e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ACV</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GAAP espera de ACV en FY2028, qué sinergias de costes y de ingresos cuantifica y por qué pagó una prima del 45 % frente a una oferta competidora de 11-12 USD?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operación cuesta 2,04 USD por acción en caja; la empresa dio dos versiones de su acrecimiento [14,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y terrenos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capex de terrenos prevé en FY2027-FY2029 y qué ocupación tienen hoy los patios de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del 8,5-9 % de las ventas es el supuesto que más mueve el FCF; con volúmenes a la baja podría bajar.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ACV quedarán ≈ 2.600 M de caja neta: ¿más recompras, dividendo o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rinde ≈ 4 % frente a un ROIC operativo del 29,5 %; las recompras de FY2026 se hicieron a 37,63 USD.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 del DOJ</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fase está la investigación sobre blanqueo y qué cambios en el registro de compradores extranjeros contempla?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compradores extranjeros son el 45,8 % del valor bruto vendido en EE. UU.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eliminaron las barreras de precio de las opciones de Liaw y quién sucederá a Adair?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de Liaw costó más de lo que fijaba su contrato y la sucesión vuelve a depender de la familia [36].</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15 de 18 controles correctos y 3 explicados. Fuentes: 91 (54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36 % y los ingresos un 8 %: si hubo una compra cerca del cierre, decláralo en financieros.cambios_perimetro y explícalo. Explicación: No hubo compra relevante (adquisiciones de 11,7 M en FY2020). El activo sube un 36 % por 592 M de capex, sobre todo terreno, por la caja retenida (de 186 a 478 M) y por el alta de los derechos de uso al adoptar la norma de arrendamientos ASC 842 en agosto de 2019.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4,8 %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29,5 % frente a WACC 10,4 %: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0,24: el crecimiento no explica los múltiplos de estos comparables; no uses el valor de la regresión. Explicación: Con ocho comparables de modelos distintos (subastas, recambios, anuncios) el crecimiento no explica el múltiplo (R² 0,24).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7,4x a 10,2x según qué comparable se quite (20,54 a 26,49 por acción): la muestra es frágil; explícalo y no le des mucho peso. Explicación: La mediana se mueve entre 7,4x y 10,2x según se quite un comparable de los extremos (Cars.com, eBay). Por eso los comparables pesan solo un 20 % y la referencia útil es el grupo de subastas (RB Global, OPENLANE, USS: 10,2-10,6x).</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fuentes (54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57, 73, 74, 75, 76, 77, 78, 79, 80, 81, 82, 83.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unidades vendidas en valor absoluto (globales, EE. UU., Internacional)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y nota de resultados del 4T26: no publican unidades; 2) transcripciones del 3T26 y 4T26: solo variaciones porcentuales; 3) nota de prensa: «más de 4 millones de unidades en el último año», cifra redondeada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las variaciones y la cifra redondeada)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mantenimiento frente a expansión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MD&amp;A de liquidez: solo enumera conceptos; 2) transcripción del 4T26: sin cifra; 3) derivado de la nota de inmovilizado (aumento del coste de los terrenos) y de la amortización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múltiplo EV/EBITDA de ACV, Purple Wave, Hills y NPA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y presentación de ACV: solo valor de las acciones e ingresos de ACV (760 M en 2025); 2) 10-K FY2022/FY2024: precio sin resultados de la adquirida; 3) no se buscó el 10-K de ACV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de 7 de los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no comparan con consenso; 2) transcripciones de Motley Fool: sin consenso; 3) Insider Monkey solo daba el del 3T26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salvo 3T26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los ingresos y costes de los huracanes Helene y Milton (FY2025)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FY2026 MD&amp;A: lo cita sin importe; 2) 10-K FY2025: sin importe; 3) transcripción del 4T26: solo unidades −3,1 % sin catástrofes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(años 2019-2023 de la tasa de pérdida total)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CCC Crash Course 2026 (solo 2025) y web de CCC (403 y tiempo agotado); 2) Repairer Driven News sobre Crash Course 2024 y 2025 (HTTP 422 con descarga; WebFetch solo dio 2024 y 2025) y Crash Course de 2021-2023; 3) 10-K y llamadas de Copart (solo «casi 5 puntos en cuatro años» hasta el 1T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serie queda en 2024-2025; el texto da el aumento de casi 5 puntos en cuatro años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 y 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Copart y RB Global (no publican el tamaño del mercado de salvage); 2) CCC, IRC y Progressive (tasas, no unidades); 3) cálculo con unidades de Copart+IAA (Copart no publica unidades anuales en el 10-K)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Copart y de RB Global (sin cuotas); 2) llamadas de resultados de Copart 3T y 4T FY2026; 3) prensa (Simply Wall St,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cuota de Copart frente a IAA se da como estimación propia por unidades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Hectáreas totales en propiedad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FY2026, Item 2 (solo número de instalaciones); 2) transcripciones 3T FY2025, 3T y 4T FY2026 (solo Hull Ranch, ≈ 400 acres); 3) búsqueda web (cifras de blogs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Nombre del asegurador que dejó Copart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FY2026; 2) transcripción del 4T FY2026 (la dirección no lo nombra); 3) prensa (Simply Wall St: «un gran asegurador nacional», sin nombre)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Manheim (Cox Automotive) y de BCA/Constellation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Cox Enterprises es privada y no publica cuentas; 2) Copart 10-K (solo la nombra); 3) Constellation Automotive no buscada en Companies House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Manheim sin cifras; BCA fuera de la tabla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solo de IAA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RB Global (un solo segmento, sin resultado de automoción); 2) 10-Q del 2T 2026 (igual); 3) GTV y lotes de automoción como sustituto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margen consolidado de RB Global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Sustainalytics,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Sustainalytics (sin ficha de Copart accesible); 2) Morningstar sostenibilidad de CPRT (sin dato en el texto descargado); 3) búsqueda en DuckDuckGo y WebSearch (límite de sesión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MSCI vía MarketScreener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de accidentes laborales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ESG 2025 de Copart (describe programas, no publica tasa); 2) 10-K FY2026 (sin dato); 3) OSHA no consultada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(guía pública de 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resultados del 4T FY2026 y 10-K FY2026: no hay guía ni perspectivas cuantificadas; 2) nota de la compra de ACV: solo dice neutral en BPA el primer año completo y acretiva desde FY2028, sin cifra; 3) proxies de 2023, 2024 y 2025: objetivos internos de beneficio operativo del plan de bonus, publicados por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 de FY2026 (Liaw y Adair como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presentaciones de EDGAR a 7-oct-2026: no hay DEF 14A de 2026; 2) 10-K FY2026: la Parte III remite al proxy; 3) 8-K de junio a agosto de 2026: solo el acuerdo de salida de Liaw y la retribución de Pocock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FY2025)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y calificación de independencia de David J. Berger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del 17-ago-2026: no dice si es independiente ni en qué comisiones está; 2) 8-K/A y Form 3 de agosto de 2026: no lo tratan; 3) 10-K FY2026: la Parte III remite al proxy de 2026, aún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clasifica como Otro externo por su vínculo con los abogados de la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2) Yahoo Finance, «EPS Trend»: la página no cargó; 3) Zacks, «Detailed Earning Estimates»: bloqueo antibot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describen los cambios de recomendaciones y precios objetivo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actuales); 2) Stock Analysis (de pago); 3) Yahoo (sin históricos de estimaciones)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calcula los de los últimos 12 meses con el precio de cierre de cada ejercicio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confirmados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(sin 8-K de convocatoria a 7-oct); 2) nota de resultados del 4T (no da fecha); 3) Stock Analysis: 19-nov-2026 estimado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ev_ventas de IAA y ADESA; múltiplo de Uni-Select sin sinergias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de Ritchie Bros., KAR, Carvana y LKQ; 2) presentación de LKQ (solo 9,7x con sinergias); 3) derivarlo: los ingresos de ADESA solo se dan como «más de 800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Copart, Inc. Form 10-K del ejercicio cerrado 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https://www.sec.gov/Archives/edgar/data/900075/000119312526405731/cprt-20260731.htm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XBRL Company Facts de Copart (CIK 0000900075): series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https://data.sec.gov/api/xbrl/companyfacts/CIK0000900075.json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https://www.sec.gov/Archives/edgar/data/900075/000162828025042946/cprt-20250731.htm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https://www.sec.gov/Archives/edgar/data/900075/000090007524000024/cprt-20240731.htm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https://www.sec.gov/Archives/edgar/data/900075/000090007523000034/cprt-20230731.htm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https://www.sec.gov/Archives/edgar/data/900075/000090007522000050/cprt-20220731.htm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https://www.sec.gov/Archives/edgar/data/900075/000090007521000022/cprt-20210731.htm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https://www.sec.gov/Archives/edgar/data/900075/000090007520000021/cprt-20200731.htm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https://www.sec.gov/Archives/edgar/data/900075/000090007519000022/cprt07312019-10k.htm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https://www.sec.gov/Archives/edgar/data/900075/000090007518000048/cprt07312018-10k.htm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Reports Fourth Quarter Fiscal 2026 Financial Results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https://www.sec.gov/Archives/edgar/data/900075/000119312526387902/cprt-ex99_1.htm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Senior Revolving Credit Agreement con Wells Fargo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https://www.sec.gov/Archives/edgar/data/900075/000119312526022730/d64083d8k.htm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to Acquire ACV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https://www.sec.gov/Archives/edgar/data/900075/000119312526388064/d138322dex991.htm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to Acquire ACV Auctions (presentación a inversores,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https://www.sec.gov/Archives/edgar/data/900075/000119312526388064/d138322dex992.htm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con ACV Auctions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https://www.sec.gov/Archives/edgar/data/900075/000119312526388064/d138322d8k.htm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Q4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https://www.fool.com/earnings/call-transcripts/2026/09/11/copart-cprt-q4-2026-earnings-call-transcript/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Q3 2026 Earnings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https://www.fool.com/earnings/call-transcripts/2026/05/25/copart-cprt-q3-2026-earnings-transcript/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(NASDAQ:CPRT) Q3 2026 Earnings Call Transcript (BPA frente a expectativas)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https://www.insidermonkey.com/blog/copart-inc-nasdaqcprt-q3-2026-earnings-call-transcript-1767982/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TO-T/A (modificación de la OPA sobre ACV): prórroga al 7-oct-2026 y acciones aceptadas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https://www.sec.gov/Archives/edgar/data/900075/000119312526409871/d113384dsctota.htm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Reports Fourth Quarter Fiscal 2026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https://www.sec.gov/Archives/edgar/data/0000900075/000119312526387902/cprt-ex99_1.htm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Q4 FY2026 Earnings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https://www.tradingkey.com/news/transcripts/262162075-tradingkey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CCC Crash Course 2026 Report Finds Higher Severity and Record Total Loss Frequency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CCC Intelligent Solutions (GlobeNewswire,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https://www.nasdaq.com/press-release/ccc-crash-course-2026-report-finds-higher-severity-and-record-total-loss-frequency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CCC report shows auto insurance market steadies in 2025, challenges persist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Repairer Driven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https://www.repairerdrivennews.com/2025/12/22/ccc-report-shows-auto-insurance-market-steadies-in-2025-challenges-persist/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One in Three Drivers are Either Uninsured or Underinsured in the U.S. (Uninsured and Underinsured Motorists: 2017–2023)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Research Council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https://insurance-research.org/sites/default/files/2025-03/PR%20_IRC%20%20Uninsured-Underinsured%20Motorist.pdf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Progressive Corporation, Form 10-K 2025 (anexo: frecuencia y severidad de auto particular)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Progressive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https://www.sec.gov/Archives/edgar/data/80661/000008066126000086/pgr-20251231_d2.htm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https://www.sec.gov/Archives/edgar/data/1046102/000162828026011682/rba-20251231.htm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del ejercicio cerrado el 31-07-2010 (datos financieros seleccionados y MD&amp;A de FY2009)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https://www.sec.gov/Archives/edgar/data/900075/000104746910008242/a2200235z10-k.htm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Inc. Form 10-Q del 2T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https://www.sec.gov/Archives/edgar/data/1046102/000162828026052582/rba-20260630.htm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Q3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https://www.marketbeat.com/earnings/reports/2025-5-22-copart-inc-stock/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OPENLANE,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OPENLANE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https://www.sec.gov/Archives/edgar/data/1395942/000139594226000006/opln-20251231.htm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https://www.sec.gov/Archives/edgar/data/1637873/000163787326000011/acva-20251231.htm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https://www.sec.gov/Archives/edgar/data/1065696/000106569626000012/lkq-20251231.htm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USS Co., Ltd. (TYO:4732)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https://stockanalysis.com/quote/tyo/4732/financials/income-statement/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(USD y JPY a 31-03-2026)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Investors May Respond To Copart (CPRT) Losing Insurance Volume To Rival IAA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https://simplywall.st/stocks/us/commercial-services/nasdaq-cprt/copart/news/how-investors-may-respond-to-copart-cprt-losing-insurance-vo/amp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8-K: nombramiento de A. Jayson Adair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https://www.sec.gov/Archives/edgar/data/900075/000119312526286982/d70617d8k.htm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8-K: nombramiento de Jane Pocock como presidenta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https://www.sec.gov/Archives/edgar/data/900075/000119312526298722/d115993d8k.htm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del ejercicio cerrado el 31-07-2012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2012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https://www.sec.gov/Archives/edgar/data/900075/000114544312001120/d29549.htm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2025 ESG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https://www.copart.com/content/copart-esg-report-2025.pdf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Ratings (ESG MSCI)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https://www.marketscreener.com/quote/stock/COPART-INC-8879/ratings/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del 5-dic-2025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https://www.sec.gov/Archives/edgar/data/900075/000119312525249664/d84887ddef14a.htm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https://www.sec.gov/Archives/edgar/data/900075/000119312525315830/d53415d8k.htm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https://www.sec.gov/Archives/edgar/data/900075/000162828024050959/cprt-20241206.htm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https://www.sec.gov/Archives/edgar/data/900075/000162828023041601/cprt-20231208.htm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8-K/A, ítem 5.02: retribución de Jane Pocock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https://www.sec.gov/Archives/edgar/data/900075/000119312526356968/d740839d8ka.htm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David J. Berger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https://www.sec.gov/Archives/edgar/data/900075/000119312526354640/d77107d8k.htm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ítems 5.02 y 5.03: Liaw CEO único, Adair presidente ejecutivo (abril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https://www.sec.gov/Archives/edgar/data/900075/000119312524065335/d760136d8k.htm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Copart, 25 presentaciones del 7-oct-2025 al 7-oct-2026 (agregadas con notas/C-form4.mjs)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https://www.sec.gov/cgi-bin/browse-edgar?action=getcompany&amp;CIK=0000900075&amp;type=4&amp;dateb=&amp;owner=include&amp;count=40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Copart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https://www.sec.gov/Archives/edgar/data/900075/000210011926000323/primary_doc.xml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13) de The Vanguard Group sobre Copart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https://www.sec.gov/Archives/edgar/data/900075/000010290926001074/primary_doc.xml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12) de BlackRock, Inc. sobre Copart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https://www.sec.gov/Archives/edgar/data/900075/000157641925000726/primary_doc.xml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del 6-dic-2024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https://www.sec.gov/Archives/edgar/data/900075/000119312524242623/d872193ddef14a.htm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del 8-dic-2023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https://www.sec.gov/Archives/edgar/data/900075/000119312523263822/d516802ddef14a.htm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3 de Jane Pocock (presidenta)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https://www.sec.gov/Archives/edgar/data/900075/000119312526354464/ownership.xml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CPRT, SPY y XLI (cierre ajustado por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https://finance.yahoo.com/quote/CPRT/history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octubre 2026 (ERPOct26.xlsx, hoja Impl premium calculator)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https://pages.stern.nyu.edu/~adamodar/pc/implprem/ERPOct26.xlsx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Statistics: capitalización, flotante, posición corta, fecha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https://stockanalysis.com/stocks/cprt/statistics/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TO-T/A, Amendment No. 2 (ampliación del plazo de la OPA sobre ACV)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 Apple Merger Sub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https://www.sec.gov/Archives/edgar/data/1637873/000119312526409871/d113384dsctota.htm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TO-T/A, Amendment No. 1 (nueva notificación HSR y demandas)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 Apple Merger Sub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https://www.sec.gov/Archives/edgar/data/1637873/000119312526406039/d126618dsctota.htm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Form 10-Q, trimestre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https://www.sec.gov/Archives/edgar/data/1637873/000163787326000034/acva-20260630.htm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Schedule 14D-9 (recomendación del consejo, proyecciones y opinión de J.P. Morgan)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https://www.sec.gov/Archives/edgar/data/1637873/000119312526393862/d136775dsc14d9.htm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Reports Fourth Quarter and Full Year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https://www.sec.gov/Archives/edgar/data/1637873/000163787326000010/q4-25earningspressrelease.htm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Financial Data Forecasts Estimates and Expectations (consenso anual FY2023-FY2029)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https://www.marketscreener.com/quote/stock/COPART-INC-8879/finances/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https://www.marketscreener.com/quote/stock/COPART-INC-8879/consensus/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Stock Forecast: recomendaciones, precios objetivo y estimaciones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https://stockanalysis.com/stocks/cprt/forecast/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https://www.marketscreener.com/quote/stock/RB-GLOBAL-INC-14190/finances/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Inc. (RBA)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https://stockanalysis.com/stocks/rba/statistics/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OPENLANE,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https://www.marketscreener.com/quote/stock/OPENLANE-INC-5789096/finances/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OPENLANE, Inc. (OPLN)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https://stockanalysis.com/stocks/opln/statistics/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USS Co., Ltd.: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https://www.marketscreener.com/quote/stock/USS-CO-LTD-6492353/finances/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USS Co., Ltd. (4732.T)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https://stockanalysis.com/quote/tyo/4732/statistics/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Aucnet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https://www.marketscreener.com/quote/stock/AUCNET-INC-64302961/finances/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Aucnet Inc. (3964.T)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https://stockanalysis.com/quote/tyo/3964/statistics/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https://www.marketscreener.com/quote/stock/LKQ-CORPORATION-40328841/finances/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(LKQ)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https://stockanalysis.com/stocks/lkq/statistics/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https://www.marketscreener.com/quote/stock/CARGURUS-INC-38123462/finances/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Inc. (CARG)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https://stockanalysis.com/stocks/carg/statistics/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https://www.marketscreener.com/quote/stock/CARS-COM-INC-40449845/finances/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Inc. (CARS)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https://stockanalysis.com/stocks/cars/statistics/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eBay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https://www.marketscreener.com/quote/stock/EBAY-INC-4869/finances/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eBay Inc. (EBAY)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https://stockanalysis.com/stocks/ebay/statistics/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USD/JPY (JPY=X), históricos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https://finance.yahoo.com/quote/JPY%3DX/history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Short Interest (posición corta a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(datos de FINRA/Nasdaq)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https://www.marketbeat.com/stocks/NASDAQ/CPRT/short-interest/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CPRT y ACVA, agosto-octubre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https://finance.yahoo.com/quote/ACVA/history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Ritchie Bros. to Acquire IAA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Ritchie Bros. Auctioneers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https://www.sec.gov/Archives/edgar/data/1046102/000110465922115108/tm2229848d1_ex99-1.htm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 Global to sell ADESA U.S. physical auction business to Carvana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 Auction Services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https://www.sec.gov/Archives/edgar/data/1395942/000110465922026738/tm227611d1_ex99-1.htm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Carvana to acquire ADESA U.S. physical auction business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Carvana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https://www.sec.gov/Archives/edgar/data/1690820/000119312522052181/d937871dex991.htm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to acquire Uni-Select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https://www.sec.gov/Archives/edgar/data/1065696/000106569623000011/exhibit991.htm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to acquire Uni-Select: presentación a inversores (8-K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https://www.sec.gov/Archives/edgar/data/1065696/000106569623000011/exhibit99220230227-lkqxi.htm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columna «ERP (T12 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93,5 %</w:t>
      </w:r>
      <w:r>
        <w:t xml:space="preserve"> · Secciones con menos del 60 % de campos cubiertos: </w:t>
      </w:r>
      <w:r>
        <w:rPr>
          <w:b/>
          <w:bCs/>
        </w:rPr>
        <w:t xml:space="preserve">ninguna</w:t>
      </w:r>
      <w:r>
        <w:t xml:space="preserve"> · Generado el 7 oct 2026.</w:t>
      </w:r>
    </w:p>
    <w:p>
      <w:pPr>
        <w:pStyle w:val="Nota"/>
        <w:spacing w:after="100"/>
      </w:pPr>
      <w:r>
        <w:t xml:space="preserve">Línea cotizada única (NASDAQ: CPRT), cuentas y cotización en USD. El ejercicio cierra el 31 de julio y se etiqueta por el año en que termina (FY2026 = agosto de 2025 a julio de 2026); los trimestres son fiscales (1T26 = agosto-octubre de 2025). El precio es el cierre del 6-oct-2026: la sesión del 7 no había abierto en Nueva York a la fecha de corte. El EBITDA es GAAP (EBIT reportado más todas las amortizaciones) y ya descuenta el alquiler operativo (US GAAP, ASC 842): los pasivos por arrendamiento operativo (85,6 M) no van al puente ni a la deuda. La caja del puente suma las letras del Tesoro mantenidas a vencimiento (2.581,9 M) a la caja (1.907,9 M). </w:t>
      </w:r>
      <w:r>
        <w:rPr>
          <w:b/>
        </w:rPr>
        <w:t xml:space="preserve">La compra de ACV Auctions (≈ 1.900 M en efectivo) no estaba cerrada a la fecha de corte</w:t>
      </w:r>
      <w:r>
        <w:t xml:space="preserve"> y no entra en el puente, el DCF ni los múltiplos: el informe valora Copart sola y trata ACV aparte (sección de valoración y riesgos). Copart no publica unidades absolutas ni da guía de resultados: los volúmenes salen de las conferencias (transcripciones de terceros). Los comparables japoneses (USS, Aucnet) se convierten al tipo USD/JPY del 6-oct-2026. Sin servicios de pago: faltan revisiones del consenso a 3 y 12 meses, múltiplos históricos de los próximos 12 meses y la cuota de mercado exacta en EE. UU.</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Copart, Inc. (CPRT)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26,82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(26,64 – 45,89)</c:v>
                </c:pt>
                <c:pt idx="1">
                  <c:v>Precio objetivo de los analistas (25,00 – 55,00)</c:v>
                </c:pt>
                <c:pt idx="2">
                  <c:v>Comparables: EV/EBITDA NTM (18,25 – 27,18)</c:v>
                </c:pt>
                <c:pt idx="3">
                  <c:v>Comparables: PER NTM (18,25 – 36,62)</c:v>
                </c:pt>
                <c:pt idx="4">
                  <c:v>Transacciones precedentes (EV/EBITDA) (40,77 – 56,43)</c:v>
                </c:pt>
                <c:pt idx="5">
                  <c:v>DCF (WACC y g ± 0,5) (24,07 – 28,19)</c:v>
                </c:pt>
                <c:pt idx="6">
                  <c:v>Escenarios (bajista – alcista) (18,31 – 33,33)</c:v>
                </c:pt>
                <c:pt idx="7">
                  <c:v>DCF con la prima implícita del mercado (4,2 %)</c:v>
                </c:pt>
                <c:pt idx="8">
                  <c:v>Precio actual (26,82)</c:v>
                </c:pt>
              </c:strCache>
            </c:strRef>
          </c:cat>
          <c:val>
            <c:numRef>
              <c:f>Hoja1!$B$2:$B$10</c:f>
              <c:numCache>
                <c:formatCode>#,##0.0</c:formatCode>
                <c:ptCount val="9"/>
                <c:pt idx="0">
                  <c:v>26.64</c:v>
                </c:pt>
                <c:pt idx="1">
                  <c:v>25</c:v>
                </c:pt>
                <c:pt idx="2">
                  <c:v>18.25</c:v>
                </c:pt>
                <c:pt idx="3">
                  <c:v>18.25</c:v>
                </c:pt>
                <c:pt idx="4">
                  <c:v>40.77</c:v>
                </c:pt>
                <c:pt idx="5">
                  <c:v>24.07</c:v>
                </c:pt>
                <c:pt idx="6">
                  <c:v>18.31</c:v>
                </c:pt>
                <c:pt idx="7">
                  <c:v>26.85</c:v>
                </c:pt>
                <c:pt idx="8">
                  <c:v>26.69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(26,64 – 45,89)</c:v>
                </c:pt>
                <c:pt idx="1">
                  <c:v>Precio objetivo de los analistas (25,00 – 55,00)</c:v>
                </c:pt>
                <c:pt idx="2">
                  <c:v>Comparables: EV/EBITDA NTM (18,25 – 27,18)</c:v>
                </c:pt>
                <c:pt idx="3">
                  <c:v>Comparables: PER NTM (18,25 – 36,62)</c:v>
                </c:pt>
                <c:pt idx="4">
                  <c:v>Transacciones precedentes (EV/EBITDA) (40,77 – 56,43)</c:v>
                </c:pt>
                <c:pt idx="5">
                  <c:v>DCF (WACC y g ± 0,5) (24,07 – 28,19)</c:v>
                </c:pt>
                <c:pt idx="6">
                  <c:v>Escenarios (bajista – alcista) (18,31 – 33,33)</c:v>
                </c:pt>
                <c:pt idx="7">
                  <c:v>DCF con la prima implícita del mercado (4,2 %)</c:v>
                </c:pt>
                <c:pt idx="8">
                  <c:v>Precio actual (26,82)</c:v>
                </c:pt>
              </c:strCache>
            </c:strRef>
          </c:cat>
          <c:val>
            <c:numRef>
              <c:f>Hoja1!$C$2:$C$10</c:f>
              <c:numCache>
                <c:formatCode>#,##0.0</c:formatCode>
                <c:ptCount val="9"/>
                <c:pt idx="0">
                  <c:v>19.25</c:v>
                </c:pt>
                <c:pt idx="1">
                  <c:v>30</c:v>
                </c:pt>
                <c:pt idx="2">
                  <c:v>8.93</c:v>
                </c:pt>
                <c:pt idx="3">
                  <c:v>18.369999999999997</c:v>
                </c:pt>
                <c:pt idx="4">
                  <c:v>15.659999999999997</c:v>
                </c:pt>
                <c:pt idx="5">
                  <c:v>4.120000000000001</c:v>
                </c:pt>
                <c:pt idx="6">
                  <c:v>15.02</c:v>
                </c:pt>
                <c:pt idx="7">
                  <c:v>3.7399999999999984</c:v>
                </c:pt>
                <c:pt idx="8">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Estados Unidos</c:v>
                </c:pt>
              </c:strCache>
            </c:strRef>
          </c:tx>
          <c:spPr>
            <a:solidFill>
              <a:srgbClr val="2A78D6"/>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1656.6</c:v>
                </c:pt>
                <c:pt idx="1">
                  <c:v>1860.7</c:v>
                </c:pt>
                <c:pt idx="2">
                  <c:v>2272.1</c:v>
                </c:pt>
                <c:pt idx="3">
                  <c:v>2945.2</c:v>
                </c:pt>
                <c:pt idx="4">
                  <c:v>3189.6</c:v>
                </c:pt>
                <c:pt idx="5">
                  <c:v>3464.7</c:v>
                </c:pt>
                <c:pt idx="6">
                  <c:v>3855.1</c:v>
                </c:pt>
                <c:pt idx="7">
                  <c:v>3807.4</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385.4</c:v>
                </c:pt>
                <c:pt idx="1">
                  <c:v>344.9</c:v>
                </c:pt>
                <c:pt idx="2">
                  <c:v>420.4</c:v>
                </c:pt>
                <c:pt idx="3">
                  <c:v>555.8</c:v>
                </c:pt>
                <c:pt idx="4">
                  <c:v>679.9</c:v>
                </c:pt>
                <c:pt idx="5">
                  <c:v>772.1</c:v>
                </c:pt>
                <c:pt idx="6">
                  <c:v>791.9</c:v>
                </c:pt>
                <c:pt idx="7">
                  <c:v>858.8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Estados Unidos</c:v>
                </c:pt>
                <c:pt idx="1">
                  <c:v>Internacional</c:v>
                </c:pt>
              </c:strCache>
            </c:strRef>
          </c:cat>
          <c:val>
            <c:numRef>
              <c:f>Hoja1!$B$2:$B$3</c:f>
              <c:numCache>
                <c:formatCode>General</c:formatCode>
                <c:ptCount val="2"/>
                <c:pt idx="0">
                  <c:v>81.6</c:v>
                </c:pt>
                <c:pt idx="1">
                  <c:v>18.4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Internacional</c:v>
                </c:pt>
              </c:strCache>
            </c:strRef>
          </c:cat>
          <c:val>
            <c:numRef>
              <c:f>Hoja1!$B$2:$B$3</c:f>
              <c:numCache>
                <c:formatCode>0"%"</c:formatCode>
                <c:ptCount val="2"/>
                <c:pt idx="0">
                  <c:v>81.6</c:v>
                </c:pt>
                <c:pt idx="1">
                  <c:v>18.4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 de los siniestros de automóvil en EE. UU. declarados pérdida total (CCC Intelligent Solutions))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22.1</c:v>
                </c:pt>
                <c:pt idx="1">
                  <c:v>23.1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Copart</c:v>
                </c:pt>
                <c:pt idx="1">
                  <c:v>RB Global (IAA)</c:v>
                </c:pt>
                <c:pt idx="2">
                  <c:v>OPENLANE (antes KAR)</c:v>
                </c:pt>
                <c:pt idx="3">
                  <c:v>ACV Auctions</c:v>
                </c:pt>
                <c:pt idx="4">
                  <c:v>USS Co.</c:v>
                </c:pt>
                <c:pt idx="5">
                  <c:v>LKQ Corporation</c:v>
                </c:pt>
                <c:pt idx="6">
                  <c:v>Manheim (Cox Automotive)</c:v>
                </c:pt>
              </c:strCache>
            </c:strRef>
          </c:cat>
          <c:val>
            <c:numRef>
              <c:f>Hoja1!$B$2:$B$8</c:f>
              <c:numCache>
                <c:formatCode>0.0"%"</c:formatCode>
                <c:ptCount val="7"/>
                <c:pt idx="0">
                  <c:v>35.4</c:v>
                </c:pt>
                <c:pt idx="1">
                  <c:v>15.5</c:v>
                </c:pt>
                <c:pt idx="2">
                  <c:v>10.2</c:v>
                </c:pt>
                <c:pt idx="3">
                  <c:v>-8.3</c:v>
                </c:pt>
                <c:pt idx="4">
                  <c:v>52.6</c:v>
                </c:pt>
                <c:pt idx="5">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2</c:v>
                </c:pt>
                <c:pt idx="2">
                  <c:v>2</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Hoja1!$B$2:$B$21</c:f>
              <c:numCache>
                <c:formatCode>#,##0</c:formatCode>
                <c:ptCount val="20"/>
                <c:pt idx="0">
                  <c:v>1448</c:v>
                </c:pt>
                <c:pt idx="1">
                  <c:v>1805.7</c:v>
                </c:pt>
                <c:pt idx="2">
                  <c:v>2042</c:v>
                </c:pt>
                <c:pt idx="3">
                  <c:v>2205.6</c:v>
                </c:pt>
                <c:pt idx="4">
                  <c:v>2692.5</c:v>
                </c:pt>
                <c:pt idx="5">
                  <c:v>3500.9</c:v>
                </c:pt>
                <c:pt idx="6">
                  <c:v>3869.5</c:v>
                </c:pt>
                <c:pt idx="7">
                  <c:v>4236.8</c:v>
                </c:pt>
                <c:pt idx="8">
                  <c:v>4647</c:v>
                </c:pt>
                <c:pt idx="9">
                  <c:v>4666.2</c:v>
                </c:pt>
                <c:pt idx="10">
                  <c:v>4830</c:v>
                </c:pt>
                <c:pt idx="11">
                  <c:v>5071</c:v>
                </c:pt>
                <c:pt idx="12">
                  <c:v>5299</c:v>
                </c:pt>
                <c:pt idx="13">
                  <c:v>5564</c:v>
                </c:pt>
                <c:pt idx="14">
                  <c:v>5842</c:v>
                </c:pt>
                <c:pt idx="15">
                  <c:v>6134</c:v>
                </c:pt>
                <c:pt idx="16">
                  <c:v>6411</c:v>
                </c:pt>
                <c:pt idx="17">
                  <c:v>6699</c:v>
                </c:pt>
                <c:pt idx="18">
                  <c:v>6967</c:v>
                </c:pt>
                <c:pt idx="19">
                  <c:v>7246</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Hoja1!$C$2:$C$21</c:f>
              <c:numCache>
                <c:formatCode>#,##0</c:formatCode>
                <c:ptCount val="20"/>
                <c:pt idx="0">
                  <c:v>518.3</c:v>
                </c:pt>
                <c:pt idx="1">
                  <c:v>662.9</c:v>
                </c:pt>
                <c:pt idx="2">
                  <c:v>801.4</c:v>
                </c:pt>
                <c:pt idx="3">
                  <c:v>917.5</c:v>
                </c:pt>
                <c:pt idx="4">
                  <c:v>1258.4</c:v>
                </c:pt>
                <c:pt idx="5">
                  <c:v>1513</c:v>
                </c:pt>
                <c:pt idx="6">
                  <c:v>1646.1</c:v>
                </c:pt>
                <c:pt idx="7">
                  <c:v>1761.8</c:v>
                </c:pt>
                <c:pt idx="8">
                  <c:v>1912.5</c:v>
                </c:pt>
                <c:pt idx="9">
                  <c:v>1882</c:v>
                </c:pt>
                <c:pt idx="10">
                  <c:v>1884</c:v>
                </c:pt>
                <c:pt idx="11">
                  <c:v>2003</c:v>
                </c:pt>
                <c:pt idx="12">
                  <c:v>2120</c:v>
                </c:pt>
                <c:pt idx="13">
                  <c:v>2226</c:v>
                </c:pt>
                <c:pt idx="14">
                  <c:v>2337</c:v>
                </c:pt>
                <c:pt idx="15">
                  <c:v>2454</c:v>
                </c:pt>
                <c:pt idx="16">
                  <c:v>2564</c:v>
                </c:pt>
                <c:pt idx="17">
                  <c:v>2680</c:v>
                </c:pt>
                <c:pt idx="18">
                  <c:v>2787</c:v>
                </c:pt>
                <c:pt idx="19">
                  <c:v>2898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43.6</c:v>
                </c:pt>
                <c:pt idx="1">
                  <c:v>42.2</c:v>
                </c:pt>
                <c:pt idx="2">
                  <c:v>44</c:v>
                </c:pt>
                <c:pt idx="3">
                  <c:v>45.7</c:v>
                </c:pt>
                <c:pt idx="4">
                  <c:v>49.9</c:v>
                </c:pt>
                <c:pt idx="5">
                  <c:v>45.9</c:v>
                </c:pt>
                <c:pt idx="6">
                  <c:v>44.9</c:v>
                </c:pt>
                <c:pt idx="7">
                  <c:v>45</c:v>
                </c:pt>
                <c:pt idx="8">
                  <c:v>45.2</c:v>
                </c:pt>
                <c:pt idx="9">
                  <c:v>44.7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35.8</c:v>
                </c:pt>
                <c:pt idx="1">
                  <c:v>36.7</c:v>
                </c:pt>
                <c:pt idx="2">
                  <c:v>39.2</c:v>
                </c:pt>
                <c:pt idx="3">
                  <c:v>41.6</c:v>
                </c:pt>
                <c:pt idx="4">
                  <c:v>46.7</c:v>
                </c:pt>
                <c:pt idx="5">
                  <c:v>43.2</c:v>
                </c:pt>
                <c:pt idx="6">
                  <c:v>42.5</c:v>
                </c:pt>
                <c:pt idx="7">
                  <c:v>41.6</c:v>
                </c:pt>
                <c:pt idx="8">
                  <c:v>41.2</c:v>
                </c:pt>
                <c:pt idx="9">
                  <c:v>40.3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31.9</c:v>
                </c:pt>
                <c:pt idx="1">
                  <c:v>32.4</c:v>
                </c:pt>
                <c:pt idx="2">
                  <c:v>35.1</c:v>
                </c:pt>
                <c:pt idx="3">
                  <c:v>37</c:v>
                </c:pt>
                <c:pt idx="4">
                  <c:v>42.2</c:v>
                </c:pt>
                <c:pt idx="5">
                  <c:v>39.3</c:v>
                </c:pt>
                <c:pt idx="6">
                  <c:v>38.4</c:v>
                </c:pt>
                <c:pt idx="7">
                  <c:v>37.1</c:v>
                </c:pt>
                <c:pt idx="8">
                  <c:v>36.5</c:v>
                </c:pt>
                <c:pt idx="9">
                  <c:v>35.4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27.2</c:v>
                </c:pt>
                <c:pt idx="1">
                  <c:v>23.1</c:v>
                </c:pt>
                <c:pt idx="2">
                  <c:v>29</c:v>
                </c:pt>
                <c:pt idx="3">
                  <c:v>31.7</c:v>
                </c:pt>
                <c:pt idx="4">
                  <c:v>34.8</c:v>
                </c:pt>
                <c:pt idx="5">
                  <c:v>31.1</c:v>
                </c:pt>
                <c:pt idx="6">
                  <c:v>32</c:v>
                </c:pt>
                <c:pt idx="7">
                  <c:v>32.2</c:v>
                </c:pt>
                <c:pt idx="8">
                  <c:v>33.4</c:v>
                </c:pt>
                <c:pt idx="9">
                  <c:v>31.8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12.4</c:v>
                </c:pt>
                <c:pt idx="1">
                  <c:v>14</c:v>
                </c:pt>
                <c:pt idx="2">
                  <c:v>7.5</c:v>
                </c:pt>
                <c:pt idx="3">
                  <c:v>5.2</c:v>
                </c:pt>
                <c:pt idx="4">
                  <c:v>0.7</c:v>
                </c:pt>
                <c:pt idx="5">
                  <c:v>-3.6</c:v>
                </c:pt>
                <c:pt idx="6">
                  <c:v>2.1</c:v>
                </c:pt>
                <c:pt idx="7">
                  <c:v>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79</c:v>
                </c:pt>
                <c:pt idx="1">
                  <c:v>71</c:v>
                </c:pt>
                <c:pt idx="2">
                  <c:v>66</c:v>
                </c:pt>
                <c:pt idx="3">
                  <c:v>58</c:v>
                </c:pt>
                <c:pt idx="4">
                  <c:v>65</c:v>
                </c:pt>
                <c:pt idx="5">
                  <c:v>60</c:v>
                </c:pt>
                <c:pt idx="6">
                  <c:v>66</c:v>
                </c:pt>
                <c:pt idx="7">
                  <c:v>68</c:v>
                </c:pt>
                <c:pt idx="8">
                  <c:v>60</c:v>
                </c:pt>
                <c:pt idx="9">
                  <c:v>63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5</c:v>
                </c:pt>
                <c:pt idx="1">
                  <c:v>6</c:v>
                </c:pt>
                <c:pt idx="2">
                  <c:v>7</c:v>
                </c:pt>
                <c:pt idx="3">
                  <c:v>6</c:v>
                </c:pt>
                <c:pt idx="4">
                  <c:v>12</c:v>
                </c:pt>
                <c:pt idx="5">
                  <c:v>11</c:v>
                </c:pt>
                <c:pt idx="6">
                  <c:v>7</c:v>
                </c:pt>
                <c:pt idx="7">
                  <c:v>7</c:v>
                </c:pt>
                <c:pt idx="8">
                  <c:v>6</c:v>
                </c:pt>
                <c:pt idx="9">
                  <c:v>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93</c:v>
                </c:pt>
                <c:pt idx="1">
                  <c:v>95</c:v>
                </c:pt>
                <c:pt idx="2">
                  <c:v>86</c:v>
                </c:pt>
                <c:pt idx="3">
                  <c:v>97</c:v>
                </c:pt>
                <c:pt idx="4">
                  <c:v>100</c:v>
                </c:pt>
                <c:pt idx="5">
                  <c:v>77</c:v>
                </c:pt>
                <c:pt idx="6">
                  <c:v>75</c:v>
                </c:pt>
                <c:pt idx="7">
                  <c:v>81</c:v>
                </c:pt>
                <c:pt idx="8">
                  <c:v>85</c:v>
                </c:pt>
                <c:pt idx="9">
                  <c:v>90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319.90000000000003</c:v>
                </c:pt>
                <c:pt idx="1">
                  <c:v>247.20000000000005</c:v>
                </c:pt>
                <c:pt idx="2">
                  <c:v>272.70000000000005</c:v>
                </c:pt>
                <c:pt idx="3">
                  <c:v>324.79999999999995</c:v>
                </c:pt>
                <c:pt idx="4">
                  <c:v>526.8</c:v>
                </c:pt>
                <c:pt idx="5">
                  <c:v>838.8000000000001</c:v>
                </c:pt>
                <c:pt idx="6">
                  <c:v>847.6</c:v>
                </c:pt>
                <c:pt idx="7">
                  <c:v>961.5999999999999</c:v>
                </c:pt>
                <c:pt idx="8">
                  <c:v>1230.8</c:v>
                </c:pt>
                <c:pt idx="9">
                  <c:v>1267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394.2</c:v>
                </c:pt>
                <c:pt idx="1">
                  <c:v>417.9</c:v>
                </c:pt>
                <c:pt idx="2">
                  <c:v>591.7</c:v>
                </c:pt>
                <c:pt idx="3">
                  <c:v>699.9</c:v>
                </c:pt>
                <c:pt idx="4">
                  <c:v>936.5</c:v>
                </c:pt>
                <c:pt idx="5">
                  <c:v>1090.1</c:v>
                </c:pt>
                <c:pt idx="6">
                  <c:v>1237.7</c:v>
                </c:pt>
                <c:pt idx="7">
                  <c:v>1363</c:v>
                </c:pt>
                <c:pt idx="8">
                  <c:v>1552.4</c:v>
                </c:pt>
                <c:pt idx="9">
                  <c:v>1484.3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27.2</c:v>
                </c:pt>
                <c:pt idx="1">
                  <c:v>26.9</c:v>
                </c:pt>
                <c:pt idx="2">
                  <c:v>32.5</c:v>
                </c:pt>
                <c:pt idx="3">
                  <c:v>32.4</c:v>
                </c:pt>
                <c:pt idx="4">
                  <c:v>35.8</c:v>
                </c:pt>
                <c:pt idx="5">
                  <c:v>36.5</c:v>
                </c:pt>
                <c:pt idx="6">
                  <c:v>34.4</c:v>
                </c:pt>
                <c:pt idx="7">
                  <c:v>32.2</c:v>
                </c:pt>
                <c:pt idx="8">
                  <c:v>32.4</c:v>
                </c:pt>
                <c:pt idx="9">
                  <c:v>29.5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10.4</c:v>
                </c:pt>
                <c:pt idx="1">
                  <c:v>10.4</c:v>
                </c:pt>
                <c:pt idx="2">
                  <c:v>10.4</c:v>
                </c:pt>
                <c:pt idx="3">
                  <c:v>10.4</c:v>
                </c:pt>
                <c:pt idx="4">
                  <c:v>10.4</c:v>
                </c:pt>
                <c:pt idx="5">
                  <c:v>10.4</c:v>
                </c:pt>
                <c:pt idx="6">
                  <c:v>10.4</c:v>
                </c:pt>
                <c:pt idx="7">
                  <c:v>10.4</c:v>
                </c:pt>
                <c:pt idx="8">
                  <c:v>10.4</c:v>
                </c:pt>
                <c:pt idx="9">
                  <c:v>10.4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35.9</c:v>
                </c:pt>
                <c:pt idx="1">
                  <c:v>31.2</c:v>
                </c:pt>
                <c:pt idx="2">
                  <c:v>35.2</c:v>
                </c:pt>
                <c:pt idx="3">
                  <c:v>32.8</c:v>
                </c:pt>
                <c:pt idx="4">
                  <c:v>31.1</c:v>
                </c:pt>
                <c:pt idx="5">
                  <c:v>26.7</c:v>
                </c:pt>
                <c:pt idx="6">
                  <c:v>23.3</c:v>
                </c:pt>
                <c:pt idx="7">
                  <c:v>20.2</c:v>
                </c:pt>
                <c:pt idx="8">
                  <c:v>18.6</c:v>
                </c:pt>
                <c:pt idx="9">
                  <c:v>16.2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0.81</c:v>
                </c:pt>
                <c:pt idx="1">
                  <c:v>0.19</c:v>
                </c:pt>
                <c:pt idx="2">
                  <c:v>0.27</c:v>
                </c:pt>
                <c:pt idx="3">
                  <c:v>-0.08</c:v>
                </c:pt>
                <c:pt idx="4">
                  <c:v>-0.51</c:v>
                </c:pt>
                <c:pt idx="5">
                  <c:v>-0.91</c:v>
                </c:pt>
                <c:pt idx="6">
                  <c:v>-1.43</c:v>
                </c:pt>
                <c:pt idx="7">
                  <c:v>-1.94</c:v>
                </c:pt>
                <c:pt idx="8">
                  <c:v>-2.5</c:v>
                </c:pt>
                <c:pt idx="9">
                  <c:v>-2.38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160.8</c:v>
                </c:pt>
                <c:pt idx="1">
                  <c:v>8.8</c:v>
                </c:pt>
                <c:pt idx="2">
                  <c:v>0.7</c:v>
                </c:pt>
                <c:pt idx="3">
                  <c:v>11.7</c:v>
                </c:pt>
                <c:pt idx="4">
                  <c:v>5</c:v>
                </c:pt>
                <c:pt idx="5">
                  <c:v>106.6</c:v>
                </c:pt>
                <c:pt idx="6">
                  <c:v>0</c:v>
                </c:pt>
                <c:pt idx="7">
                  <c:v>0</c:v>
                </c:pt>
                <c:pt idx="8">
                  <c:v>1.2</c:v>
                </c:pt>
                <c:pt idx="9">
                  <c:v>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135.4</c:v>
                </c:pt>
                <c:pt idx="1">
                  <c:v>1.1</c:v>
                </c:pt>
                <c:pt idx="2">
                  <c:v>411.9</c:v>
                </c:pt>
                <c:pt idx="3">
                  <c:v>103.5</c:v>
                </c:pt>
                <c:pt idx="4">
                  <c:v>6.1</c:v>
                </c:pt>
                <c:pt idx="5">
                  <c:v>1.9</c:v>
                </c:pt>
                <c:pt idx="6">
                  <c:v>4.7</c:v>
                </c:pt>
                <c:pt idx="7">
                  <c:v>6.6</c:v>
                </c:pt>
                <c:pt idx="8">
                  <c:v>5.3</c:v>
                </c:pt>
                <c:pt idx="9">
                  <c:v>1636.3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Dominical</c:v>
                </c:pt>
                <c:pt idx="1">
                  <c:v>Ejecutivo</c:v>
                </c:pt>
                <c:pt idx="2">
                  <c:v>Independiente</c:v>
                </c:pt>
                <c:pt idx="3">
                  <c:v>Otro externo</c:v>
                </c:pt>
              </c:strCache>
            </c:strRef>
          </c:cat>
          <c:val>
            <c:numRef>
              <c:f>Hoja1!$B$2:$B$5</c:f>
              <c:numCache>
                <c:formatCode>0</c:formatCode>
                <c:ptCount val="4"/>
                <c:pt idx="0">
                  <c:v>1</c:v>
                </c:pt>
                <c:pt idx="1">
                  <c:v>1</c:v>
                </c:pt>
                <c:pt idx="2">
                  <c:v>8</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Vanguard Capital Management y filiales</c:v>
                </c:pt>
                <c:pt idx="1">
                  <c:v>BlackRock, Inc.</c:v>
                </c:pt>
                <c:pt idx="2">
                  <c:v>Willis J. Johnson (fundador y presidente)</c:v>
                </c:pt>
                <c:pt idx="3">
                  <c:v>A. Jayson Adair (CEO, yerno del fundador)</c:v>
                </c:pt>
                <c:pt idx="4">
                  <c:v>Consejeros y directivos en conjunto (13 personas)</c:v>
                </c:pt>
                <c:pt idx="5">
                  <c:v>Autocartera</c:v>
                </c:pt>
              </c:strCache>
            </c:strRef>
          </c:cat>
          <c:val>
            <c:numRef>
              <c:f>Hoja1!$B$2:$B$7</c:f>
              <c:numCache>
                <c:formatCode>0.0"%"</c:formatCode>
                <c:ptCount val="6"/>
                <c:pt idx="0">
                  <c:v>6.86</c:v>
                </c:pt>
                <c:pt idx="1">
                  <c:v>6.01</c:v>
                </c:pt>
                <c:pt idx="2">
                  <c:v>5.75</c:v>
                </c:pt>
                <c:pt idx="3">
                  <c:v>3.14</c:v>
                </c:pt>
                <c:pt idx="4">
                  <c:v>9.6</c:v>
                </c:pt>
                <c:pt idx="5">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55.9</c:v>
                </c:pt>
                <c:pt idx="1">
                  <c:v>10.6</c:v>
                </c:pt>
                <c:pt idx="2">
                  <c:v>90.3</c:v>
                </c:pt>
                <c:pt idx="3">
                  <c:v>39.9</c:v>
                </c:pt>
                <c:pt idx="4">
                  <c:v>19.2</c:v>
                </c:pt>
                <c:pt idx="5">
                  <c:v>-19.7</c:v>
                </c:pt>
                <c:pt idx="6">
                  <c:v>60.9</c:v>
                </c:pt>
                <c:pt idx="7">
                  <c:v>17.1</c:v>
                </c:pt>
                <c:pt idx="8">
                  <c:v>-31.8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21.7</c:v>
                </c:pt>
                <c:pt idx="1">
                  <c:v>-4.6</c:v>
                </c:pt>
                <c:pt idx="2">
                  <c:v>31.2</c:v>
                </c:pt>
                <c:pt idx="3">
                  <c:v>18.3</c:v>
                </c:pt>
                <c:pt idx="4">
                  <c:v>28.7</c:v>
                </c:pt>
                <c:pt idx="5">
                  <c:v>-18.2</c:v>
                </c:pt>
                <c:pt idx="6">
                  <c:v>26.2</c:v>
                </c:pt>
                <c:pt idx="7">
                  <c:v>24.9</c:v>
                </c:pt>
                <c:pt idx="8">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15.2</c:v>
                </c:pt>
                <c:pt idx="1">
                  <c:v>21.1</c:v>
                </c:pt>
                <c:pt idx="2">
                  <c:v>23.5</c:v>
                </c:pt>
                <c:pt idx="3">
                  <c:v>24.2</c:v>
                </c:pt>
                <c:pt idx="4">
                  <c:v>27.6</c:v>
                </c:pt>
                <c:pt idx="5">
                  <c:v>19.5</c:v>
                </c:pt>
                <c:pt idx="6">
                  <c:v>24.5</c:v>
                </c:pt>
                <c:pt idx="7">
                  <c:v>27</c:v>
                </c:pt>
                <c:pt idx="8">
                  <c:v>20.7</c:v>
                </c:pt>
                <c:pt idx="9">
                  <c:v>12.4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22.3</c:v>
                </c:pt>
                <c:pt idx="1">
                  <c:v>22.3</c:v>
                </c:pt>
                <c:pt idx="2">
                  <c:v>22.3</c:v>
                </c:pt>
                <c:pt idx="3">
                  <c:v>22.3</c:v>
                </c:pt>
                <c:pt idx="4">
                  <c:v>22.3</c:v>
                </c:pt>
                <c:pt idx="5">
                  <c:v>22.3</c:v>
                </c:pt>
                <c:pt idx="6">
                  <c:v>22.3</c:v>
                </c:pt>
                <c:pt idx="7">
                  <c:v>22.3</c:v>
                </c:pt>
                <c:pt idx="8">
                  <c:v>22.3</c:v>
                </c:pt>
                <c:pt idx="9">
                  <c:v>22.3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Copart</c:v>
                </c:pt>
                <c:pt idx="1">
                  <c:v>RB Global</c:v>
                </c:pt>
                <c:pt idx="2">
                  <c:v>OPENLANE</c:v>
                </c:pt>
                <c:pt idx="3">
                  <c:v>USS</c:v>
                </c:pt>
                <c:pt idx="4">
                  <c:v>Aucnet</c:v>
                </c:pt>
                <c:pt idx="5">
                  <c:v>LKQ</c:v>
                </c:pt>
                <c:pt idx="6">
                  <c:v>CarGurus</c:v>
                </c:pt>
                <c:pt idx="7">
                  <c:v>Cars.com</c:v>
                </c:pt>
                <c:pt idx="8">
                  <c:v>eBay</c:v>
                </c:pt>
              </c:strCache>
            </c:strRef>
          </c:cat>
          <c:val>
            <c:numRef>
              <c:f>Hoja1!$B$2:$B$10</c:f>
              <c:numCache>
                <c:formatCode>0.0"x"</c:formatCode>
                <c:ptCount val="9"/>
                <c:pt idx="0">
                  <c:v>10.4</c:v>
                </c:pt>
                <c:pt idx="1">
                  <c:v>10.6</c:v>
                </c:pt>
                <c:pt idx="2">
                  <c:v>10.5</c:v>
                </c:pt>
                <c:pt idx="3">
                  <c:v>10.2</c:v>
                </c:pt>
                <c:pt idx="4">
                  <c:v>7.4</c:v>
                </c:pt>
                <c:pt idx="5">
                  <c:v>6.1</c:v>
                </c:pt>
                <c:pt idx="6">
                  <c:v>6.4</c:v>
                </c:pt>
                <c:pt idx="7">
                  <c:v>4</c:v>
                </c:pt>
                <c:pt idx="8">
                  <c:v>13.2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Copart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c:v>
                </c:pt>
              </c:numCache>
            </c:numRef>
          </c:xVal>
          <c:yVal>
            <c:numRef>
              <c:f>Hoja1!$C$2</c:f>
              <c:numCache>
                <c:formatCode>0.0"x"</c:formatCode>
                <c:ptCount val="1"/>
                <c:pt idx="0">
                  <c:v>10.4</c:v>
                </c:pt>
              </c:numCache>
            </c:numRef>
          </c:yVal>
          <c:smooth val="0"/>
        </c:ser>
        <c:ser>
          <c:idx val="1"/>
          <c:order val="1"/>
          <c:tx>
            <c:strRef>
              <c:f>Hoja1!$A$3</c:f>
              <c:strCache>
                <c:ptCount val="1"/>
                <c:pt idx="0">
                  <c:v>RB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5.9</c:v>
                </c:pt>
              </c:numCache>
            </c:numRef>
          </c:xVal>
          <c:yVal>
            <c:numRef>
              <c:f>Hoja1!$C$3</c:f>
              <c:numCache>
                <c:formatCode>0.0"x"</c:formatCode>
                <c:ptCount val="1"/>
                <c:pt idx="0">
                  <c:v>10.6</c:v>
                </c:pt>
              </c:numCache>
            </c:numRef>
          </c:yVal>
          <c:smooth val="0"/>
        </c:ser>
        <c:ser>
          <c:idx val="2"/>
          <c:order val="2"/>
          <c:tx>
            <c:strRef>
              <c:f>Hoja1!$A$4</c:f>
              <c:strCache>
                <c:ptCount val="1"/>
                <c:pt idx="0">
                  <c:v>OPENLANE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9.2</c:v>
                </c:pt>
              </c:numCache>
            </c:numRef>
          </c:xVal>
          <c:yVal>
            <c:numRef>
              <c:f>Hoja1!$C$4</c:f>
              <c:numCache>
                <c:formatCode>0.0"x"</c:formatCode>
                <c:ptCount val="1"/>
                <c:pt idx="0">
                  <c:v>10.5</c:v>
                </c:pt>
              </c:numCache>
            </c:numRef>
          </c:yVal>
          <c:smooth val="0"/>
        </c:ser>
        <c:ser>
          <c:idx val="3"/>
          <c:order val="3"/>
          <c:tx>
            <c:strRef>
              <c:f>Hoja1!$A$5</c:f>
              <c:strCache>
                <c:ptCount val="1"/>
                <c:pt idx="0">
                  <c:v>USS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5.9</c:v>
                </c:pt>
              </c:numCache>
            </c:numRef>
          </c:xVal>
          <c:yVal>
            <c:numRef>
              <c:f>Hoja1!$C$5</c:f>
              <c:numCache>
                <c:formatCode>0.0"x"</c:formatCode>
                <c:ptCount val="1"/>
                <c:pt idx="0">
                  <c:v>10.2</c:v>
                </c:pt>
              </c:numCache>
            </c:numRef>
          </c:yVal>
          <c:smooth val="0"/>
        </c:ser>
        <c:ser>
          <c:idx val="4"/>
          <c:order val="4"/>
          <c:tx>
            <c:strRef>
              <c:f>Hoja1!$A$6</c:f>
              <c:strCache>
                <c:ptCount val="1"/>
                <c:pt idx="0">
                  <c:v>Aucnet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c:v>
                </c:pt>
              </c:numCache>
            </c:numRef>
          </c:xVal>
          <c:yVal>
            <c:numRef>
              <c:f>Hoja1!$C$6</c:f>
              <c:numCache>
                <c:formatCode>0.0"x"</c:formatCode>
                <c:ptCount val="1"/>
                <c:pt idx="0">
                  <c:v>7.4</c:v>
                </c:pt>
              </c:numCache>
            </c:numRef>
          </c:yVal>
          <c:smooth val="0"/>
        </c:ser>
        <c:ser>
          <c:idx val="5"/>
          <c:order val="5"/>
          <c:tx>
            <c:strRef>
              <c:f>Hoja1!$A$7</c:f>
              <c:strCache>
                <c:ptCount val="1"/>
                <c:pt idx="0">
                  <c:v>LKQ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1.8</c:v>
                </c:pt>
              </c:numCache>
            </c:numRef>
          </c:xVal>
          <c:yVal>
            <c:numRef>
              <c:f>Hoja1!$C$7</c:f>
              <c:numCache>
                <c:formatCode>0.0"x"</c:formatCode>
                <c:ptCount val="1"/>
                <c:pt idx="0">
                  <c:v>6.1</c:v>
                </c:pt>
              </c:numCache>
            </c:numRef>
          </c:yVal>
          <c:smooth val="0"/>
        </c:ser>
        <c:ser>
          <c:idx val="6"/>
          <c:order val="6"/>
          <c:tx>
            <c:strRef>
              <c:f>Hoja1!$A$8</c:f>
              <c:strCache>
                <c:ptCount val="1"/>
                <c:pt idx="0">
                  <c:v>CarGurus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8.8</c:v>
                </c:pt>
              </c:numCache>
            </c:numRef>
          </c:xVal>
          <c:yVal>
            <c:numRef>
              <c:f>Hoja1!$C$8</c:f>
              <c:numCache>
                <c:formatCode>0.0"x"</c:formatCode>
                <c:ptCount val="1"/>
                <c:pt idx="0">
                  <c:v>6.4</c:v>
                </c:pt>
              </c:numCache>
            </c:numRef>
          </c:yVal>
          <c:smooth val="0"/>
        </c:ser>
        <c:ser>
          <c:idx val="7"/>
          <c:order val="7"/>
          <c:tx>
            <c:strRef>
              <c:f>Hoja1!$A$9</c:f>
              <c:strCache>
                <c:ptCount val="1"/>
                <c:pt idx="0">
                  <c:v>Cars.com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c:v>
                </c:pt>
              </c:numCache>
            </c:numRef>
          </c:xVal>
          <c:yVal>
            <c:numRef>
              <c:f>Hoja1!$C$9</c:f>
              <c:numCache>
                <c:formatCode>0.0"x"</c:formatCode>
                <c:ptCount val="1"/>
                <c:pt idx="0">
                  <c:v>4</c:v>
                </c:pt>
              </c:numCache>
            </c:numRef>
          </c:yVal>
          <c:smooth val="0"/>
        </c:ser>
        <c:ser>
          <c:idx val="8"/>
          <c:order val="8"/>
          <c:tx>
            <c:strRef>
              <c:f>Hoja1!$A$10</c:f>
              <c:strCache>
                <c:ptCount val="1"/>
                <c:pt idx="0">
                  <c:v>eBay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8</c:v>
                </c:pt>
              </c:numCache>
            </c:numRef>
          </c:xVal>
          <c:yVal>
            <c:numRef>
              <c:f>Hoja1!$C$10</c:f>
              <c:numCache>
                <c:formatCode>0.0"x"</c:formatCode>
                <c:ptCount val="1"/>
                <c:pt idx="0">
                  <c:v>13.2</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ACV Auctions (subastas digitales de concesionarios, EE. UU.)</c:v>
                </c:pt>
                <c:pt idx="1">
                  <c:v>IAA (subastas de vehículos siniestrados, EE. UU., Canadá y Reino Unido)</c:v>
                </c:pt>
                <c:pt idx="2">
                  <c:v>ADESA EE. UU. (56 subastas físicas de vehículos usados)</c:v>
                </c:pt>
                <c:pt idx="3">
                  <c:v>Uni-Select (distribución de recambios, Canadá y EE. UU.)</c:v>
                </c:pt>
              </c:strCache>
            </c:strRef>
          </c:cat>
          <c:val>
            <c:numRef>
              <c:f>Hoja1!$B$2:$B$5</c:f>
              <c:numCache>
                <c:formatCode>0.0"x"</c:formatCode>
                <c:ptCount val="4"/>
                <c:pt idx="0">
                  <c:v>29.1</c:v>
                </c:pt>
                <c:pt idx="1">
                  <c:v>13.6</c:v>
                </c:pt>
                <c:pt idx="2">
                  <c:v>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1121</c:v>
                </c:pt>
                <c:pt idx="1">
                  <c:v>1177</c:v>
                </c:pt>
                <c:pt idx="2">
                  <c:v>1252</c:v>
                </c:pt>
                <c:pt idx="3">
                  <c:v>1315</c:v>
                </c:pt>
                <c:pt idx="4">
                  <c:v>1410</c:v>
                </c:pt>
                <c:pt idx="5">
                  <c:v>1512</c:v>
                </c:pt>
                <c:pt idx="6">
                  <c:v>1614</c:v>
                </c:pt>
                <c:pt idx="7">
                  <c:v>1720</c:v>
                </c:pt>
                <c:pt idx="8">
                  <c:v>1825</c:v>
                </c:pt>
                <c:pt idx="9">
                  <c:v>1898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8913</c:v>
                </c:pt>
                <c:pt idx="1">
                  <c:v>5447</c:v>
                </c:pt>
                <c:pt idx="2">
                  <c:v>5274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26,82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18.31</c:v>
                </c:pt>
                <c:pt idx="1">
                  <c:v>25.88</c:v>
                </c:pt>
                <c:pt idx="2">
                  <c:v>33.33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26,82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(26,64 – 45,89)</c:v>
                </c:pt>
                <c:pt idx="1">
                  <c:v>Precio objetivo de los analistas (25,00 – 55,00)</c:v>
                </c:pt>
                <c:pt idx="2">
                  <c:v>Comparables: EV/EBITDA NTM (18,25 – 27,18)</c:v>
                </c:pt>
                <c:pt idx="3">
                  <c:v>Comparables: PER NTM (18,25 – 36,62)</c:v>
                </c:pt>
                <c:pt idx="4">
                  <c:v>Transacciones precedentes (EV/EBITDA) (40,77 – 56,43)</c:v>
                </c:pt>
                <c:pt idx="5">
                  <c:v>DCF (WACC y g ± 0,5) (24,07 – 28,19)</c:v>
                </c:pt>
                <c:pt idx="6">
                  <c:v>Escenarios (bajista – alcista) (18,31 – 33,33)</c:v>
                </c:pt>
                <c:pt idx="7">
                  <c:v>DCF con la prima implícita del mercado (4,2 %)</c:v>
                </c:pt>
                <c:pt idx="8">
                  <c:v>Precio actual (26,82)</c:v>
                </c:pt>
              </c:strCache>
            </c:strRef>
          </c:cat>
          <c:val>
            <c:numRef>
              <c:f>Hoja1!$B$2:$B$10</c:f>
              <c:numCache>
                <c:formatCode>#,##0.0</c:formatCode>
                <c:ptCount val="9"/>
                <c:pt idx="0">
                  <c:v>26.64</c:v>
                </c:pt>
                <c:pt idx="1">
                  <c:v>25</c:v>
                </c:pt>
                <c:pt idx="2">
                  <c:v>18.25</c:v>
                </c:pt>
                <c:pt idx="3">
                  <c:v>18.25</c:v>
                </c:pt>
                <c:pt idx="4">
                  <c:v>40.77</c:v>
                </c:pt>
                <c:pt idx="5">
                  <c:v>24.07</c:v>
                </c:pt>
                <c:pt idx="6">
                  <c:v>18.31</c:v>
                </c:pt>
                <c:pt idx="7">
                  <c:v>26.85</c:v>
                </c:pt>
                <c:pt idx="8">
                  <c:v>26.69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(26,64 – 45,89)</c:v>
                </c:pt>
                <c:pt idx="1">
                  <c:v>Precio objetivo de los analistas (25,00 – 55,00)</c:v>
                </c:pt>
                <c:pt idx="2">
                  <c:v>Comparables: EV/EBITDA NTM (18,25 – 27,18)</c:v>
                </c:pt>
                <c:pt idx="3">
                  <c:v>Comparables: PER NTM (18,25 – 36,62)</c:v>
                </c:pt>
                <c:pt idx="4">
                  <c:v>Transacciones precedentes (EV/EBITDA) (40,77 – 56,43)</c:v>
                </c:pt>
                <c:pt idx="5">
                  <c:v>DCF (WACC y g ± 0,5) (24,07 – 28,19)</c:v>
                </c:pt>
                <c:pt idx="6">
                  <c:v>Escenarios (bajista – alcista) (18,31 – 33,33)</c:v>
                </c:pt>
                <c:pt idx="7">
                  <c:v>DCF con la prima implícita del mercado (4,2 %)</c:v>
                </c:pt>
                <c:pt idx="8">
                  <c:v>Precio actual (26,82)</c:v>
                </c:pt>
              </c:strCache>
            </c:strRef>
          </c:cat>
          <c:val>
            <c:numRef>
              <c:f>Hoja1!$C$2:$C$10</c:f>
              <c:numCache>
                <c:formatCode>#,##0.0</c:formatCode>
                <c:ptCount val="9"/>
                <c:pt idx="0">
                  <c:v>19.25</c:v>
                </c:pt>
                <c:pt idx="1">
                  <c:v>30</c:v>
                </c:pt>
                <c:pt idx="2">
                  <c:v>8.93</c:v>
                </c:pt>
                <c:pt idx="3">
                  <c:v>18.369999999999997</c:v>
                </c:pt>
                <c:pt idx="4">
                  <c:v>15.659999999999997</c:v>
                </c:pt>
                <c:pt idx="5">
                  <c:v>4.120000000000001</c:v>
                </c:pt>
                <c:pt idx="6">
                  <c:v>15.02</c:v>
                </c:pt>
                <c:pt idx="7">
                  <c:v>3.7399999999999984</c:v>
                </c:pt>
                <c:pt idx="8">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