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Indra Sistemas, S.A. (Indra Group)</w:t>
      </w:r>
    </w:p>
    <w:p>
      <w:pPr>
        <w:spacing w:after="60"/>
        <w:rPr>
          <w:color w:val="52514E"/>
          <w:sz w:val="22"/>
          <w:szCs w:val="22"/>
        </w:rPr>
      </w:pPr>
      <w:r>
        <w:rPr>
          <w:color w:val="52514E"/>
          <w:sz w:val="22"/>
          <w:szCs w:val="22"/>
        </w:rPr>
        <w:t xml:space="preserve">IDR · Bolsa de Madrid (Mercado Continuo; también Barcelona, Bilbao y Valencia) · ISIN ES0118594417 · Industria (Aeroespacial y Defensa)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59,72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58,59 EUR · mercado 66,22</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-1,4 % · mercado +11,4 %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10.459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10,2x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Indra Sistemas, S.A. (Indra Group)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IDR / ES0118594417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 también Barcelona, Bilbao y Valencia)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(Aeroespacial y Defensa) / Tecnologías de la información / Defensa, espacio, tráfico aéreo, movilidad y servicios TI (Minsait)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Alcobendas (Madrid) · 1993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58.383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www.indragroup.com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59,72 (5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38,40 – 66,15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10.459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11.049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37,8 M EUR/día (632.260 acciones, media de 20 sesiones a 6-oct-2026)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Valor objetivo </w:t>
      </w:r>
      <w:r>
        <w:rPr>
          <w:b/>
          <w:bCs/>
        </w:rPr>
        <w:t xml:space="preserve">58,59 EUR</w:t>
      </w:r>
      <w:r>
        <w:t xml:space="preserve"> frente a 59,72 · con la prima implícita del mercado: 66,22 (+10,9 %) · Rentabilidad total esperada a 12 meses </w:t>
      </w:r>
      <w:r>
        <w:rPr>
          <w:b/>
          <w:bCs/>
        </w:rPr>
        <w:t xml:space="preserve">-1,4 %</w:t>
      </w:r>
      <w:r>
        <w:t xml:space="preserve"> · Alcista / bajista +23,8 % / -42,0 %</w:t>
      </w:r>
    </w:p>
    <w:p>
      <w:pPr>
        <w:spacing w:after="100"/>
      </w:pPr>
      <w:r>
        <w:rPr>
          <w:b/>
        </w:rPr>
        <w:t xml:space="preserve">La recomendación y por qué.</w:t>
      </w:r>
      <w:r>
        <w:t xml:space="preserve"> Mantener, con convicción media. Las dos reglas coinciden. Con nuestro WACC (9,11 %), el valor objetivo es de 58,59 €, un 1,9 % por debajo del precio de 59,72 €: rentabilidad total esperada del −1,4 % y asimetría de 0,57 veces. Con la prima que hoy descuenta el mercado (4,20 %) [44], el WACC baja al 7,98 %, el objetivo sube a 66,22 € y la rentabilidad total al 11,4 % (asimetría de 1,70): Indra gana algo al mercado, pero no el 15 % que pedimos. El precio ya paga el rearme y una caja que no es suya.</w:t>
      </w:r>
    </w:p>
    <w:p>
      <w:pPr>
        <w:spacing w:after="100"/>
      </w:pPr>
      <w:r>
        <w:rPr>
          <w:b/>
        </w:rPr>
        <w:t xml:space="preserve">El negocio.</w:t>
      </w:r>
      <w:r>
        <w:t xml:space="preserve"> Indra es el contratista tecnológico de referencia de la defensa española: cartera de 20.533 M, 3,3 veces las ventas [8], con Defensa y Espacio en el 59 % del EBIT del 1S26 [7]. Defensa gana un 20,9 % de margen EBITDA y Espacio un 40,5 %, frente al 8,1 % de Minsait [14]: por eso el margen del grupo pasó del 10,8 % al 14,4 % en un año [8]. El ROIC (18,5 %) dobla el WACC. Su foso es institucional: el Estado es cliente, financiador y primer accionista (SEPI, 28 %) [1].</w:t>
      </w:r>
    </w:p>
    <w:p>
      <w:pPr>
        <w:spacing w:after="100"/>
      </w:pPr>
      <w:r>
        <w:rPr>
          <w:b/>
        </w:rPr>
        <w:t xml:space="preserve">Sector y ciclo.</w:t>
      </w:r>
      <w:r>
        <w:t xml:space="preserve"> Es un ciclo de rearme, no económico: el gasto español en defensa pasó del 1,43 % al 2,0 % del PIB en dos años [35], con objetivos hasta 2035 [1]. No lo alargamos con un DCF en tres etapas: España se comprometió a menos gasto que la OTAN [1], la cartera se ejecuta en cinco o seis años y Minsait no tiene ese recorrido [7].</w:t>
      </w:r>
    </w:p>
    <w:p>
      <w:pPr>
        <w:spacing w:after="100"/>
      </w:pPr>
      <w:r>
        <w:rPr>
          <w:b/>
        </w:rPr>
        <w:t xml:space="preserve">Finanzas.</w:t>
      </w:r>
      <w:r>
        <w:t xml:space="preserve"> Un tercio del crecimiento de 2026 (+29 %) es inorgánico y TESS diluye el margen (14,4 % frente al 15,3 % sin ella) [8]. Lo decisivo es la caja: el FCF del 1S26 fue de 1.487 M reportados y de solo 15 M sin anticipos PEM [6]. Por eso la caja neta contable de 846 M es en realidad una deuda neta ajustada de 695 M, sobre todo por 1.472 M de anticipos PEM a devolver [5].</w:t>
      </w:r>
    </w:p>
    <w:p>
      <w:pPr>
        <w:spacing w:after="100"/>
      </w:pPr>
      <w:r>
        <w:rPr>
          <w:b/>
        </w:rPr>
        <w:t xml:space="preserve">Equipo y gobierno.</w:t>
      </w:r>
      <w:r>
        <w:t xml:space="preserve"> Restan. La dirección anterior superó las guías de 2023-2025 [3, 10], pero en dieciocho meses ha habido tres presidentes y dos consejeros delegados [5, 16]. Fallan también las operaciones vinculadas (856 M facturados al Estado y el conflicto con EM&amp;E) [1, 39] y el voto de remuneraciones (59,9 %) [16].</w:t>
      </w:r>
    </w:p>
    <w:p>
      <w:pPr>
        <w:spacing w:after="100"/>
      </w:pPr>
      <w:r>
        <w:rPr>
          <w:b/>
        </w:rPr>
        <w:t xml:space="preserve">Valoración.</w:t>
      </w:r>
      <w:r>
        <w:t xml:space="preserve"> El DCF (35 %) da 56,99 € y los escenarios (25 %), 55,64 €; los comparables (25 %), 66,39 €; la suma de partes (15 %), 54,23 €. El precio ofrece una rentabilidad implícita del 8,8 % anual: menos que nuestro WACC y algo más que el que pide el mercado (7,98 %), con el que el DCF sube a 69,95 €. Descuenta un crecimiento del 11,1 % anual hasta 2032 (10,1 % el nuestro). Con la prima del mercado, nuestro objetivo (66,22 €) coincide casi con el medio del consenso (67,12 €) [43]: discrepamos poco, en un margen de 2028 del 14,7 % frente al 15,2 % [23].</w:t>
      </w:r>
    </w:p>
    <w:p>
      <w:pPr>
        <w:spacing w:after="100"/>
      </w:pPr>
      <w:r>
        <w:rPr>
          <w:b/>
        </w:rPr>
        <w:t xml:space="preserve">Riesgos y catalizadores.</w:t>
      </w:r>
      <w:r>
        <w:t xml:space="preserve"> El mayor riesgo son el presupuesto y los PEM: si se retrasan o se reparten (Santa Bárbara los ha recurrido ante el Supremo [1]), el bajista vale 34,64 € (−42,0 %). Le siguen la ejecución industrial y el gobierno. Catalizadores: los resultados de 9M26 a finales de octubre, que exigen unos 360 M de FCF sin PEM en el segundo semestre [8], y el plan estratégico (4T26-1T27), con la decisión sobre Minsait.</w:t>
      </w:r>
    </w:p>
    <w:p>
      <w:pPr>
        <w:spacing w:after="100"/>
      </w:pPr>
      <w:r>
        <w:rPr>
          <w:b/>
        </w:rPr>
        <w:t xml:space="preserve">Qué cambiaría la decisión.</w:t>
      </w:r>
      <w:r>
        <w:t xml:space="preserve"> Con las dos reglas, compraríamos por debajo de 57,83 € y venderíamos por encima de 73,94 €. Un FCF sin PEM de 2026 inferior a 250 M nos llevaría a rebajar el valor; una venta de Minsait por encima de 8 veces el EBITDA lo subiría; y una prima implícita del mercado del 3,8 % o menos daría Comprar.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Valor objetivo: </w:t>
      </w:r>
      <w:r>
        <w:rPr>
          <w:b/>
          <w:bCs/>
        </w:rPr>
        <w:t xml:space="preserve">58,59 EUR</w:t>
      </w:r>
      <w:r>
        <w:t xml:space="preserve"> (-1,9 % sobre 59,72; rentabilidad total esperada -1,4 %) · con la prima implícita del mercado: 66,22 (+10,9 %)</w:t>
      </w:r>
    </w:p>
    <w:p>
      <w:pPr>
        <w:spacing w:after="100"/>
      </w:pPr>
      <w:r>
        <w:t xml:space="preserve">Indra es el contratista tecnológico de referencia del rearme español: cartera de 20.533 M (3,3 años de ventas), ingresos +30 % y margen EBITDA del 14,4 % en el 1S26, con Defensa y Espacio ya en el 59 % del EBIT [7, 8]. Ha cumplido sus guías de 2023-2025 y su ROIC (18,5 % en 2025, 22,8 % en 2024) duplica el WACC [3, 10].</w:t>
      </w:r>
    </w:p>
    <w:p>
      <w:pPr>
        <w:spacing w:after="100"/>
      </w:pPr>
      <w:r>
        <w:t xml:space="preserve">El precio de 59,72 € ya lo descuenta. Cotiza a 13,4 veces el EBITDA de los últimos doce meses y a 23,8 veces el beneficio, un 72-76 % por encima de su media de 2021-2025. El DCF inverso implica un crecimiento de las ventas del 11,1 % anual hasta 2032 y un margen final del 15,5 %, es decir, que se cumple el consenso hasta 2028 y que el ciclo no se agota [23]. Nuestro valor objetivo es de 58,59 € (−1,9 %), con métodos entre 54 € (suma de partes) y 66 € (comparables); con la prima de riesgo que hoy pide el mercado (4,20 %) [44], sería de 66,22 € (+10,9 %).</w:t>
      </w:r>
    </w:p>
    <w:p>
      <w:pPr>
        <w:spacing w:after="100"/>
      </w:pPr>
      <w:r>
        <w:t xml:space="preserve">No vemos al mercado equivocado: el descuento frente a la defensa europea (10,2x frente a 11,6x NTM) lo justifican Minsait y el riesgo de gobierno. Para invertir hay que creer que el FCF sin anticipos —15 M en el 1S26— se recupera hasta los 375 M de la guía en el segundo semestre [6], que la nueva dirección (en el cargo desde junio) ejecuta los programas industriales sin sobrecostes y que no hay una compra cara de EM&amp;E [39]. Con nuestro WACC la asimetría (+23,8 % frente a −42,0 %) no compensa; con el del mercado, sí (1,70 veces), pero la rentabilidad total esperada del 11,4 % no llega al 15 %.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 / -42,0 %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 frente a 9,1 %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57,83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57,83 y 73,94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73,94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con las dos reglas combinadas, por debajo de 57,83 € pasaríamos a Comprar (rentabilidad total esperada ≥ 15 % con la prima del mercado); por encima de 73,94 €, a Vender (motor).</w:t>
      </w:r>
    </w:p>
    <w:p>
      <w:pPr>
        <w:pStyle w:val="ListParagraph"/>
        <w:numPr>
          <w:ilvl w:val="0"/>
          <w:numId w:val="2"/>
        </w:numPr>
        <w:spacing w:after="60"/>
      </w:pPr>
      <w:r>
        <w:t xml:space="preserve">Si la prima implícita del mercado baja al 3,8 % o menos (4,20 % en octubre de 2026) [44], la regla relativa daría Comprar al precio de hoy (motor).</w:t>
      </w:r>
    </w:p>
    <w:p>
      <w:pPr>
        <w:pStyle w:val="ListParagraph"/>
        <w:numPr>
          <w:ilvl w:val="0"/>
          <w:numId w:val="2"/>
        </w:numPr>
        <w:spacing w:after="60"/>
      </w:pPr>
      <w:r>
        <w:t xml:space="preserve">Si el FCF sin PEM de 2026 queda por debajo de 250 M, rebajaríamos el valor objetivo y la recomendación.</w:t>
      </w:r>
    </w:p>
    <w:p>
      <w:pPr>
        <w:pStyle w:val="ListParagraph"/>
        <w:numPr>
          <w:ilvl w:val="0"/>
          <w:numId w:val="2"/>
        </w:numPr>
        <w:spacing w:after="60"/>
      </w:pPr>
      <w:r>
        <w:t xml:space="preserve">Si el margen EBITDA del 9M26 baja del 13 %, revisaríamos márgenes a la baja.</w:t>
      </w:r>
    </w:p>
    <w:p>
      <w:pPr>
        <w:pStyle w:val="ListParagraph"/>
        <w:numPr>
          <w:ilvl w:val="0"/>
          <w:numId w:val="2"/>
        </w:numPr>
        <w:spacing w:after="60"/>
      </w:pPr>
      <w:r>
        <w:t xml:space="preserve">Si el plan estratégico anuncia la venta de Minsait por encima de 8x EBITDA, subiríamos el valor objetivo.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consenso de 2026-2028 se cumple (EBITDA de 971 M, 1.124 M y 1.329 M) y que Indra merece un múltiplo de defensa europea, con la caja reportada de 2.474 M como colchón [6, 23].</w:t>
      </w:r>
    </w:p>
    <w:p>
      <w:pPr>
        <w:keepNext/>
        <w:spacing w:after="100"/>
      </w:pPr>
      <w:r>
        <w:rPr>
          <w:b/>
          <w:bCs/>
        </w:rPr>
        <w:t xml:space="preserve">Lo que creemos nosotros.</w:t>
      </w:r>
    </w:p>
    <w:p>
      <w:pPr>
        <w:spacing w:after="100"/>
      </w:pPr>
      <w:r>
        <w:t xml:space="preserve">Coincidimos con el crecimiento, pero vemos menos margen en 2028 (14,7 % frente a 15,2 %) por TESS y Movilidad, y una caja neta que en realidad es una deuda neta ajustada de 695 M una vez sumados los anticipos PEM y los demás pasivos asimilables (motor).</w:t>
      </w:r>
    </w:p>
    <w:p>
      <w:pPr>
        <w:keepNext/>
        <w:spacing w:after="100"/>
      </w:pPr>
      <w:r>
        <w:rPr>
          <w:b/>
          <w:bCs/>
        </w:rPr>
        <w:t xml:space="preserve">Por qué podemos tener razón.</w:t>
      </w:r>
    </w:p>
    <w:p>
      <w:pPr>
        <w:spacing w:after="100"/>
      </w:pPr>
      <w:r>
        <w:t xml:space="preserve">La propia empresa publica que el FCF del 1S26 sin PEM fue de 15 M [6]; los anticipos de 1.472 M que cobró directamente se devolverán con los ingresos futuros de esos programas [5]. El mercado no siempre hace ese ajuste en los múltiplos de valor empresa.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9,7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Cartera récord</w:t>
      </w:r>
      <w:r>
        <w:t xml:space="preserve">: 20.533 M a junio de 2026, 3,3 veces las ventas de doce meses [8].</w:t>
      </w:r>
    </w:p>
    <w:p>
      <w:pPr>
        <w:pStyle w:val="ListParagraph"/>
        <w:numPr>
          <w:ilvl w:val="0"/>
          <w:numId w:val="2"/>
        </w:numPr>
        <w:spacing w:after="60"/>
      </w:pPr>
      <w:r>
        <w:rPr>
          <w:b/>
        </w:rPr>
        <w:t xml:space="preserve">Mezcla que mejora el margen</w:t>
      </w:r>
      <w:r>
        <w:t xml:space="preserve">: Defensa gana un 20,9 % EBITDA y Espacio un 40,5 % en el 1S26 [14].</w:t>
      </w:r>
    </w:p>
    <w:p>
      <w:pPr>
        <w:pStyle w:val="ListParagraph"/>
        <w:numPr>
          <w:ilvl w:val="0"/>
          <w:numId w:val="2"/>
        </w:numPr>
        <w:spacing w:after="60"/>
      </w:pPr>
      <w:r>
        <w:rPr>
          <w:b/>
        </w:rPr>
        <w:t xml:space="preserve">Historial de cumplimiento</w:t>
      </w:r>
      <w:r>
        <w:t xml:space="preserve">: superó las guías de 2023, 2024 y 2025 por un 6-10 % [3, 10].</w:t>
      </w:r>
    </w:p>
    <w:p>
      <w:pPr>
        <w:pStyle w:val="ListParagraph"/>
        <w:numPr>
          <w:ilvl w:val="0"/>
          <w:numId w:val="2"/>
        </w:numPr>
        <w:spacing w:after="60"/>
      </w:pPr>
      <w:r>
        <w:rPr>
          <w:b/>
        </w:rPr>
        <w:t xml:space="preserve">Rentabilidad alta</w:t>
      </w:r>
      <w:r>
        <w:t xml:space="preserve">: ROIC del 18,5 % en 2025 y ROIC incremental del 23,3 % en 2021-2025.</w:t>
      </w:r>
    </w:p>
    <w:p>
      <w:pPr>
        <w:pStyle w:val="ListParagraph"/>
        <w:numPr>
          <w:ilvl w:val="0"/>
          <w:numId w:val="2"/>
        </w:numPr>
        <w:spacing w:after="60"/>
      </w:pPr>
      <w:r>
        <w:rPr>
          <w:b/>
        </w:rPr>
        <w:t xml:space="preserve">Descuento frente a los pares</w:t>
      </w:r>
      <w:r>
        <w:t xml:space="preserve">: 10,2x EBITDA NTM frente a 11,6x de mediana, con más crecimiento (17,9 % frente a 13,9 %).</w:t>
      </w:r>
    </w:p>
    <w:p>
      <w:pPr>
        <w:pStyle w:val="Heading2"/>
      </w:pPr>
      <w:r>
        <w:t xml:space="preserve">En contra</w:t>
      </w:r>
    </w:p>
    <w:p>
      <w:pPr>
        <w:pStyle w:val="ListParagraph"/>
        <w:numPr>
          <w:ilvl w:val="0"/>
          <w:numId w:val="2"/>
        </w:numPr>
        <w:spacing w:after="60"/>
      </w:pPr>
      <w:r>
        <w:rPr>
          <w:b/>
        </w:rPr>
        <w:t xml:space="preserve">Caja de baja calidad</w:t>
      </w:r>
      <w:r>
        <w:t xml:space="preserve">: FCF del 1S26 de 1.487 M reportado, pero de 15 M sin anticipos PEM [6].</w:t>
      </w:r>
    </w:p>
    <w:p>
      <w:pPr>
        <w:pStyle w:val="ListParagraph"/>
        <w:numPr>
          <w:ilvl w:val="0"/>
          <w:numId w:val="2"/>
        </w:numPr>
        <w:spacing w:after="60"/>
      </w:pPr>
      <w:r>
        <w:rPr>
          <w:b/>
        </w:rPr>
        <w:t xml:space="preserve">Valoración exigente frente a su historia</w:t>
      </w:r>
      <w:r>
        <w:t xml:space="preserve">: PER de 23,8x, en el máximo de los cinco últimos años.</w:t>
      </w:r>
    </w:p>
    <w:p>
      <w:pPr>
        <w:pStyle w:val="ListParagraph"/>
        <w:numPr>
          <w:ilvl w:val="0"/>
          <w:numId w:val="2"/>
        </w:numPr>
        <w:spacing w:after="60"/>
      </w:pPr>
      <w:r>
        <w:rPr>
          <w:b/>
        </w:rPr>
        <w:t xml:space="preserve">Gobierno inestable</w:t>
      </w:r>
      <w:r>
        <w:t xml:space="preserve">: tres presidentes y dos consejeros delegados en dieciocho meses [5, 16].</w:t>
      </w:r>
    </w:p>
    <w:p>
      <w:pPr>
        <w:pStyle w:val="ListParagraph"/>
        <w:numPr>
          <w:ilvl w:val="0"/>
          <w:numId w:val="2"/>
        </w:numPr>
        <w:spacing w:after="60"/>
      </w:pPr>
      <w:r>
        <w:rPr>
          <w:b/>
        </w:rPr>
        <w:t xml:space="preserve">Concentración en el Estado</w:t>
      </w:r>
      <w:r>
        <w:t xml:space="preserve">: 856 M de facturación a la AGE en 2025 y el 58 % de las ventas en España [1, 8].</w:t>
      </w:r>
    </w:p>
    <w:p>
      <w:pPr>
        <w:pStyle w:val="ListParagraph"/>
        <w:numPr>
          <w:ilvl w:val="0"/>
          <w:numId w:val="2"/>
        </w:numPr>
        <w:spacing w:after="60"/>
      </w:pPr>
      <w:r>
        <w:rPr>
          <w:b/>
        </w:rPr>
        <w:t xml:space="preserve">Asimetría desfavorable</w:t>
      </w:r>
      <w:r>
        <w:t xml:space="preserve">: el bajista pierde un 42,0 % y el alcista gana un 23,8 % (0,57x).</w:t>
      </w:r>
    </w:p>
    <w:p>
      <w:pPr>
        <w:pStyle w:val="Heading2"/>
      </w:pPr>
      <w:r>
        <w:t xml:space="preserve">Qué tiene que pasar para que la tesis funcione</w:t>
      </w:r>
    </w:p>
    <w:p>
      <w:pPr>
        <w:spacing w:after="100"/>
      </w:pPr>
      <w:r>
        <w:t xml:space="preserve">La tesis depende de que el FCF sin anticipos PEM converja con el beneficio en el segundo semestre (guía de más de 375 M en 2026, frente a 15 M en el primer semestre) [6, 8] y de que el margen EBITDA se mantenga por encima del 14 % con TESS a plena carga. Si el FCF sin PEM de 2026 queda por debajo de 250 M, o si el nuevo plan estratégico incluye una compra grande financiada con deuda, la tesis se rompe a la baja.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FCF sin anticipos PEM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del beneficio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Dilución de TESS y Movilidad [8]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de Defensa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adelantado del ciclo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Minsait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la IA [8]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Cambios en el consejo o la dirección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Recasens desde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Cualquier salida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gobierno [17]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13,4x / 10,2x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23,8x / 19,2x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Indra nace en 1992-1993 de la fusión de la privada Ceselsa y la pública Inisel; el Estado vendió en bolsa el 66 % que tenía en 1999, año en que entró en el IBEX 35 [42]. Creció como integrador de defensa y de TI y en 2017 compró Tecnocom para reforzar los servicios TI [42]. La etapa actual empieza en 2024 con el plan «Leading the Future», que la empresa dio por cumplido con un año de antelación en 2025 [10], y con un giro hacia la defensa: compras de TESS (vehículo 8x8), AERTEC, Micro Nav, Global ATS e Hispasat entre febrero y diciembre de 2025 [1]. En 2026 se sucedieron la dimisión del presidente ejecutivo Ángel Escribano (1-abr), la salida de su familia del capital (5-may) y el relevo del consejero delegado (Recasens desde el 17-jun) [5,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Indra Sistemas por fusión de Ceselsa e Inisel [42]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pública de venta del 66 % del Estado y entrada en el IBEX 35 [42]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Tecnocom; refuerzo de Minsait en servicios TI [42]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«Leading the Future» 2024-2026; segregación de Indra Espacio y compras de Deimos, CLUE y MQA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TESS Defence (51 %), compra de AERTEC, Micro Nav y Global ATS; 12.778 M de contratación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89,68 % de Hispasat por 725 M y control de Hisdesat (30-dic)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de 2.189 M de anticipos PEM en enero; dimisión de Ángel Escribano y nombramiento de Ángel Simón (abril) [1,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familia Escribano vende su 14,3 %; Recasens, consejero delegado; venta de BPO y acuerdo de venta de Minsait Business Consulting [5, 8, 38]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Indra es el principal grupo español de tecnología para defensa y uno de los grandes integradores de TI del país. Desde 2026 reporta cinco divisiones [6]: </w:t>
      </w:r>
      <w:r>
        <w:rPr>
          <w:b/>
        </w:rPr>
        <w:t xml:space="preserve">Defensa</w:t>
      </w:r>
      <w:r>
        <w:t xml:space="preserve"> (973 M de ingresos en el 1S26: vehículos terrestres de TESS, Eurofighter, radares, defensa aérea y naval, simulación), </w:t>
      </w:r>
      <w:r>
        <w:rPr>
          <w:b/>
        </w:rPr>
        <w:t xml:space="preserve">Espacio</w:t>
      </w:r>
      <w:r>
        <w:t xml:space="preserve"> (190 M: Hispasat, Hisdesat, Galileo), </w:t>
      </w:r>
      <w:r>
        <w:rPr>
          <w:b/>
        </w:rPr>
        <w:t xml:space="preserve">Tráfico Aéreo</w:t>
      </w:r>
      <w:r>
        <w:t xml:space="preserve"> (300 M: sistemas de gestión, radares y radios para proveedores de navegación aérea), </w:t>
      </w:r>
      <w:r>
        <w:rPr>
          <w:b/>
        </w:rPr>
        <w:t xml:space="preserve">Movilidad</w:t>
      </w:r>
      <w:r>
        <w:t xml:space="preserve"> (175 M: peaje, ticketing y ferrocarril) y </w:t>
      </w:r>
      <w:r>
        <w:rPr>
          <w:b/>
        </w:rPr>
        <w:t xml:space="preserve">Minsait</w:t>
      </w:r>
      <w:r>
        <w:t xml:space="preserve"> (1.541 M: servicios TI para administraciones, banca, energía y telecomunicaciones) [14]. En 2025, con cuatro segmentos, facturó 5.457 M; Minsait aportó el 57 % y Defensa el 26 % [1]. España supuso el 53 % de las ventas en 2025 y el 58 % en el 1S26 [1, 8]. Cierra 2025 con 62.396 empleados, 46.564 de ellos en Minsait [1, 7].</w:t>
      </w:r>
    </w:p>
    <w:p>
      <w:pPr>
        <w:pStyle w:val="Heading2"/>
      </w:pPr>
      <w:r>
        <w:t xml:space="preserve">Cómo gana dinero</w:t>
      </w:r>
    </w:p>
    <w:p>
      <w:pPr>
        <w:spacing w:after="100"/>
      </w:pPr>
      <w:r>
        <w:t xml:space="preserve">Indra cobra por proyectos y contratos plurianuales: en 2025, el 36 % de los ingresos fue ejecución de proyectos, el 4 % fabricación con tecnología propia y el 60 % prestación de servicios [1]. El margen depende de la mezcla: Defensa ganó un 16,5 % EBIT en 2025 y Minsait un 6,6 % [1]; en el 1S26, Defensa 17,0 %, Espacio 10,6 %, ATM 12,6 %, Movilidad 1,8 % y Minsait 5,8 % [14]. Por eso el giro a defensa mueve el margen del grupo (EBITDA del 10,8 % al 14,4 % entre el 1S25 y el 1S26) [8]. El coste principal es el personal (52 % de los ingresos en 2025) [1], de modo que el apalancamiento operativo viene de la escala y de la subcontratación en los grandes programas. La cartera (20.533 M a junio de 2026, 3,3 veces las ventas) da visibilidad [8], y los PEM se prefinancian con anticipos del Ministerio de Industria a tipo cero [5]. Estacionalidad marcada: el cuarto trimestre concentra ingresos y caja.</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Defensa (incl. Espacio hasta 2025)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Aéreo (ATM)</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Movilidad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Minsait (TI)</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Defensa (incl. Espacio hasta 2025)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Aéreo (ATM)</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Movilidad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Minsait (TI)</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[1], pero la Administración General del Estado es el cliente agregado decisivo: Indra le facturó 856 M en 2025 (16 % de las ventas), además de 39 M al grupo SEPI [1], y el Ministerio de Defensa es el destinatario de la mayor parte de la cartera de Defensa (11.746 M). Los contratos de defensa son plurianuales (VCR 8x8, Eurofighter, FCAS, PEM) y el 41 % de los ingresos de 2025 procedía de la cartera inicial [1]. Sobre poder de precios no hay datos directos: el margen EBIT de Minsait subió del 5,9 % al 6,6 % en 2025 pese a la presión salarial, y el de Defensa bajó del 18,0 % al 16,5 % por la mezcla con TESS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16.083 (2025); 20.533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Defensa explica 8.364 M del aumento de 2025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neta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de 2,34x en 2025 y 1,58x en el 1S26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 ventas 12 meses (x)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(2025); 3,32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 casi tres años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Defensa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Cartera/ventas de Defensa: 8,1x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 (2025); 9,9 %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10,6 % sin TESS en el 1S26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final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62.396 (2025); 58.383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 −6 %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Minsait reduce un 12 % su plantilla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en I+D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 (8,8 %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 (8,0 %)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56 M activados en 2025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doble. Para Defensa, Espacio y ATM: el gasto en defensa de España (58 % de las ventas del grupo en el 1S26 son españolas) y, como mercado de exportación, el de los países de la UE [8]. Para Minsait: los servicios TI en España y Latinoamérica. Usamos como referencia principal el gasto en defensa de la UE publicado por la Agencia Europea de Defensa, y lo contrastamos con la cifra española de la OTAN [34, 35]. No hemos encontrado una fuente gratuita y fiable del tamaño del mercado español de servicios TI, por lo que la parte de Minsait se analiza con sus competidores.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343.000 M EUR de gasto en defensa de los 27 en 2024 (1,9 % del PIB), con 88.000 M en adquisición de equipos [34]; España: 33.123 M EUR en 2025 (2,0 % del PIB) frente a 22.693 M en 2024 [35]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EUR (gasto en defensa de la UE-27))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OTAN del 5 % del PIB en 2035 (3,5 % defensa básica)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Aprobado en la cumbre de junio de 2025; España se compromete a las capacidades con menos gasto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Programas Especiales de Modernización en España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2.189 M cobrados por Indra en enero de 2026 como anticipos PEM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español: del 1,43 % del PIB en 2023 al 2,0 % en 2025</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+43,1 % en 2025, hasta 33.123 M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europea en equipos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Adquisición de equipos +39 % en 2024 (88.000 M)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sobre los precios de servicios TI y sustitución por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Minsait recorta un 12 % la plantilla en un año con ingresos +4 %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político y presupuestario español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PEM aprobados por real decreto (RD 915/2025) y recurridos por Santa Bárbara ante el Supremo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defensa española la rivalidad es baja (Indra es contratista nacional y socio de Eurofighter y FCAS), pero en exportación compite con Thales, Leonardo, Hensoldt o Saab, y en TI con Accenture, Capgemini o NTT Data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Estado es cliente, regulador, financiador de los PEM y primer accionista (SEPI, 28 %); la AGE supuso 856 M de facturación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Aprovisionamientos de 1.462 M en 2025 (27 % de las ventas) y subcontratación en programas con socios que también son accionistas o competidores (EM&amp;E, Sapa, Santa Bárbara en TESS)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de acreditación de seguridad, control de inversiones extranjeras en defensa (RD 571/2023) y escala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 en defensa; alta en Minsait por automatización e IA generativa en servicios TI.</w:t>
            </w:r>
          </w:p>
        </w:tc>
      </w:tr>
    </w:tbl>
    <w:p>
      <w:pPr>
        <w:spacing w:after="160" w:before="0"/>
      </w:pPr>
    </w:p>
    <w:p>
      <w:pPr>
        <w:pStyle w:val="Heading2"/>
      </w:pPr>
      <w:r>
        <w:t xml:space="preserve">Ciclo</w:t>
      </w:r>
    </w:p>
    <w:p>
      <w:pPr>
        <w:spacing w:after="100"/>
      </w:pPr>
      <w:r>
        <w:t xml:space="preserve">El gasto en defensa de la UE creció un 19 % en 2024 y se espera otro 14 % en 2025 [34]; España pasó del 1,43 % al 2,0 % del PIB en dos años [35]. Es un ciclo de rearme, no económico: tras la crisis de 2008-09 el gasto español quedó estancado (0,92 % del PIB en 2014 y 1,01 % en 2021), la pandemia de 2020 no lo redujo y el cambio llegó tras la invasión de Ucrania en 2022 (1,05 % en 2022 y 1,43 % en 2023) [35]. El indicador adelantado es la contratación: book-to-bill de 2,34x en 2025 [1].</w:t>
      </w:r>
    </w:p>
    <w:p>
      <w:pPr>
        <w:pStyle w:val="Heading2"/>
      </w:pPr>
      <w:r>
        <w:t xml:space="preserve">Regulación</w:t>
      </w:r>
    </w:p>
    <w:p>
      <w:pPr>
        <w:spacing w:after="100"/>
      </w:pPr>
      <w:r>
        <w:t xml:space="preserve">Tres normas mueven las cifras. El RD 915/2025 regula los préstamos a tipo cero de los PEM; Santa Bárbara lo ha recurrido ante el Supremo con petición de suspensión cautelar de los programas «Cadenas» y «Ruedas» adjudicados a UTE de Indra y EM&amp;E [1]. El régimen de inversiones extranjeras (Ley 19/2003 y RD 571/2023) exige autorización previa para participaciones en empresas de defensa y solo exime al inversor extranjero de menos del 10 % si renuncia a votar y a entrar en el consejo [15]. El embargo español al comercio de material de defensa con Israel restringe proveedores [1].</w:t>
      </w:r>
    </w:p>
    <w:p>
      <w:pPr>
        <w:pStyle w:val="Heading2"/>
      </w:pPr>
      <w:r>
        <w:t xml:space="preserve">Tendencias y disrupción</w:t>
      </w:r>
    </w:p>
    <w:p>
      <w:pPr>
        <w:spacing w:after="100"/>
      </w:pPr>
      <w:r>
        <w:t xml:space="preserve">La guerra de Ucrania y el giro de EE. UU. han empujado a Europa a la autonomía en defensa, con prioridad a la industria europea [1]. Indra gana con ello: concentra la integración española (vehículos, radares, defensa aérea, guerra electrónica) y entra en semiconductores de nitruro de galio con Sparc Foundry (37 %) [1]. En TI, la IA generativa presiona los servicios intensivos en personas; Minsait responde con IndraMind (IA soberana y ciberseguridad) y con la venta de negocios no estratégicos (BPO, consultoría) [8].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Principal contratista tecnológico español de defensa: coordinador nacional de FCAS, socio de Eurofighter, líder de TESS (VCR 8x8) y adjudicatario de 1.472 M de PEM propios [1,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Thales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Electrónica de defensa, espacio y ciberseguridad; competidor directo en radares y ATM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Leonardo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LDO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en Eurofighter y ahora en vehículos (IDV, VACIM); rival en electrónica [20,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Rheinmetall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RHM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Vehículos y munición; cliente del radar NEMUS de Indra [7,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Hensoldt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Sensores y radares; el comparable más puro de la electrónica de Indra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Saab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SAAB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Radares, defensa aérea y vigilancia [28,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Capgemini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TI; competidor de Minsait en banca y administraciones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Sopra Steria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Servicios TI europeos con un perfil parecido a Minsait [28]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relevantes; algo de ecosistema en ATM (sistemas instalados en más de 140 países)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Programas de 20-30 años (Eurofighter, VCR 8x8, satélites) con mantenimiento: el 15 % de los ingresos de 2025 fue mantenimiento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Acreditaciones de seguridad y tecnología propia (radares, ATM); 437 M de I+D en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Minsait gana un 6,6 % EBIT frente al 13 % de Capgemini: no hay ventaja en costes en TI [1, 28].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español de defensa con un integrador nacional preferente; cartera de Defensa de 11.746 M (6,5x ventas) [14].</w:t>
            </w:r>
          </w:p>
        </w:tc>
      </w:tr>
    </w:tbl>
    <w:p>
      <w:pPr>
        <w:spacing w:after="160" w:before="0"/>
      </w:pPr>
    </w:p>
    <w:p>
      <w:pPr>
        <w:pStyle w:val="Heading2"/>
      </w:pPr>
      <w:r>
        <w:t xml:space="preserve">Amenazas</w:t>
      </w:r>
    </w:p>
    <w:p>
      <w:pPr>
        <w:spacing w:after="100"/>
      </w:pPr>
      <w:r>
        <w:t xml:space="preserve">El foso es institucional más que económico: descansa en la preferencia del Estado por un integrador nacional. Lo erosionarían (1) un cambio de política que reparta los PEM entre Indra, EM&amp;E, Santa Bárbara y Navantia —el recurso de Santa Bárbara apunta ahí [1]—; (2) la entrada de los grandes europeos con socios locales (Leonardo-IDV en el VACIM ya va con Indra, Rheinmetall o KNDS podrían ir con otros); y (3) en TI, la compresión de precios por la IA. Probabilidad media en (1) y (3), baja en (2) a dos años.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2021-2025: ingresos </w:t>
      </w:r>
      <w:r>
        <w:rPr>
          <w:b/>
          <w:bCs/>
        </w:rPr>
        <w:t xml:space="preserve">12,6 %</w:t>
      </w:r>
      <w:r>
        <w:t xml:space="preserve">, EBITDA </w:t>
      </w:r>
      <w:r>
        <w:rPr>
          <w:b/>
          <w:bCs/>
        </w:rPr>
        <w:t xml:space="preserve">16,2 %</w:t>
      </w:r>
      <w:r>
        <w:t xml:space="preserve">, BPA </w:t>
      </w:r>
      <w:r>
        <w:rPr>
          <w:b/>
          <w:bCs/>
        </w:rPr>
        <w:t xml:space="preserve">34,7 %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un 12,6 % anual entre 2021 y 2025, hasta 5.457 M, y el EBITDA un 16,2 % [1-4]. En 2025 el crecimiento fue del 12,7 % (14,2 % en moneda local), del que el 9 % fue orgánico: Defensa +17 %, ATM +9 %, Movilidad +8 % y Minsait +6 % [10]. El margen EBITDA subió 140 pb en cuatro años (10,3 % → 11,7 %) por la mezcla hacia Defensa (EBIT del 16,5 % frente al 6,6 % de Minsait) [1]. 2026 es un año de salto de perímetro: Hispasat e Hisdesat (277 M de ingresos anuales) y TESS todo el año [1]; en el 1S26 las compras aportaron 377 M de ventas y el crecimiento orgánico fue del 16 % [8]. El BPA de 2025 (2,48 €, +57 %) no es comparable: incluye 99,6 M de plusvalía contable por revalorizar la participación previa en TESS [1]. Sin ella, el resultado financiero habría sido negativo (−28 M) y el beneficio, unos 340 M (estimación propia, sin efecto fiscal).</w:t>
      </w:r>
    </w:p>
    <w:p>
      <w:pPr>
        <w:pStyle w:val="Heading2"/>
      </w:pPr>
      <w:r>
        <w:t xml:space="preserve">Ajustes y partidas no recurrentes</w:t>
      </w:r>
    </w:p>
    <w:p>
      <w:pPr>
        <w:spacing w:after="100"/>
      </w:pPr>
      <w:r>
        <w:t xml:space="preserve">Usamos cifras reportadas. Indra publica un «margen operativo» que suma al EBIT los costes extraordinarios: 73 M en 2025 (reestructuración de plantilla, amortización de intangibles de compras, pagos en acciones) y 74 M en 2024 [1]; los de reestructuración se repiten todos los años (17 M en el 1S26 y 20 M en el 1S25) [8], así que no los consideramos extraordinarios. Partidas no recurrentes: plusvalía de 99,6 M por TESS en 2025 (resultado financiero) [1] y plusvalía de 7 M por la venta de BPO en el 1S26 [8]. El FCF que publica Indra resta los anticipos PEM y considera un factoring constante de 187 M [6].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presentación del 1S26 (23-jul-2026), la primera de Josep Maria Recasens, el mensaje fue continuidad con disciplina: se reiteraron los tres objetivos de 2026 (ingresos &gt; 7.000 M, EBIT &gt; 700 M y FCF &gt; 375 M sin PEM) y se habló de «excelencia en la ejecución» como prioridad de gestión [8]. Las cifras que destacó la dirección: 43 VCR 8x8 entregados en el semestre frente a 41 en todo 2025, el primer radar para la FAA y acuerdos con BAE Systems, Rheinmetall, NATS, IDV y Kongsberg [7]. En febrero, con De los Mozos, el tono era de crecimiento y escala («hemos cumplido Leading the Future con un año de antelación») [10], y la operación con EM&amp;E seguía en análisis: el consejo la había declarado coherente con la estrategia el 10-dic-2025 [1]. Entre una y otra cambió el discurso: de la operación con EM&amp;E a «tejer alianzas» y «vertebrar el ecosistema español», sin mencionar a EM&amp;E ni dar fecha del nuevo plan estratégico [8]. Lo que la nota no resuelve: (1) el FCF del semestre sin PEM y con factoring normal fue de solo 15 M frente a 1.487 M reportados [6]; (2) el margen de TESS diluye el grupo (14,4 % frente a 15,3 % sin TESS) [8]; y (3) Movilidad gana un 1,8 % EBIT [14]. No hay transcripción pública para ver qué preguntaron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(2025: Hispasat e Hisdesat se consolidan desde el 30-dic-2025, de modo que el balance de 2025 los incluye y la cuenta de 2025 no; TESS se consolida desde junio de 2025 [1]. Los ratios de 2025 que cruzan balance y cuenta (rotación, días de circulante, deuda neta/EBITDA, ROIC, Beneish) no son comparables con los anteriores.).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cambió de escala en 2025: el activo pasó de 4.956 a 9.135 M por Hispasat (982 M de inmovilizado material) y TESS [1]. La deuda financiera subió a 1.583 M por el préstamo de Hispasat, y la deuda neta del motor (con arrendamientos) a 775 M, 1,22 veces el EBITDA, pero esa ratio mezcla un balance con Hispasat y una cuenta sin él. A junio de 2026, la caja de 2.474 M deja una caja neta contable de 846 M, que no es real: tras sumar 1.541 M de pasivos asimilables a deuda (los 1.472 M de anticipos PEM directos, la opción de venta sobre Hisdesat y los pagos aplazados de compras), la deuda neta ajustada es de 695 M, 0,8 veces el EBITDA LTM (motor). El circulante comercial pasó del 2,4 % al 12,4 % de las ventas en 2025 por las existencias y deudores de TESS y por 222 M facturados en diciembre a las UTE de los PEM y cobrados en enero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1.252</w:t>
      </w:r>
      <w:r>
        <w:t xml:space="preserve">, conversión </w:t>
      </w:r>
      <w:r>
        <w:rPr>
          <w:b/>
          <w:bCs/>
        </w:rPr>
        <w:t xml:space="preserve">101 %</w:t>
      </w:r>
      <w:r>
        <w:t xml:space="preserve"> del beneficio neto; adquisiciones 1.258, dividendos 159, recompras 99.</w:t>
      </w:r>
    </w:p>
    <w:p>
      <w:pPr>
        <w:spacing w:after="100"/>
      </w:pPr>
      <w:r>
        <w:t xml:space="preserve">La conversión de beneficio en caja es buena: el flujo operativo acumulado de 2021-2025 es 1,65 veces el beneficio neto, y el FCF después de intereses y arrendamientos suma 1.252 M, el 101 % del beneficio. El FCF que publica Indra (364 M en 2025) es mayor que el del motor (293 M) porque suma intereses cobrados (31 M) y subvenciones de capital (41 M) [1]. El capex se ha multiplicado: del 1,5 % de las ventas en 2021 al 2,5 % en 2025 y 205 M brutos solo en el 1S26 (136 M de material) por las fábricas de vehículos y los satélites [6]. Indra no separa capex de mantenimiento y de crecimiento; estimamos que el de mantenimiento ronda las amortizaciones de 2025 sin Hispasat (≈ 2,2 % de las ventas) y que el resto es crecimiento (estimación propia). El año anómalo es 2026: 1.487 M de FCF reportado en el 1S26, de los que solo 15 M serían recurrentes [6].</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2024 según el IAGC; cuentas de 2025 aprobadas por la junta)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Deloitte audita a Indra desde 2016 (10 años) y cobra 4,3 M, de los que 0,56 M son servicios distintos de auditoría (16 % de los honorarios de auditoría) [1, 15]. No hay cambios de criterio contable relevantes. Tres asuntos que vigilar: (1) los ingresos por grado de avance son pocos (2-7 % por segmento) y el resto se reconoce por hitos [1]; (2) la asignación del precio de TESS, Hispasat y AERTEC es provisional y genera 405 M de fondo de comercio nuevo [1]; (3) la baja del satélite SpainSat NG-II de Hisdesat (352 M) se compensó con un derecho de cobro al seguro neteado del préstamo del Ministerio [1]. Los indicadores del motor están distorsionados por el perímetro: el </w:t>
      </w:r>
      <w:r>
        <w:rPr>
          <w:b/>
        </w:rPr>
        <w:t xml:space="preserve">Beneish M de −1,67</w:t>
      </w:r>
      <w:r>
        <w:t xml:space="preserve"> supera el umbral de −1,78 por el índice de amortización (DEPI de 5,04: el inmovilizado se multiplica por diez con Hispasat sin su amortización en la cuenta) y por el de clientes (DSRI de 1,34, con 222 M facturados a los PEM en diciembre) [1]; no vemos manipulación. El </w:t>
      </w:r>
      <w:r>
        <w:rPr>
          <w:b/>
        </w:rPr>
        <w:t xml:space="preserve">Altman Z de 1,97</w:t>
      </w:r>
      <w:r>
        <w:t xml:space="preserve"> (zona gris) refleja que los anticipos PEM y de TESS figuran como pasivo. El </w:t>
      </w:r>
      <w:r>
        <w:rPr>
          <w:b/>
        </w:rPr>
        <w:t xml:space="preserve">Piotroski F es de 5 sobre 9</w:t>
      </w:r>
      <w:r>
        <w:t xml:space="preserv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 de 99,6 M por revalorizar TESS en el resultado financiero de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 el BPA de 2025 un 23 % (estimación propia)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Asignaciones del precio de compra provisionales (TESS, Hispasat, AERTEC)</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1.444 M a diciembre de 2025; posibles ajustes en 2026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PEM que inflan la caja y el FCF reportado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1.487 M de FCF en el 1S26 frente a 15 M recurrentes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SpainSat NG-II dado de baja y cubierto por seguro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Derecho de cobro de 352 M neteado del pasivo con el Ministerio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 del factoring sin recurso (de 187 M a 0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Reduce la dependencia del factoring; Indra ajusta su FCF por ello [6]</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23,3 % · </w:t>
      </w:r>
      <w:r>
        <w:rPr>
          <w:b/>
          <w:bCs/>
        </w:rPr>
        <w:t xml:space="preserve">WACC</w:t>
      </w:r>
      <w:r>
        <w:t xml:space="preserve">: 9,1 %.</w:t>
      </w:r>
    </w:p>
    <w:p>
      <w:pPr>
        <w:spacing w:after="100"/>
      </w:pPr>
      <w:r>
        <w:t xml:space="preserve">Indra crea valor desde 2021: el ROIC del motor pasó del 14,8 % en 2021 al 22,8 % en 2024, muy por encima de un WACC del 9,1 %. En 2025 baja al 18,5 % por un efecto contable (el capital invertido incluye Hispasat y TESS a final de año sin su beneficio), y el ROIC incremental de 2021-2025 es del 23,3 %, lo que indica que el crecimiento reciente ha rendido. El ROIC lo mueve la rotación más que el margen: un negocio de servicios con circulante negativo o bajo (2,4 % de las ventas en 2024) y poco capital fijo. Eso cambia con Hispasat (satélites) y las fábricas de vehículos: el ROIC de 2026-2027 será menor aunque el margen suba. Frente a los comparables, el ROIC de 2025 (18,5 %) supera la mediana (12,6 %) y solo lo superan Thales (22,8 %) y Rheinmetall (18,7 %) [27].</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2.473,5 M (jun-26, inflada por 1.909 M de anticipos PEM) + líneas de crédito no dispuestas 1.175,4 M (dic-25) + línea BEI de 385 M para I+D firmada en jul-25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Hay pasivos que no están en la deuda que publica Indra (1.459 M a junio de 2026) [6]: anticipos PEM de 1.909 M (1.472 M directos y 437 M vía UTE) y anticipos de TESS e Hisdesat de 1.688 M, préstamos a tipo cero que se compensan con los cobros de los programas [5, 6]. La opción de venta de Airbus y Sener sobre su participación en Hisdesat (26,4 M) y los pagos aplazados de compras (earn-outs de CLUE 20,6 M, Nexus 14,5 M, AERTEC 4,6 M e ICA 3,1 M) son deuda asimilable [1]. El préstamo sindicado de 700 M de Hispasat tiene un covenant financiero, cumplido a diciembre de 2025, y un tramo de 200 M que vence a un año [1]. Litigios posibles no provisionados: 102 M, incluidos 14,8 M del caso Ecuador [1]. Factoring sin recurso: 0 M a junio de 2026 frente a 187 M históricos [6]. Línea de confirming para proveedores [1].</w:t>
      </w:r>
    </w:p>
    <w:p>
      <w:pPr>
        <w:pStyle w:val="Heading1"/>
      </w:pPr>
      <w:r>
        <w:t xml:space="preserve">12. Asignación de capital</w:t>
      </w:r>
    </w:p>
    <w:p>
      <w:pPr>
        <w:pStyle w:val="Confianza"/>
        <w:spacing w:after="100"/>
      </w:pPr>
      <w:r>
        <w:t xml:space="preserve">Confianza: Media</w:t>
      </w:r>
    </w:p>
    <w:p>
      <w:pPr>
        <w:spacing w:after="100"/>
      </w:pPr>
      <w:r>
        <w:t xml:space="preserve">Dividendo en efectivo de 0,30 € por acción con cargo a 2025 (pagado el 9-jul-2026), frente a 0,25 € en los tres años anteriores [17]; el payout es del 12 %, bajo para un IBEX. No hay programa de recompra: la autocartera (1,53 M de acciones) se usa para el contrato de liquidez y la entrega de acciones a directivos, con un programa temporal de 235.000 acciones en marzo de 2026 [5]. La prioridad declarada de la caja es invertir en capacidad industrial de defensa y en compras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Hispasat (89,68 %) e Hisdesat (control)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sindicado de 700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190 M de ingresos y 40,5 % de margen EBITDA en Espacio en el 1S26; pérdida previa del SpainSat NG-II cubierta por seguro [1,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TESS Defence (26,3 % adicional, hasta el 51 %)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 vehículos 8x8 (43 entregados en el 1S26) pero diluye el margen: 15,3 % sin TESS frente a 14,4 % [7,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AERTEC Defence and Aerial Systems (drones)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(25,5 M + 4,6 M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Demasiado pronto; 4,6 M de ingresos anuales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 Nav y Global ATS (simulación ATM,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ATM; 16 M de ingresos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Deimos, CLUE, MQA, GTA y Cumpsa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earn-outs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earn-out de CLUE de 20,6 M pendiente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Tecnocom (servicios TI)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Integrada en Minsait [42]</w:t>
            </w:r>
          </w:p>
        </w:tc>
      </w:tr>
    </w:tbl>
    <w:p>
      <w:pPr>
        <w:spacing w:after="160" w:before="0"/>
      </w:pPr>
    </w:p>
    <w:p>
      <w:pPr>
        <w:spacing w:after="100"/>
      </w:pPr>
      <w:r>
        <w:t xml:space="preserve">En 2021-2025 Indra generó 1.252 M de FCF y dedicó 1.258 M a compras, 159 M a dividendos y 99 M a recompras netas: la caja se ha ido a crecer, no a remunerar. El ROIC incremental del 23,3 % avala las compras pequeñas y el crecimiento orgánico, pero las dos grandes de 2025 aún no tienen historia: Hispasat se pagó a 6,9 veces un EBITDA de más de 140 M (estimación de Fitch) [19, 36] y TESS diluye márgenes. No ha habido dilución (las acciones bajaron de 193 a 175 M al amortizarse el convertible). La gran incógnita de asignación de capital es la operación con EM&amp;E, empresa de la familia del anterior presidente: la SEPI la frenó por conflicto de interés y la dirección actual habla de «alianzas» [8, 39].</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 Maria Recasens Laguarda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 de Renault desde 2021 (estrategia, presidente de Renault Iberia, Ampere) y presidente de Anfac [40]. Sin historial en defensa ni en servicios TI; en el cargo desde el 17-jun-2026.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Ángel Simón Grimaldos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(«otro externo»)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 industrial procedente de Aguas de Barcelona [40]; nombrado el 2-abr-2026 a propuesta de la SEPI tras la dimisión de Ángel Escribano y ratificado por la junta [8,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Virginia Arce Peralta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y consejera independiente coordinadora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2022; coordina a los independientes y estuvo en las comisiones de auditoría, nombramientos y retribuciones en 2025 [15,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Ramón Hernández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Defensa y Espacio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división que lleva 11.746 M de cartera y el 52 % del EBIT del 1S26 [7,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Luis Fernández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Minsait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el negocio de TI (1.541 M de ingresos en el 1S26) en plena reducción de plantilla y venta de negocios no estratégicos [14,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Miguel Forteza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Figura como director financiero en el comité de dirección publicado en la web [18]; no hemos encontrado su trayectoria ni su fecha de nombramiento.</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&gt; 4.000 M; EBIT &gt; 315 M; FCF &gt; 200 M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4.343 M; 347 M; 312 M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&gt; 4.650 M; EBIT &gt; 400 M; FCF &gt; 250 M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4.843 M; 438 M; 328 M [1,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&gt; 5.200 M (moneda local); EBIT &gt; 490 M; FCF &gt; 300 M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5.530 M; 517 M; 319 M sin TESS ni Hispasat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«Leading the Future»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 da por cumplido en 2025, con un año de antelación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&gt; 7.000 M; EBIT &gt; 700 M; FCF &gt; 375 M sin PEM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3.179 M; 316 M; 15 M sin PEM [6,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anterior tiene un historial limpio: superó las guías de 2023, 2024 y 2025 por un 6-10 % [3, 10]. El problema es la estabilidad: en dieciocho meses Indra ha tenido tres presidentes (Murtra hasta enero de 2025, Escribano hasta abril de 2026 y Simón) y dos consejeros delegados (De los Mozos y Recasens desde junio de 2026) [5, 16]. El equipo actual no tiene un año de historial, ni en defensa ni con el mercado, y el nuevo plan estratégico está en elaboración [5]. Para cumplir la guía de 2026 hace falta un segundo semestre fuerte: EBIT de más de 384 M frente a 316 M en el primero, y unos 360 M de FCF sin PEM frente a 15 M [8].</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Ángel Simón Grimaldos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 Maria Recasens Laguarda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Virginia Arce Peralta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y consejera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Belén Amatriain Corbi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Cumplimiento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Jokin Aperribay Bedialauneta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(Sapa)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Magdalena Bertram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(Amber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Cumplimiento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Teresa Busto del Castillo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Antonio Cuevas Delgado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(SEPI)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Aránzazu Díaz-Lladó Prado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Cumplimiento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Eva María Fernández Góngora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Cumplimiento y Sostenibilidad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Moscoso del Prado Hernández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(SEPI)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 Oriol Piña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Miguel Sebastián Gascón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(SEPI)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Cumplimiento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Bernardo Villazán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Retribuciones y Gobierno Corporativo (presidente)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59,9 %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2024 según el IAGC; cuentas de 2025 aprobadas por la junta)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1.322,00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SEPI (Estado)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Pública, dominical (3 consejeros)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Sapa Placencia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dominical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socio de TESS [1,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Amber Capital (J. Oughourlian)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dominical desde 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gana un consejero en la junta de 2026 [5, 17]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desde el 3,05 % de diciembre de 2025 [1,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Advanced Engineering &amp; Manufacturing (familia Escribano)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el 14,30 % el 5-may-2026 [5,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1,53 M de acciones a junio de 2026 [5]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Advanced Engineering &amp; Manufacturing (hermanos Escribano; Javier Escribano era consejero dominical)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25.260.000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1.322,00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 2025 (De los Mozos) devengó 1,886 M: 0,764 M fijos, 0,748 M de variable anual (cumplimiento del 116 %) y el resto en previsión y beneficios; el incentivo a medio plazo 2024-2026 se cobrará en 2027 [16]. Ese incentivo pondera un 20 % el retorno total para el accionista (absoluto y frente al IBEX), un 10 % el FCF acumulado y un 25 % el EBITDA y el EBIT acumulados, y exige un FCF acumulado de más de 630 M en 2024-2026 para pagar nada [16]. Hay cláusulas de malus y clawback, e indemnización de una anualidad para el consejero delegado [16]. El voto más bajo de las tres últimas juntas fue del 59,9 % a favor (informe de remuneraciones de 2024, junta de 2025), no por rechazo sino porque la SEPI se abstiene por política en todos los puntos de remuneración: su abstención fue el 96,5 % de las abstenciones [16]. La junta de 2026 aprobó una nueva política y un incentivo 2026-2030 [17].</w:t>
      </w:r>
    </w:p>
    <w:p>
      <w:pPr>
        <w:pStyle w:val="Heading2"/>
      </w:pPr>
      <w:r>
        <w:t xml:space="preserve">Operaciones vinculadas, estructura de control y defensas</w:t>
      </w:r>
    </w:p>
    <w:p>
      <w:pPr>
        <w:spacing w:after="100"/>
      </w:pPr>
      <w:r>
        <w:t xml:space="preserve">No hay accionista de control, pero la SEPI (28 %) es de facto el accionista de referencia: propuso al presidente tras forzar la salida de Ángel Escribano y tiene tres consejeros [8, 39]. Los estatutos no limitan el voto ni tienen clases de acciones [15], pero el régimen de inversiones extranjeras en defensa exige autorización previa al inversor extranjero e obliga a quien supere el 5 % sin autorización a renunciar al voto y al consejo [15]: es un blindaje legal frente a una OPA. Las operaciones vinculadas son relevantes: el Estado (AGE) facturó 856 M en 2025, y con la familia Escribano y Sapa Indra compartía TESS y las UTE de los PEM «Cadenas» y «Ruedas», con compras de 66,3 M en 2025 [1]. El conflicto de interés de la operación con EM&amp;E motivó la dimisión del presidente en 2026 [8, 39].</w:t>
      </w:r>
    </w:p>
    <w:p>
      <w:pPr>
        <w:pStyle w:val="Heading2"/>
      </w:pPr>
      <w:r>
        <w:t xml:space="preserve">Señales de alerta</w:t>
      </w:r>
    </w:p>
    <w:p>
      <w:pPr>
        <w:pStyle w:val="ListParagraph"/>
        <w:numPr>
          <w:ilvl w:val="0"/>
          <w:numId w:val="2"/>
        </w:numPr>
        <w:spacing w:after="60"/>
      </w:pPr>
      <w:r>
        <w:t xml:space="preserve">Tres presidentes y dos consejeros delegados en dieciocho meses; el actual consejero delegado lleva menos de cuatro meses [5, 16].</w:t>
      </w:r>
    </w:p>
    <w:p>
      <w:pPr>
        <w:pStyle w:val="ListParagraph"/>
        <w:numPr>
          <w:ilvl w:val="0"/>
          <w:numId w:val="2"/>
        </w:numPr>
        <w:spacing w:after="60"/>
      </w:pPr>
      <w:r>
        <w:t xml:space="preserve">Conflicto de interés del anterior presidente ejecutivo con EM&amp;E (empresa de su familia), que fue socio de Indra en TESS y en las UTE de los PEM [1, 39].</w:t>
      </w:r>
    </w:p>
    <w:p>
      <w:pPr>
        <w:pStyle w:val="ListParagraph"/>
        <w:numPr>
          <w:ilvl w:val="0"/>
          <w:numId w:val="2"/>
        </w:numPr>
        <w:spacing w:after="60"/>
      </w:pPr>
      <w:r>
        <w:t xml:space="preserve">Expedientes de la CNMC: sanción de 13,5 M recurrida en casación (aplicaciones informáticas) y nuevo expediente contra Prointec (enero de 2026) [1].</w:t>
      </w:r>
    </w:p>
    <w:p>
      <w:pPr>
        <w:pStyle w:val="ListParagraph"/>
        <w:numPr>
          <w:ilvl w:val="0"/>
          <w:numId w:val="2"/>
        </w:numPr>
        <w:spacing w:after="60"/>
      </w:pPr>
      <w:r>
        <w:t xml:space="preserve">Recurso de Santa Bárbara ante el Supremo contra los PEM adjudicados a Indra y EM&amp;E, con petición de suspensión cautelar [1].</w:t>
      </w:r>
    </w:p>
    <w:p>
      <w:pPr>
        <w:pStyle w:val="ListParagraph"/>
        <w:numPr>
          <w:ilvl w:val="0"/>
          <w:numId w:val="2"/>
        </w:numPr>
        <w:spacing w:after="60"/>
      </w:pPr>
      <w:r>
        <w:t xml:space="preserve">Posiciones cortas del 4,1 % del capital en abril de 2026 (AQR, CPPIB y WorldQuant) [37].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Objetivos de 2026, publicados el 25-feb-2026 y reiterados el 23-jul-2026: ingresos en moneda local de más de 7.000 M (con BPO hasta su venta), EBIT reportado de más de 700 M (sin la plusvalía de BPO) y FCF de más de 375 M, sin los anticipos PEM y con un factoring constante de 187 M [1, 8]. No hay objetivos a medio plazo vigentes: «Leading the Future» terminó y el nuevo plan estratégico está en elaboración, sin fecha publicada [5]. El consenso (7.045 M de ingresos y 709 M de EBIT en 2026) está pegado a la guía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6-oct-2026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6-oct-2026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6-oct-2026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50,00 – 85,00</w:t>
            </w:r>
          </w:p>
        </w:tc>
      </w:tr>
    </w:tbl>
    <w:p>
      <w:pPr>
        <w:spacing w:after="160" w:before="0"/>
      </w:pPr>
    </w:p>
    <w:p>
      <w:pPr>
        <w:pStyle w:val="Heading2"/>
      </w:pPr>
      <w:r>
        <w:t xml:space="preserve">Revisiones de estimaciones</w:t>
      </w:r>
    </w:p>
    <w:p>
      <w:pPr>
        <w:spacing w:after="100"/>
      </w:pPr>
      <w:r>
        <w:t xml:space="preserve">No hay un historial gratuito de estimaciones para medir las revisiones a 3 y 12 meses. Lo que sí se observa: la guía de 2026 no ha cambiado desde febrero [1, 8]; Morgan Stanley pasó a sobreponderar con un precio objetivo de 70 € en julio y Mediobanca bajó a neutral, mientras Goldman Sachs mantiene comprar con 85 € (el máximo) [25, 43]. Contrastamos dos fuentes: MarketScreener (16 analistas, precio objetivo medio de 67,12 €) [43] e Investing (12 comprar, 4 mantener y ninguno vender) [25]; usan la misma base de precios objetivo, así que no son independientes. Las estimaciones completas solo están en MarketScreener [23].</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48"/>
        <w:gridCol w:w="2095"/>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bl>
    <w:p>
      <w:pPr>
        <w:spacing w:after="160" w:before="0"/>
      </w:pPr>
    </w:p>
    <w:p>
      <w:pPr>
        <w:spacing w:after="100"/>
      </w:pPr>
      <w:r>
        <w:t xml:space="preserve">Indra ha sido el valor estrella del rearme europeo: +184 % en 2025, frente al +49 % del IBEX 35 [32], y +23 % en 2026 hasta el 5 de octubre frente a un +12 % del índice [23, 33]. El múltiplo explica la mayor parte: el EV/EBITDA de los últimos doce meses pasó de 5,7x a final de 2024 a 15,0x a final de 2025. El año ha sido volátil: mínimo de 38,40 € y máximo de 66,15 € en 52 semanas [25]; la acción cayó con la dimisión de Escribano y la retirada de EM&amp;E (un −5,95 % en una sesión de abril, con AQR en el 2,97 % de posición corta) y subió con la salida de la familia del capital [37, 38]. Beta de 1,00 a cinco años [26].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Indra cotiza a 13,4 veces el EBITDA de los últimos doce meses y a 23,8 veces el beneficio, frente a medias de 7,8x y 13,5x en 2021-2025: una prima del 72 % y del 76 %, en el percentil 80 y 100 de su historia. El cambio es estructural en parte: en 2021-2024 Indra era un integrador de TI con algo de defensa, con márgenes EBITDA del 10-11 % y crecimientos del 11-14 %; hoy Defensa y Espacio generan el 59 % del EBIT del 1S26 [7] y la cartera es de 3,3 años de ventas [8]. Sobre el EBITDA de los próximos 12 meses, el múltiplo baja a 10,2x, por debajo de la mediana de defensa europea.</w:t>
      </w:r>
    </w:p>
    <w:p>
      <w:pPr>
        <w:pStyle w:val="Heading1"/>
      </w:pPr>
      <w:r>
        <w:t xml:space="preserve">18. Comparables cotizados</w:t>
      </w:r>
    </w:p>
    <w:p>
      <w:pPr>
        <w:pStyle w:val="Confianza"/>
        <w:spacing w:after="100"/>
      </w:pPr>
      <w:r>
        <w:t xml:space="preserve">Confianza: Media</w:t>
      </w:r>
    </w:p>
    <w:p>
      <w:pPr>
        <w:spacing w:after="100"/>
      </w:pPr>
      <w:r>
        <w:t xml:space="preserve">Indra es mitad defensa y mitad TI, así que el panel mezcla seis empresas europeas de defensa y electrónica (Thales, Leonardo, Rheinmetall, BAE Systems, Hensoldt y Saab) y dos de servicios TI (Capgemini y Sopra Steria). Descartamos Airbus (aviación civil), Safran y Dassault (motores y aviones) y Accenture (escala y divisa). Los ratios LTM son de Stock Analysis y las estimaciones de MarketScreener a 6-oct-2026 [27, 28]; las definiciones de EBITDA de los dos proveedores no son idénticas.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Thales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Leonardo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Rheinmetall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BAE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Hensoldt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Capgemini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Sopra Steria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11,6x / 13,4x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 / 13,8x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 / 20,7x / 24,4x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 / 2,1x / 3,9x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8,8 + 0,20 × crecimiento; R² = 0,22. El crecimiento explica poco los múltiplos de estos comparables (R² &lt; 0,3): la regresión no se usa en la valoración.</w:t>
      </w:r>
    </w:p>
    <w:p>
      <w:pPr>
        <w:spacing w:after="100"/>
      </w:pPr>
      <w:r>
        <w:t xml:space="preserve">Indra cotiza a 10,2 veces el EBITDA de los próximos 12 meses y a 19,2 veces el beneficio, por debajo de la mediana del panel (11,6x y 20,7x) pese a crecer más (17,9 % frente a 13,9 %) y tener un ROIC mayor (18,5 % frente a 12,6 %). El descuento tiene dos explicaciones: Minsait, que vale como Capgemini y Sopra (6-7x), y el riesgo de gobierno y de concentración en el Estado español. La regresión de múltiplo sobre crecimiento no sirve (R² de 0,22): Saab y Hensoldt cotizan a 17-20x con crecimientos parecidos a los de Leonardo (10x). Aplicando la mediana, el valor por acción sería de 68,38 € por EV/EBITDA y de 64,40 € por PER, pero esa mediana es de empresas casi puras de defensa: para Indra preferimos la suma de partes, que pondera Minsait a su múltiplo.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Hispasat (89,68 %; operador de satélites, España)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Indra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Indra; EV de 966 M para el 100 % según Redeia [19] y EBITDA de 2024 de más de 140 M según Fitch [36]; ingresos de 277 M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Iveco Defence Vehicles y Astra (vehículos militares, Italia)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Leonardo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 de 15,7x (EBIT de 108 M en 2024); EBITDA no publicado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ESG Elektroniksystem- und Logistik (integrador de defensa,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Hensoldt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~14x EBITDA 2024e sin sinergias y ~10x con ellas; ingresos de 330 M en 2023 [21]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Imperva (ciberseguridad,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Thales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6,1x EV/ventas 2024e; 17x EBIT con sinergias [22]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TESS Defence (26,3 % adicional; vehículo 8x8, España)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106,7 M por el 26,3 %, con una plusvalía contable de 99,6 M sobre la participación previa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68,42 – 142,95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transacciones de defensa recientes se han pagado a 14x EBITDA (ESG, electrónica pura) y la de Hispasat a 6,9x, propia de un operador de satélites con activos pesados [19, 21, 36]. Solo dos operaciones publican EV/EBITDA, por lo que el método no entra en la síntesis. Indra no es candidata a una OPA: la SEPI tiene el 28 % y el régimen de inversiones en defensa exige autorización del Gobierno [15]. Es más probable como compradora (EM&amp;E, consolidación terrestre) que como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+29 %: guía de más de 7.000 M (consenso 7.045 M), que incluye Hispasat e Hisdesat (277 M anuales) y TESS todo el año [1, 23]. 2027e y 2028e +10 %, algo por debajo del consenso (+10,7 % y +12,4 %) porque descontamos la venta de BPO y de Minsait Business Consulting y una ejecución más lenta de los PEM [8, 23]. Después convergemos al 3 % en 2032: el ciclo de rearme tiene horizonte 2035 [1], pero la cartera de Defensa (6,5x ventas) se ejecuta en cinco o seis años.</w:t>
      </w:r>
    </w:p>
    <w:p>
      <w:pPr>
        <w:keepNext/>
        <w:spacing w:after="100"/>
      </w:pPr>
      <w:r>
        <w:rPr>
          <w:b/>
          <w:bCs/>
        </w:rPr>
        <w:t xml:space="preserve">Márgenes.</w:t>
      </w:r>
    </w:p>
    <w:p>
      <w:pPr>
        <w:spacing w:after="100"/>
      </w:pPr>
      <w:r>
        <w:t xml:space="preserve">Margen EBITDA del 13,6 % en 2026e (consenso 13,8 %; 14,4 % en el 1S26 con un 4T siempre fuerte) que sube al 15,0 % en 2029e por la mezcla: Defensa gana un 20,9 % EBITDA y Espacio un 40,5 %, frente al 8,1 % de Minsait [14, 23]. Lo dejamos por debajo del 15,2 % del consenso en 2028e porque TESS diluye (15,3 % sin TESS) y Movilidad está en el 3,6 % [8, 14].</w:t>
      </w:r>
    </w:p>
    <w:p>
      <w:pPr>
        <w:keepNext/>
        <w:spacing w:after="100"/>
      </w:pPr>
      <w:r>
        <w:rPr>
          <w:b/>
          <w:bCs/>
        </w:rPr>
        <w:t xml:space="preserve">Inversión y circulante.</w:t>
      </w:r>
    </w:p>
    <w:p>
      <w:pPr>
        <w:spacing w:after="100"/>
      </w:pPr>
      <w:r>
        <w:t xml:space="preserve">Amortizaciones del 3,8 % de las ventas en 2026e (4,4 % en el 1S26 con Hispasat y el efecto PPA) que bajan al 3,5 %. Capex del 5,0 % en 2026e (205 M brutos en el 1S26 para fábricas y satélites) [6] que baja al 3,8 % en 2032e, por encima de las amortizaciones. Circulante comercial del 12 % de las ventas, como el 12,4 % de 2025; los anticipos PEM se tratan como deuda en el puente y no como circulante.</w:t>
      </w:r>
    </w:p>
    <w:p>
      <w:pPr>
        <w:keepNext/>
        <w:spacing w:after="100"/>
      </w:pPr>
      <w:r>
        <w:rPr>
          <w:b/>
          <w:bCs/>
        </w:rPr>
        <w:t xml:space="preserve">Coste del capital.</w:t>
      </w:r>
    </w:p>
    <w:p>
      <w:pPr>
        <w:spacing w:after="100"/>
      </w:pPr>
      <w:r>
        <w:t xml:space="preserve">Tasa libre de riesgo del 4,08 % (bono español a 10 años el 6-oct-2026) [30]. Beta de 1,00 (cinco años, Stock Analysis) [26], coherente con una mezcla de defensa y TI. Prima de mercado del 5,5 % y prima adicional de 0,5 puntos por riesgo de ejecución y de gobierno (dependencia del Estado y rotación de la cúpula). Coste de la deuda del 3,5 % antes de impuestos (3,17 % pagado en 2025) [1] y peso de la deuda del 13 % a valor de mercado (1.627 M de deuda y arrendamientos frente a 10.459 M de capitalización). WACC resultante del 9,11 %.</w:t>
      </w:r>
    </w:p>
    <w:p>
      <w:pPr>
        <w:keepNext/>
        <w:spacing w:after="100"/>
      </w:pPr>
      <w:r>
        <w:rPr>
          <w:b/>
          <w:bCs/>
        </w:rPr>
        <w:t xml:space="preserve">Valor terminal.</w:t>
      </w:r>
    </w:p>
    <w:p>
      <w:pPr>
        <w:spacing w:after="100"/>
      </w:pPr>
      <w:r>
        <w:t xml:space="preserve">Crecimiento a perpetuidad del 2,5 %: inflación del 2 % y algo de crecimiento real del gasto en defensa, que tiene un objetivo hasta 2035 [1]. El múltiplo implícito en el Gordon es de 8,2 veces el EBITDA, por debajo del múltiplo de salida de referencia de 11x y de la mediana actual de los comparables (11,6x NTM): el terminal no es agresivo.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75,55</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(2026e-2032e)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 (base: 10,1 %)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 (base: 15,0 %)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 (WACC: 9,1 %)</w:t>
            </w:r>
          </w:p>
        </w:tc>
      </w:tr>
    </w:tbl>
    <w:p>
      <w:pPr>
        <w:spacing w:after="160" w:before="0"/>
      </w:pPr>
    </w:p>
    <w:p>
      <w:pPr>
        <w:spacing w:after="100"/>
      </w:pPr>
      <w:r>
        <w:t xml:space="preserve">El DCF da </w:t>
      </w:r>
      <w:r>
        <w:rPr>
          <w:b/>
        </w:rPr>
        <w:t xml:space="preserve">56,99 € por acción, un 4,6 % por debajo del precio</w:t>
      </w:r>
      <w:r>
        <w:t xml:space="preserve">, con un valor terminal que pesa el 71 % del valor empresa (10.571 M). La sensibilidad es alta: con el WACC ±1 punto el valor va de 50,97 € a 65,15 €. </w:t>
      </w:r>
      <w:r>
        <w:rPr>
          <w:b/>
        </w:rPr>
        <w:t xml:space="preserve">El DCF inverso dice que el precio de 59,72 € descuenta un crecimiento medio de las ventas del 11,1 % anual hasta 2032 (frente al 10,1 % de nuestro caso base) o un margen EBITDA final del 15,5 % (frente al 15,0 %)</w:t>
      </w:r>
      <w:r>
        <w:t xml:space="preserve">; dicho de otro modo, el mercado acepta una rentabilidad del 8,8 %, por debajo de nuestro WACC del 9,11 % y por encima del 7,98 % que resulta de la prima implícita del mercado (4,20 %) [44], con la que el DCF sube a 69,95 €. No es exigente frente a la historia —Indra creció un 12,6 % anual en 2021-2025—, pero sí lo es frente al perímetro: ese crecimiento ya incluía compras, y el de 2026 (+29 %) es en un tercio inorgánico [8]. El precio descuenta, en esencia, que el consenso se cumple hasta 2028 (EBITDA de 1.329 M, margen del 15,2 %) [23] y que el ciclo de defensa se mantiene después. Con nuestro WACC no vemos margen de seguridad; con el del mercado, uno pequeño.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PEM se retrasan o se reparten (recurso de Santa Bárbara, cambio de Gobierno), TESS y Movilidad sufren sobrecostes y Minsait pierde precio por la IA: crecimiento 3 puntos menor cada año, margen 2 puntos menor y WACC +0,5. Las señales ya existen: Movilidad gana un 1,8 % EBIT y TESS resta 0,9 puntos al margen del grupo [8, 14].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y el consenso hasta 2027, con un margen EBITDA que llega al 15 % en 2029 por la mezcla hacia Defensa y Espacio.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España acelera hacia el 3,5 % del PIB, Indra gana más programas europeos (radares, defensa aérea) y vende o separa Minsait: crecimiento 2,5 puntos mayor y margen 1,5 puntos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59,7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55,64 EUR (-6,8 %).</w:t>
      </w:r>
    </w:p>
    <w:p>
      <w:pPr>
        <w:spacing w:after="100"/>
      </w:pPr>
      <w:r>
        <w:t xml:space="preserve">La asimetría es desfavorable: el alcista da 73,93 € (+23,8 %) y el bajista 34,64 € (−42,0 %), una relación de 0,57 veces. El valor ponderado (25/50/25) es de 55,64 €, un 6,8 % por debajo del precio. El bajista es verosímil: no exige una crisis, solo que el 2,0 % del PIB en defensa no siga subiendo y que la ejecución de los nuevos programas industriales cueste más de lo previsto, algo que ya muestran el margen de TESS y el de Movilidad [8, 14].</w:t>
      </w:r>
    </w:p>
    <w:p>
      <w:pPr>
        <w:pStyle w:val="Heading1"/>
      </w:pPr>
      <w:r>
        <w:t xml:space="preserve">22. Suma de partes</w:t>
      </w:r>
    </w:p>
    <w:p>
      <w:pPr>
        <w:pStyle w:val="Confianza"/>
        <w:spacing w:after="100"/>
      </w:pPr>
      <w:r>
        <w:t xml:space="preserve">Confianza: Baja</w:t>
      </w:r>
    </w:p>
    <w:p>
      <w:pPr>
        <w:spacing w:after="100"/>
      </w:pPr>
      <w:r>
        <w:t xml:space="preserve">La suma de partes da 54,23 € por acción (de 48,68 € a 59,78 € con ±1 vez en todos los múltiplos), un 9,2 % por debajo del precio. Defensa vale unos 6.050 M de valor empresa, el 60 % del total, y Minsait 1.720 M, unas 0,55 veces sus ventas. El mensaje es que el mercado ya paga Defensa a múltiplos de los mejores europeos y Minsait a múltiplo de TI: la «liberación de valor» por separar Minsait daría poco, salvo que se venda por encima de 7x. No aplicamos descuento de conglomerado porque los múltiplos de cada parte ya son conservadores.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Defensa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6.048</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1S26 de 203 M escalado al año con el peso del 1S en el EBITDA anual de consenso (estimación propia); 14x, entre Thales/BAE/Leonardo (10-12x NTM) y Hensoldt/Saab (18-20x), por un crecimiento del 103 % en el 1S26 [14, 27, 28]</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Espacio (Hispasat, Hisdesat)</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1S26 de 77 M anualizado (estimación propia); 7x, en línea con el 6,9x pagado por Hispasat [14, 19, 36]</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Aéreo</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1S26 de 46 M anualizado (estimación propia); 11x, por su crecimiento del 16 % y un margen del 15 % [14]</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Movilidad</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1S26 de 6 M anualizado (estimación propia); 7x por su margen del 3,6 % [14]</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Minsait</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del 1S26 de 124 M anualizado (estimación propia); 6,5x, entre Capgemini (6,7x) y Sopra Steria (5,8x) [14, 28]</w:t>
            </w:r>
          </w:p>
        </w:tc>
      </w:tr>
    </w:tbl>
    <w:p>
      <w:pPr>
        <w:spacing w:after="160" w:before="0"/>
      </w:pPr>
    </w:p>
    <w:p>
      <w:pPr>
        <w:spacing w:after="100"/>
      </w:pPr>
      <w:r>
        <w:rPr>
          <w:b/>
          <w:bCs/>
        </w:rPr>
        <w:t xml:space="preserve">Valor por acción por suma de partes:</w:t>
      </w:r>
      <w:r>
        <w:t xml:space="preserve"> 54,23 (-9,2 %); con ±1x en los múltiplos, 45,59 – 62,87.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59,7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58,59 EUR (-1,9 % sobre 59,72).</w:t>
      </w:r>
    </w:p>
    <w:p>
      <w:pPr>
        <w:spacing w:after="100"/>
      </w:pPr>
      <w:r>
        <w:t xml:space="preserve">Pesos: DCF 35 %, escenarios 25 %, comparables 25 % y suma de partes 15 %; transacciones 0 % porque solo dos operaciones publican múltiplo y no esperamos una OPA. El DCF y los escenarios recogen el riesgo de ejecución que los múltiplos de mercado no ven; los comparables (66,39 €) están sesgados al alza por empresas casi puras de defensa, y la suma de partes (54,23 €) corrige ese sesgo. La dispersión entre métodos es de 54 € a 66 € y el precio (59,72 €) queda en el medio: el valor objetivo de 58,59 € está un 1,9 % por debajo. Con la prima implícita del mercado (4,20 %) [44], el DCF y los escenarios se recalculan con un WACC del 7,98 % y el objetivo sube a 66,22 € (+10,9 %), casi el del consenso. La confianza es media: los datos son buenos, pero el puente depende de cómo se traten 3.600 M de anticipos públicos.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octubre de 2026 (fecha no publicada)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guía: hace falta un 2S con más de 384 M de EBIT y unos 360 M de FCF sin PEM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 (estimación)</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Presentación del nuevo plan estratégico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a 2030 y política de capital; posible decisión sobre Minsait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Minsait Business Consulting a Waterland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Simplificación; importe no publicado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sobre una operación con EM&amp;E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vehículos y munición, pero riesgo de precio y de conflicto de interés [39]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 del Supremo sobre la suspensión cautelar pedida por Santa Bárbara contra los PEM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sobre los programas Cadenas y Ruedas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tramo de 200 M del préstamo de Hispasat y de bonos por 60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sin problema con 2.474 M de caja [1,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ejercicio completo con Hispasat y TESS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del presupuesto de defensa español y de los PEM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Político / 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−42 %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20.533 M ya contratada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Contratación de Defensa trimestral y prórroga presupuestaria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los programas industriales (TESS, vehículos, satélites)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por cada 2 pp de margen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Experiencia en Eurofighter y radares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grupo sin TESS frente a con TESS [8]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inestabilidad de la cúpula e influencia del Estado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con un 50 % de independientes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cambios en el consejo o en la dirección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Operación con EM&amp;E a un precio alto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 (sin términos publicados)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la familia Escribano del capital y del consejo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Comunicación de otra información relevante sobre EM&amp;E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 la caja: el FCF reportado incluye anticipos PEM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si el puente restara también los 437 M de UTE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Indra publica el FCF sin PEM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FCF sin PEM del 2S26 frente a la guía de 375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Minsait: presión de precios por la IA y pérdida de cuota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(−1x en el múltiplo de Minsait en la suma de partes)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BPO y consultoría; reducción del 12 % de la plantilla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Minsait por debajo del 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y competencia: recurso de Santa Bárbara, CNMC (Prointec) y 102 M de litigios posibles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los considera no materiales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Medida cautelar del Supremo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Integración de Hispasat e Hisdesat (pérdida del SpainSat NG-II)</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(−1x en el múltiplo de Espacio)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Seguro de 352 M a favor del Ministerio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orgánicos de Espacio (−14 % en el 1S26) [8]</w:t>
            </w:r>
          </w:p>
        </w:tc>
      </w:tr>
    </w:tbl>
    <w:p>
      <w:pPr>
        <w:spacing w:after="160" w:before="0"/>
      </w:pPr>
    </w:p>
    <w:p>
      <w:pPr>
        <w:pStyle w:val="Heading2"/>
      </w:pPr>
      <w:r>
        <w:t xml:space="preserve">Pre-mortem</w:t>
      </w:r>
    </w:p>
    <w:p>
      <w:pPr>
        <w:spacing w:after="100"/>
      </w:pPr>
      <w:r>
        <w:t xml:space="preserve">Octubre de 2029: Indra vale 36 €, un 40 % menos. La historia más probable empieza en 2027. El Gobierno prorroga los presupuestos y el Supremo admite parte del recurso de Santa Bárbara: los programas «Cadenas» y «Ruedas» se reparten y los nuevos PEM se licitan con más competidores. La contratación de Defensa cae a un book-to-bill inferior a 1x y el mercado deja de pagar el crecimiento. Al mismo tiempo, la producción de vehículos de TESS y de las nuevas fábricas se retrasa y genera sobrecostes: el margen EBITDA del grupo se queda en el 13 % en lugar de subir al 15 %. Minsait, presionada por la IA, crece un 0-2 % y su margen no pasa del 8 %. Para colmo, la dirección cierra una compra grande (EM&amp;E o una empresa de munición) pagando 14x EBITDA con deuda, y el FCF sin PEM no supera los 300 M. El múltiplo vuelve hacia la media histórica (de 10x a 8x EBITDA) sobre un EBITDA un 10 % inferior al consenso. Los indicadores que lo habrían anticipado: el FCF sin PEM del 1S26 (15 M frente a 1.487 M reportados), la dilución de margen de TESS y la rotación de presidentes y consejeros delegados.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Sustainability Yearbook 2025; en el DJSI 19 años seguidos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Entre las empresas líderes en clima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2025-02</w:t>
            </w:r>
          </w:p>
        </w:tc>
      </w:tr>
    </w:tbl>
    <w:p>
      <w:pPr>
        <w:spacing w:after="160" w:before="0"/>
      </w:pPr>
    </w:p>
    <w:p>
      <w:pPr>
        <w:pStyle w:val="Heading2"/>
      </w:pPr>
      <w:r>
        <w:t xml:space="preserve">Asuntos materiales</w:t>
      </w:r>
    </w:p>
    <w:p>
      <w:pPr>
        <w:spacing w:after="100"/>
      </w:pPr>
      <w:r>
        <w:t xml:space="preserve">Tres asuntos afectan a las cifras. (1) </w:t>
      </w:r>
      <w:r>
        <w:rPr>
          <w:b/>
        </w:rPr>
        <w:t xml:space="preserve">Exclusiones de inversores por armamento</w:t>
      </w:r>
      <w:r>
        <w:t xml:space="preserve">: Indra crea una división de armas y munición (Indra Weapons &amp; Ammunition, con AERTEC) [1] y fabrica vehículos de combate; eso puede sacarla de fondos con exclusiones, aunque hoy está en el DJSI y tiene MSCI AA [41]. (2) </w:t>
      </w:r>
      <w:r>
        <w:rPr>
          <w:b/>
        </w:rPr>
        <w:t xml:space="preserve">Capital humano</w:t>
      </w:r>
      <w:r>
        <w:t xml:space="preserve">: el personal es el 52 % de los ingresos y la plantilla de Minsait baja un 12 % en un año [1, 7]. (3) </w:t>
      </w:r>
      <w:r>
        <w:rPr>
          <w:b/>
        </w:rPr>
        <w:t xml:space="preserve">Clima</w:t>
      </w:r>
      <w:r>
        <w:t xml:space="preserve">: objetivo de cero emisiones netas en 2040 validado por SBTi, −43,9 % de emisiones de alcance 1 y −77,5 % de alcance 2 frente a 2019 [1].</w:t>
      </w:r>
    </w:p>
    <w:p>
      <w:pPr>
        <w:pStyle w:val="Heading2"/>
      </w:pPr>
      <w:r>
        <w:t xml:space="preserve">Controversias</w:t>
      </w:r>
    </w:p>
    <w:p>
      <w:pPr>
        <w:spacing w:after="100"/>
      </w:pPr>
      <w:r>
        <w:t xml:space="preserve">Sanción de la CNMC de 13,5 M (2018) por prácticas anticompetitivas en licitaciones informáticas, confirmada por la Audiencia Nacional y recurrida en casación; sanción de 27 M a Indra Business Consulting (2021); nuevo expediente contra Prointec (enero de 2026) [1]. El conflicto de interés del presidente con EM&amp;E (2025-2026) es la controversia de gobierno más relevante [39].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de la caja de 2.474 M a junio corresponde a anticipos PEM aún no gastados, y cuál es la deuda neta «económica» que usa la dirección?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puente de valor en unos 1.500 M, ≈ 8,5 €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EBITDA tendrán los PEM y TESS cuando estén en velocidad de crucero?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TESS diluye 0,9 pp el margen del grupo en el 1S26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EM&amp;E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 viva la operación con EM&amp;E? ¿Con qué estructura y quién la valorará?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asignación de capital y de conflicto de interés.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Minsait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¿Contempla el nuevo plan vender o separar Minsait? ¿A qué valor?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suma de partes la valora a 6,5x EBITDA; una venta por encima de 8x cambiaría la tesis.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estratégico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presentará y con qué objetivos de margen y FCF a 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objetivos a medio plazo vigentes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de 2026-2028 dependen de los programas Cadenas y Ruedas recurridos por Santa Bárbara?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suspensión cautelar afectaría a la cartera de Defensa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Espacio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caen un 14 % los ingresos orgánicos de Espacio y cómo afecta la pérdida del SpainSat NG-II al plan de Hisdesat?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Espacio genera un 40 % de margen EBITDA y vale unos 1.100 M en la suma de partes [8, 14].</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16 controles correctos. Fuentes: 44 (21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12,0 % frente a 12,4 % real: genera una variación de circulante de 168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0,22: el crecimiento no explica los múltiplos de estos comparables; no uses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Hensoldt (27,3x → 17,6x): el salto implica un crecimiento del EBITDA que no cuadra con el de las ventas. ¿EBITDA de proveedores distintos, o un cambio de perímetro?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 11, 12, 13, 24,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de 2021 con la segmentación actual (Defensa, ATM, Movilidad, Minsait)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2022, nota de segmentos: 2021 solo con la segmentación antigua (Transporte y Defensa / Minsait); 2) informe de gestión 2023: reexpresa 2022 pero no 2021; 3) presentaciones de resultados 2022: misma segmentación antigua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y CR5 del mercado relevante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gestión 2025: no publica cuotas; 2) EDA y OTAN: solo gasto agregado por país; 3) prensa sectorial: sin cuotas verificables por contratista en España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la estimación vigente; 2) Investing y Stock Analysis: sin historial de estimaciones; 3) prensa: cambios de recomendación (Morgan Stanley, Mediobanca) sin cifras de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en el capital del presidente, del consejero delegado y de la alta dirección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IAGC 2025 (apartado A.3): refleja el consejo a diciembre de 2025, anterior a la llegada de Simón y Recasens; 2) informe semestral 1S26: sin participaciones de consejeros; 3) registro de la CNMV: consulta dinámica no accesible (error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3T24 y 4T24, crecimiento orgánico trimestral y comparación con el consenso previo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2025-2026: el orgánico solo se publica acumulado; 2) notas de 2024 no enlazadas en la web de inversores (bloqueo antibot); 3) prensa: sin consenso previo trimestral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las dos últimas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Indra: solo la presentación y el enlace al webcast; 2) proveedores de transcripciones: de pago; 3) prensa económica: sin preguntas y respuestas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consejeros y directivos de los últimos 12 meses en el registro oficial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la CNMV: consulta por formulario dinámico, error 403; 2) web de Indra (otra información relevante): bloqueo antibot; 3) prensa: solo la venta del 14,3 % de la familia Escribano en mayo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total, rentabilidades a 3, 5 y 10 años, índice sectorial,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Factsheet de BME: solo el índice y a diciembre de 2025; 2) Stock Analysis e Investing: variación a 52 semanas, sin rentabilidad total ni volatilidad; 3) MarketScreener: cierres anuales desde 2021, sin dividendos ni volatilidad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Múltiplos históricos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y PER de los próximos 12 meses al cierre de cada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múltiplos sobre el ejercicio en curso; 2) informes anuales: solo cotización; 3) Stock Analysis: solo ratios actuales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EV/EBITDA de Iveco Defence, Imperva, TESS y de una tercera operación comparable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Leonardo, Thales e Indra: publican EV/ventas y EV/EBIT, no EV/EBITDA; 2) prensa italiana (Calcio e Finanza, Milano Finanza, Startmag): sin múltiplo verificable; 3) búsqueda de Chemring, Ultra Electronics y WNS: múltiplo no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crediticio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2025, nota de deuda: no menciona calificación; 2) informe semestral 1S26: tampoco; 3) búsqueda de calificaciones de Moody's, S&amp;P y Fitch sobre Indra: ninguna pública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contable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 auditoría de las cuentas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consolidadas publicadas: no incluyen el informe del auditor; 2) paquete ESEF de 2025: solo estados financieros; 3) IAGC 2025: confirma que las cuentas de 2024 no tuvieron salvedades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Puntuación de Sustainalytics y CDP con fecha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Sustainalytics: la puntuación no se muestra sin registro; 2) informe de sostenibilidad 2025: menciona índices sin notas; 3) comunicado del Sustainability Yearbook 2025: MSCI AA, sin puntuación de Sustainalytics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Ficha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los resultados de enero-septiembre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Agenda del inversor: bloqueo antibot; 2) WebFetch de la página de informes: sin 9M26; 3) prensa: sin fecha anunciada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e informe de gestión 2025 (memoria con notas 1-44, APM e informe de sostenibilidad)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https://www.indragroup.com/cms-content/2026/02/Memoria-Consolidado-FY-2025-2026-02-25-20-56.pdf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e informe de gestión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https://www.indragroup.com/cms-content/2025/06/memoria_consolidada_2024.pdf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e informe de gestión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https://www.indragroup.com/cms-content/2025/07/4_memoria_consolidada_2023.pdf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e informe de gestión 2022 (con comparativo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https://www.indragroup.com/cms-content/2025/07/4_memoria_consolidada_2022.pdf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intermedios resumidos consolidados e informe de gestión intermedio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https://www.indragroup.com/cms-content/2026/07/MEMORIA-SEMESTRAL.pdf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1S26 (nota a inversores con balance, flujos, circulante y APM)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https://www.indragroup.com/cms-content/2026/07/Rdos-1S26.pdf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1S26 (conference call)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https://www.indragroup.com/cms-content/2026/07/Conference-Call-1S26.pdf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prensa: resultados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https://www.indragroup.com/cms-content/2026/07/260723-NP-Indra-Group-Resultados-1S2026.pdf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https://www.indragroup.com/cms-content/2026/04/Rdos-1T26.pdf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https://www.indragroup.com/cms-content/2026/02/Rdos-FY25.pdf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9M25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https://www.indragroup.com/cms-content/2025/10/Rdos-9M25.pdf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https://www.indragroup.com/cms-content/2025/07/rdos_1s25.pdf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https://www.indragroup.com/cms-content/2025/07/rdos_1t25_0.pdf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Tablas de cuenta de resultados, balance y flujo de caja por negocios 1S26 (xls)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https://www.indragroup.com/cms-content/2026/07/PG_BS_CF_1S26_spa-1.xls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 (IAGC)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https://www.indragroup.com/cms-content/2026/03/iagc-202561594-2.pdf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 (IARC)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https://www.indragroup.com/cms-content/2026/03/IAR-202561595.1.pdf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la Junta General ratifica a Ángel Simón y a Josep Maria Recasens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https://www.indragroup.com/cms-content/2026/06/260630-NP-Indra-Group-Junta-General-de-Accionistas.pdf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Órganos de gobierno y comité de dirección (web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https://www.indragroup.com/es/accionistas/organos-gobierno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 refuerza su posición financiera tras la venta de Hispasat (valor empresa de 966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https://redeia.com/sites/default/files/paragraph/2025/01/file/20250131_NP_Hispasat.pdf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Leonardo to acquire Iveco Defence (EV 1.700 M€; ingresos 1.133 M€ y EBIT 108 M€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Leonardo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https://www.leonardo.com/documents/15646808/0/LDO_Iveco_CS_ENG_30_07_2025.pdf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HENSOLDT acquires ESG Elektroniksystem- und Logistik-GmbH (EV 675 M€ + earn-out 55 M€; ~14x EBITDA sin sinergias)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Defence Industry Europe / Hensoldt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https://defence-industry.eu/hensoldt-acquires-esg-elektroniksystem-und-logistik-gmbh/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 acquires Imperva for $3.6 billion (6,1x EV/ventas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Help Net Security / Thales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https://www.helpnetsecurity.com/2023/07/25/thales-imperva-acquisiton-3-6-billion/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estimaciones de consenso 2026-2028,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https://www.marketscreener.com/quote/stock/INDRA-SISTEMAS-413470/finances/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tabla de valoración histórica 2021-2028 (capitalización, EV, múltiplos, cotización de cierre)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https://www.marketscreener.com/quote/stock/INDRA-SISTEMAS-413470/valuation/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A: consenso de analistas (12 comprar, 4 mantener) y rango de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https://www.investing.com/equities/indra-sistemas-consensus-estimates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(BME:IDR) statistics: precio, acciones, beta, volumen, variación a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https://stockanalysis.com/quote/bme/IDR/statistics/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estadísticas LTM de Thales, Leonardo, Rheinmetall, BAE Systems, Hensoldt, Saab, Capgemini y Sopra Steria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https://stockanalysis.com/quote/epa/HO/statistics/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estimaciones 2025-2027 de ventas, EBITDA, EBIT y BPA de los ocho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https://www.marketscreener.com/quote/stock/THALES-4715/finances/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Government Bond Yield (4,08 %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Factsheet del índice IBEX 35 (rentabilidades anuales 2017-2024)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https://www.bolsasymercados.es/dam/descargas/indices/factsheet-ibex-35-es.pdf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Ibex 35 cierra su mejor ejercicio en 32 años (17.307,8 puntos; +49,27 %; Indra +184 %)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Objective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https://theobjective.com/economia/2025-12-31/ibex-35-mejor-ejercicio-32-anos/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IBEX 35: cotización y variación a un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https://www.investing.com/indices/spain-35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defence spending hits €343 bln in 2024 (EDA Defence Data 2024-2025)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Europea de Defensa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https://www.eda.europa.eu/news/2025/09/02/eu-defence-spending-hits-343-bln-in-2024-eda-data-shows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NATO estimates that Spain has reached 2% of its GDP in defense (33.123 M€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 / OTAN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https://en.ara.cat/politics/nato-estimates-that-spain-has-reached-2-of-its-gdp-in-defense_1_5480989.html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 la venta de Hispasat es positiva (Fitch estima un EBITDA de Hispasat superior a 140 M€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https://www.merca2.es/2025/02/03/venta-hispasat-redeia-fitch-2131910/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AQR y el fondo de pensiones de Canadá aumentan sus posiciones cortas en Indra (registro de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https://www.estrategiasdeinversion.com/actualidad/noticias/bolsa-espana/aqr-y-el-fondo-de-pensiones-de-canada-aumentan-n-906747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Escribano sells 14.3% stake in Indra for €1.322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https://thecorner.eu/companies/escribano-sells-14-3-stake-in-indra-for-e1-322-billion-ending-relationship-between-two-companies/125517/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y Escribano retoman las negociaciones para tratar su cuestionada fusión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Onda Vasca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https://www.ondavasca.com/indra-y-escribano-retoman-las-negociaciones-para-tratar-su-cuestionada-fusion/amp/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oficializa el relevo de su CEO: Josep Maria Recasens tomará posesión el 17 de junio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https://www.merca2.es/2026/06/14/indra-relevo-ceo-recasens-2397264/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 en el Sustainability Yearbook 2025 de S&amp;P Global (MSCI AA, DJSI, CDP)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https://indracompany.com/sites/default/files/250211_pr_indra_sustainability_yearbook_2025.pdf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https://es.wikipedia.org/wiki/Indra_Sistemas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consenso (16 analistas; precio objetivo medio 67,12 €, máximo 85 € y mínimo 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https://www.marketscreener.com/quote/stock/INDRA-SISTEMAS-413470/consensus/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 prima implícita del S&amp;P 500,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90,6 %</w:t>
      </w:r>
      <w:r>
        <w:t xml:space="preserve"> · Secciones con menos del 60 % de campos cubiertos: </w:t>
      </w:r>
      <w:r>
        <w:rPr>
          <w:b/>
          <w:bCs/>
        </w:rPr>
        <w:t xml:space="preserve">ninguna</w:t>
      </w:r>
      <w:r>
        <w:t xml:space="preserve"> · Generado el 7 oct 2026.</w:t>
      </w:r>
    </w:p>
    <w:p>
      <w:pPr>
        <w:pStyle w:val="Nota"/>
        <w:spacing w:after="100"/>
      </w:pPr>
      <w:r>
        <w:t xml:space="preserve">Línea cotizada única (Bolsa de Madrid, IDR, ISIN ES0118594417). Precio de cierre del 5-oct-2026 (59,72 €) [23]; el 6-oct cotizaba a 59,60 € [26]. Acciones: 176,65 M emitidas menos 1,53 M en autocartera a 30-jun-2026 = 175,13 M [5]; no hay instrumentos dilutivos desde la amortización del bono convertible en 2023 [3, 5]. Indra presenta la cuenta por naturaleza: «coste de ventas» son los aprovisionamientos menos la variación de existencias, y el margen bruto y los días de inventario y de pago del motor no son comparables con empresas que reportan por función [1]. El capital flotante (50,9 %) es una estimación propia: 100 % menos SEPI, Sapa, Amber, T. Rowe Price y la autocartera a junio de 2026 [5]; el IAGC daba un 34,13 % a diciembre de 2025, antes de que la familia Escribano vendiera su 14,3 % [15, 38]. </w:t>
      </w:r>
      <w:r>
        <w:rPr>
          <w:b/>
        </w:rPr>
        <w:t xml:space="preserve">Perímetro</w:t>
      </w:r>
      <w:r>
        <w:t xml:space="preserve">: Hispasat e Hisdesat se consolidan desde el 30-dic-2025, de modo que el balance de 2025 los incluye pero la cuenta de 2025 no; TESS se consolida desde junio de 2025 [1]. Por eso los ratios de 2025 que cruzan balance y cuenta (rotación, días de circulante, deuda neta/EBITDA, ROIC, Beneish) están distorsionados. </w:t>
      </w:r>
      <w:r>
        <w:rPr>
          <w:b/>
        </w:rPr>
        <w:t xml:space="preserve">Puente de valor</w:t>
      </w:r>
      <w:r>
        <w:t xml:space="preserve">: la caja de junio de 2026 (2.473,5 M) incluye anticipos reembolsables a tipo cero de los Programas Especiales de Modernización (PEM): 1.472 M cobrados directamente por Indra y 437 M a través de UTE [5]. Tratamos los 1.472 M como pasivo asimilable a deuda (se devuelven con los cobros futuros de esos programas, que ya están en la proyección); el importe coincide con el que resulta de partir de la deuda neta de diciembre de 2025 y aplicar el flujo de caja libre sin PEM que publica la empresa (15 M en el 1S26) [6]. Los 1.688 M de anticipos de TESS e Hisdesat se tratan como circulante, igual que hace la empresa. El FCF LTM (314 M) es una estimación propia con la definición de Indra sin anticipos PEM. Las asociadas incluyen el 9,5 % de ITP Aero a valor razonable (354,3 M) [1]. Comparables en otras divisas convertidos al tipo del BCE del 6-oct-2026 [29]; el valor empresa de Imperva, a 1,10 USD/EUR (aproximado). Las rentabilidades bursátiles son de precio, sin dividendos. Las transcripciones de las conferencias con analistas no son públicas: la sección de resultados recientes se apoya en las presentaciones y notas de resultados. El informe de auditoría de 2025 no forma parte del documento publicado de cuentas; la opinión se infiere del IAGC y de la aprobación de las cuentas en la junta de 2026.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Indra Sistemas, S.A. (Indra Group) (IDR)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59,72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(38,40 – 66,15)</c:v>
                </c:pt>
                <c:pt idx="1">
                  <c:v>Precio objetivo de los analistas (50,00 – 85,00)</c:v>
                </c:pt>
                <c:pt idx="2">
                  <c:v>Comparables: EV/EBITDA NTM (53,63 – 79,87)</c:v>
                </c:pt>
                <c:pt idx="3">
                  <c:v>Comparables: PER NTM (48,30 – 75,99)</c:v>
                </c:pt>
                <c:pt idx="4">
                  <c:v>Transacciones precedentes (EV/ventas) (68,42 – 142,95)</c:v>
                </c:pt>
                <c:pt idx="5">
                  <c:v>DCF (WACC y g ± 0,5) (49,85 – 66,65)</c:v>
                </c:pt>
                <c:pt idx="6">
                  <c:v>Escenarios (bajista – alcista) (34,64 – 73,93)</c:v>
                </c:pt>
                <c:pt idx="7">
                  <c:v>Suma de partes (45,59 – 62,87)</c:v>
                </c:pt>
                <c:pt idx="8">
                  <c:v>DCF con la prima implícita del mercado (4,2 %)</c:v>
                </c:pt>
                <c:pt idx="9">
                  <c:v>Precio actual (59,72)</c:v>
                </c:pt>
              </c:strCache>
            </c:strRef>
          </c:cat>
          <c:val>
            <c:numRef>
              <c:f>Hoja1!$B$2:$B$11</c:f>
              <c:numCache>
                <c:formatCode>#,##0</c:formatCode>
                <c:ptCount val="10"/>
                <c:pt idx="0">
                  <c:v>38.4</c:v>
                </c:pt>
                <c:pt idx="1">
                  <c:v>50</c:v>
                </c:pt>
                <c:pt idx="2">
                  <c:v>53.63</c:v>
                </c:pt>
                <c:pt idx="3">
                  <c:v>48.3</c:v>
                </c:pt>
                <c:pt idx="4">
                  <c:v>68.42</c:v>
                </c:pt>
                <c:pt idx="5">
                  <c:v>49.85</c:v>
                </c:pt>
                <c:pt idx="6">
                  <c:v>34.64</c:v>
                </c:pt>
                <c:pt idx="7">
                  <c:v>45.59</c:v>
                </c:pt>
                <c:pt idx="8">
                  <c:v>63.61</c:v>
                </c:pt>
                <c:pt idx="9">
                  <c:v>59.42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(38,40 – 66,15)</c:v>
                </c:pt>
                <c:pt idx="1">
                  <c:v>Precio objetivo de los analistas (50,00 – 85,00)</c:v>
                </c:pt>
                <c:pt idx="2">
                  <c:v>Comparables: EV/EBITDA NTM (53,63 – 79,87)</c:v>
                </c:pt>
                <c:pt idx="3">
                  <c:v>Comparables: PER NTM (48,30 – 75,99)</c:v>
                </c:pt>
                <c:pt idx="4">
                  <c:v>Transacciones precedentes (EV/ventas) (68,42 – 142,95)</c:v>
                </c:pt>
                <c:pt idx="5">
                  <c:v>DCF (WACC y g ± 0,5) (49,85 – 66,65)</c:v>
                </c:pt>
                <c:pt idx="6">
                  <c:v>Escenarios (bajista – alcista) (34,64 – 73,93)</c:v>
                </c:pt>
                <c:pt idx="7">
                  <c:v>Suma de partes (45,59 – 62,87)</c:v>
                </c:pt>
                <c:pt idx="8">
                  <c:v>DCF con la prima implícita del mercado (4,2 %)</c:v>
                </c:pt>
                <c:pt idx="9">
                  <c:v>Precio actual (59,72)</c:v>
                </c:pt>
              </c:strCache>
            </c:strRef>
          </c:cat>
          <c:val>
            <c:numRef>
              <c:f>Hoja1!$C$2:$C$11</c:f>
              <c:numCache>
                <c:formatCode>#,##0</c:formatCode>
                <c:ptCount val="10"/>
                <c:pt idx="0">
                  <c:v>27.750000000000007</c:v>
                </c:pt>
                <c:pt idx="1">
                  <c:v>35</c:v>
                </c:pt>
                <c:pt idx="2">
                  <c:v>26.240000000000002</c:v>
                </c:pt>
                <c:pt idx="3">
                  <c:v>27.689999999999998</c:v>
                </c:pt>
                <c:pt idx="4">
                  <c:v>74.52999999999999</c:v>
                </c:pt>
                <c:pt idx="5">
                  <c:v>16.800000000000004</c:v>
                </c:pt>
                <c:pt idx="6">
                  <c:v>39.290000000000006</c:v>
                </c:pt>
                <c:pt idx="7">
                  <c:v>17.279999999999994</c:v>
                </c:pt>
                <c:pt idx="8">
                  <c:v>13.969999999999999</c:v>
                </c:pt>
                <c:pt idx="9">
                  <c:v>0.6000000000000014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Defensa (incl. Espacio hasta 2025)</c:v>
                </c:pt>
              </c:strCache>
            </c:strRef>
          </c:tx>
          <c:spPr>
            <a:solidFill>
              <a:srgbClr val="2A78D6"/>
            </a:solidFill>
            <a:ln w="12700">
              <a:solidFill>
                <a:srgbClr val="FFFFFF"/>
              </a:solid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662</c:v>
                </c:pt>
                <c:pt idx="1">
                  <c:v>817</c:v>
                </c:pt>
                <c:pt idx="2">
                  <c:v>1031</c:v>
                </c:pt>
                <c:pt idx="3">
                  <c:v>1407</c:v>
                </c:pt>
              </c:numCache>
            </c:numRef>
          </c:val>
        </c:ser>
        <c:ser>
          <c:idx val="1"/>
          <c:order val="1"/>
          <c:tx>
            <c:strRef>
              <c:f>Hoja1!$C$1</c:f>
              <c:strCache>
                <c:ptCount val="1"/>
                <c:pt idx="0">
                  <c:v>Tráfico Aéreo (ATM)</c:v>
                </c:pt>
              </c:strCache>
            </c:strRef>
          </c:tx>
          <c:spPr>
            <a:solidFill>
              <a:srgbClr val="EB683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299</c:v>
                </c:pt>
                <c:pt idx="1">
                  <c:v>361</c:v>
                </c:pt>
                <c:pt idx="2">
                  <c:v>468</c:v>
                </c:pt>
                <c:pt idx="3">
                  <c:v>523</c:v>
                </c:pt>
              </c:numCache>
            </c:numRef>
          </c:val>
        </c:ser>
        <c:ser>
          <c:idx val="2"/>
          <c:order val="2"/>
          <c:tx>
            <c:strRef>
              <c:f>Hoja1!$D$1</c:f>
              <c:strCache>
                <c:ptCount val="1"/>
                <c:pt idx="0">
                  <c:v>Movilidad</c:v>
                </c:pt>
              </c:strCache>
            </c:strRef>
          </c:tx>
          <c:spPr>
            <a:solidFill>
              <a:srgbClr val="1BAF7A"/>
            </a:solidFill>
            <a:ln w="12700">
              <a:solidFill>
                <a:srgbClr val="FFFFFF"/>
              </a:solidFill>
            </a:ln>
          </c:spPr>
          <c:invertIfNegative val="0"/>
          <c:cat>
            <c:strRef>
              <c:f>Hoja1!$A$2:$A$5</c:f>
              <c:strCache>
                <c:ptCount val="4"/>
                <c:pt idx="0">
                  <c:v>2022</c:v>
                </c:pt>
                <c:pt idx="1">
                  <c:v>2023</c:v>
                </c:pt>
                <c:pt idx="2">
                  <c:v>2024</c:v>
                </c:pt>
                <c:pt idx="3">
                  <c:v>2025</c:v>
                </c:pt>
              </c:strCache>
            </c:strRef>
          </c:cat>
          <c:val>
            <c:numRef>
              <c:f>Hoja1!$D$2:$D$5</c:f>
              <c:numCache>
                <c:formatCode>#,##0</c:formatCode>
                <c:ptCount val="4"/>
                <c:pt idx="0">
                  <c:v>348</c:v>
                </c:pt>
                <c:pt idx="1">
                  <c:v>366</c:v>
                </c:pt>
                <c:pt idx="2">
                  <c:v>362</c:v>
                </c:pt>
                <c:pt idx="3">
                  <c:v>398</c:v>
                </c:pt>
              </c:numCache>
            </c:numRef>
          </c:val>
        </c:ser>
        <c:ser>
          <c:idx val="3"/>
          <c:order val="3"/>
          <c:tx>
            <c:strRef>
              <c:f>Hoja1!$E$1</c:f>
              <c:strCache>
                <c:ptCount val="1"/>
                <c:pt idx="0">
                  <c:v>Minsait (TI)</c:v>
                </c:pt>
              </c:strCache>
            </c:strRef>
          </c:tx>
          <c:spPr>
            <a:solidFill>
              <a:srgbClr val="EDA100"/>
            </a:solidFill>
            <a:ln w="12700">
              <a:solidFill>
                <a:srgbClr val="FFFFFF"/>
              </a:solidFill>
            </a:ln>
          </c:spPr>
          <c:invertIfNegative val="0"/>
          <c:cat>
            <c:strRef>
              <c:f>Hoja1!$A$2:$A$5</c:f>
              <c:strCache>
                <c:ptCount val="4"/>
                <c:pt idx="0">
                  <c:v>2022</c:v>
                </c:pt>
                <c:pt idx="1">
                  <c:v>2023</c:v>
                </c:pt>
                <c:pt idx="2">
                  <c:v>2024</c:v>
                </c:pt>
                <c:pt idx="3">
                  <c:v>2025</c:v>
                </c:pt>
              </c:strCache>
            </c:strRef>
          </c:cat>
          <c:val>
            <c:numRef>
              <c:f>Hoja1!$E$2:$E$5</c:f>
              <c:numCache>
                <c:formatCode>#,##0</c:formatCode>
                <c:ptCount val="4"/>
                <c:pt idx="0">
                  <c:v>2542</c:v>
                </c:pt>
                <c:pt idx="1">
                  <c:v>2798</c:v>
                </c:pt>
                <c:pt idx="2">
                  <c:v>2982</c:v>
                </c:pt>
                <c:pt idx="3">
                  <c:v>3129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Defensa (incl. Espacio hasta 2025)</c:v>
                </c:pt>
                <c:pt idx="1">
                  <c:v>Tráfico Aéreo (ATM)</c:v>
                </c:pt>
                <c:pt idx="2">
                  <c:v>Movilidad</c:v>
                </c:pt>
                <c:pt idx="3">
                  <c:v>Minsait (TI)</c:v>
                </c:pt>
              </c:strCache>
            </c:strRef>
          </c:cat>
          <c:val>
            <c:numRef>
              <c:f>Hoja1!$B$2:$B$5</c:f>
              <c:numCache>
                <c:formatCode>General</c:formatCode>
                <c:ptCount val="4"/>
                <c:pt idx="0">
                  <c:v>25.8</c:v>
                </c:pt>
                <c:pt idx="1">
                  <c:v>9.6</c:v>
                </c:pt>
                <c:pt idx="2">
                  <c:v>7.3</c:v>
                </c:pt>
                <c:pt idx="3">
                  <c:v>57.3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España</c:v>
                </c:pt>
                <c:pt idx="1">
                  <c:v>Resto de Europa</c:v>
                </c:pt>
                <c:pt idx="2">
                  <c:v>Resto de América</c:v>
                </c:pt>
                <c:pt idx="3">
                  <c:v>Asia, Oriente Medio y África</c:v>
                </c:pt>
                <c:pt idx="4">
                  <c:v>Brasil</c:v>
                </c:pt>
                <c:pt idx="5">
                  <c:v>Italia</c:v>
                </c:pt>
              </c:strCache>
            </c:strRef>
          </c:cat>
          <c:val>
            <c:numRef>
              <c:f>Hoja1!$B$2:$B$7</c:f>
              <c:numCache>
                <c:formatCode>0"%"</c:formatCode>
                <c:ptCount val="6"/>
                <c:pt idx="0">
                  <c:v>53.4</c:v>
                </c:pt>
                <c:pt idx="1">
                  <c:v>15.7</c:v>
                </c:pt>
                <c:pt idx="2">
                  <c:v>14.7</c:v>
                </c:pt>
                <c:pt idx="3">
                  <c:v>8.6</c:v>
                </c:pt>
                <c:pt idx="4">
                  <c:v>4.1</c:v>
                </c:pt>
                <c:pt idx="5">
                  <c:v>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EUR (gasto en defensa de la UE-27))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2025e</c:v>
                </c:pt>
              </c:strCache>
            </c:strRef>
          </c:cat>
          <c:val>
            <c:numRef>
              <c:f>Hoja1!$B$2:$B$4</c:f>
              <c:numCache>
                <c:formatCode>#,##0</c:formatCode>
                <c:ptCount val="3"/>
                <c:pt idx="0">
                  <c:v>288</c:v>
                </c:pt>
                <c:pt idx="1">
                  <c:v>343</c:v>
                </c:pt>
                <c:pt idx="2">
                  <c:v>392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Indra</c:v>
                </c:pt>
                <c:pt idx="1">
                  <c:v>Thales</c:v>
                </c:pt>
                <c:pt idx="2">
                  <c:v>Leonardo</c:v>
                </c:pt>
                <c:pt idx="3">
                  <c:v>Rheinmetall</c:v>
                </c:pt>
                <c:pt idx="4">
                  <c:v>Hensoldt</c:v>
                </c:pt>
                <c:pt idx="5">
                  <c:v>Saab</c:v>
                </c:pt>
                <c:pt idx="6">
                  <c:v>Capgemini</c:v>
                </c:pt>
                <c:pt idx="7">
                  <c:v>Sopra Steria</c:v>
                </c:pt>
              </c:strCache>
            </c:strRef>
          </c:cat>
          <c:val>
            <c:numRef>
              <c:f>Hoja1!$B$2:$B$9</c:f>
              <c:numCache>
                <c:formatCode>0.0"%"</c:formatCode>
                <c:ptCount val="8"/>
                <c:pt idx="0">
                  <c:v>9.5</c:v>
                </c:pt>
                <c:pt idx="1">
                  <c:v>12.4</c:v>
                </c:pt>
                <c:pt idx="2">
                  <c:v>9</c:v>
                </c:pt>
                <c:pt idx="3">
                  <c:v>17</c:v>
                </c:pt>
                <c:pt idx="4">
                  <c:v>13.3</c:v>
                </c:pt>
                <c:pt idx="5">
                  <c:v>10.2</c:v>
                </c:pt>
                <c:pt idx="6">
                  <c:v>13.3</c:v>
                </c:pt>
                <c:pt idx="7">
                  <c:v>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3390.4</c:v>
                </c:pt>
                <c:pt idx="1">
                  <c:v>3851.4</c:v>
                </c:pt>
                <c:pt idx="2">
                  <c:v>4343.1</c:v>
                </c:pt>
                <c:pt idx="3">
                  <c:v>4842.9</c:v>
                </c:pt>
                <c:pt idx="4">
                  <c:v>5456.7</c:v>
                </c:pt>
                <c:pt idx="5">
                  <c:v>7039</c:v>
                </c:pt>
                <c:pt idx="6">
                  <c:v>7743</c:v>
                </c:pt>
                <c:pt idx="7">
                  <c:v>8517</c:v>
                </c:pt>
                <c:pt idx="8">
                  <c:v>9199</c:v>
                </c:pt>
                <c:pt idx="9">
                  <c:v>9751</c:v>
                </c:pt>
                <c:pt idx="10">
                  <c:v>10189</c:v>
                </c:pt>
                <c:pt idx="11">
                  <c:v>10495</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349.1</c:v>
                </c:pt>
                <c:pt idx="1">
                  <c:v>400.3</c:v>
                </c:pt>
                <c:pt idx="2">
                  <c:v>446.1</c:v>
                </c:pt>
                <c:pt idx="3">
                  <c:v>545.2</c:v>
                </c:pt>
                <c:pt idx="4">
                  <c:v>636.4</c:v>
                </c:pt>
                <c:pt idx="5">
                  <c:v>957</c:v>
                </c:pt>
                <c:pt idx="6">
                  <c:v>1100</c:v>
                </c:pt>
                <c:pt idx="7">
                  <c:v>1252</c:v>
                </c:pt>
                <c:pt idx="8">
                  <c:v>1380</c:v>
                </c:pt>
                <c:pt idx="9">
                  <c:v>1463</c:v>
                </c:pt>
                <c:pt idx="10">
                  <c:v>1528</c:v>
                </c:pt>
                <c:pt idx="11">
                  <c:v>1574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75.3</c:v>
                </c:pt>
                <c:pt idx="1">
                  <c:v>79.3</c:v>
                </c:pt>
                <c:pt idx="2">
                  <c:v>79.2</c:v>
                </c:pt>
                <c:pt idx="3">
                  <c:v>78.4</c:v>
                </c:pt>
                <c:pt idx="4">
                  <c:v>75.7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10.3</c:v>
                </c:pt>
                <c:pt idx="1">
                  <c:v>10.4</c:v>
                </c:pt>
                <c:pt idx="2">
                  <c:v>10.3</c:v>
                </c:pt>
                <c:pt idx="3">
                  <c:v>11.3</c:v>
                </c:pt>
                <c:pt idx="4">
                  <c:v>11.7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7.5</c:v>
                </c:pt>
                <c:pt idx="1">
                  <c:v>7.8</c:v>
                </c:pt>
                <c:pt idx="2">
                  <c:v>8</c:v>
                </c:pt>
                <c:pt idx="3">
                  <c:v>9.1</c:v>
                </c:pt>
                <c:pt idx="4">
                  <c:v>9.5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4.2</c:v>
                </c:pt>
                <c:pt idx="1">
                  <c:v>4.5</c:v>
                </c:pt>
                <c:pt idx="2">
                  <c:v>4.7</c:v>
                </c:pt>
                <c:pt idx="3">
                  <c:v>5.7</c:v>
                </c:pt>
                <c:pt idx="4">
                  <c:v>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4.2</c:v>
                </c:pt>
                <c:pt idx="3">
                  <c:v>8.4</c:v>
                </c:pt>
                <c:pt idx="4">
                  <c:v>6</c:v>
                </c:pt>
                <c:pt idx="5">
                  <c:v>27.9</c:v>
                </c:pt>
                <c:pt idx="6">
                  <c:v>14.6</c:v>
                </c:pt>
                <c:pt idx="7">
                  <c:v>43.5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2">
                  <c:v>3</c:v>
                </c:pt>
                <c:pt idx="6">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110</c:v>
                </c:pt>
                <c:pt idx="1">
                  <c:v>113</c:v>
                </c:pt>
                <c:pt idx="2">
                  <c:v>103</c:v>
                </c:pt>
                <c:pt idx="3">
                  <c:v>87</c:v>
                </c:pt>
                <c:pt idx="4">
                  <c:v>117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44</c:v>
                </c:pt>
                <c:pt idx="1">
                  <c:v>49</c:v>
                </c:pt>
                <c:pt idx="2">
                  <c:v>52</c:v>
                </c:pt>
                <c:pt idx="3">
                  <c:v>56</c:v>
                </c:pt>
                <c:pt idx="4">
                  <c:v>96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170</c:v>
                </c:pt>
                <c:pt idx="1">
                  <c:v>160</c:v>
                </c:pt>
                <c:pt idx="2">
                  <c:v>148</c:v>
                </c:pt>
                <c:pt idx="3">
                  <c:v>144</c:v>
                </c:pt>
                <c:pt idx="4">
                  <c:v>176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225.00000000000006</c:v>
                </c:pt>
                <c:pt idx="1">
                  <c:v>226.9</c:v>
                </c:pt>
                <c:pt idx="2">
                  <c:v>239.8</c:v>
                </c:pt>
                <c:pt idx="3">
                  <c:v>267.5</c:v>
                </c:pt>
                <c:pt idx="4">
                  <c:v>292.80000000000007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143.4</c:v>
                </c:pt>
                <c:pt idx="1">
                  <c:v>171.9</c:v>
                </c:pt>
                <c:pt idx="2">
                  <c:v>205.8</c:v>
                </c:pt>
                <c:pt idx="3">
                  <c:v>277.5</c:v>
                </c:pt>
                <c:pt idx="4">
                  <c:v>435.8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14.8</c:v>
                </c:pt>
                <c:pt idx="1">
                  <c:v>17.7</c:v>
                </c:pt>
                <c:pt idx="2">
                  <c:v>19</c:v>
                </c:pt>
                <c:pt idx="3">
                  <c:v>22.8</c:v>
                </c:pt>
                <c:pt idx="4">
                  <c:v>18.5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9.1</c:v>
                </c:pt>
                <c:pt idx="1">
                  <c:v>9.1</c:v>
                </c:pt>
                <c:pt idx="2">
                  <c:v>9.1</c:v>
                </c:pt>
                <c:pt idx="3">
                  <c:v>9.1</c:v>
                </c:pt>
                <c:pt idx="4">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17.5</c:v>
                </c:pt>
                <c:pt idx="1">
                  <c:v>19</c:v>
                </c:pt>
                <c:pt idx="2">
                  <c:v>19.6</c:v>
                </c:pt>
                <c:pt idx="3">
                  <c:v>23</c:v>
                </c:pt>
                <c:pt idx="4">
                  <c:v>28.8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0.99</c:v>
                </c:pt>
                <c:pt idx="1">
                  <c:v>0.33</c:v>
                </c:pt>
                <c:pt idx="2">
                  <c:v>0.52</c:v>
                </c:pt>
                <c:pt idx="3">
                  <c:v>0.2</c:v>
                </c:pt>
                <c:pt idx="4">
                  <c:v>1.22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c:v>
                </c:pt>
                <c:pt idx="1">
                  <c:v>2027</c:v>
                </c:pt>
                <c:pt idx="2">
                  <c:v>2028</c:v>
                </c:pt>
                <c:pt idx="3">
                  <c:v>2029</c:v>
                </c:pt>
                <c:pt idx="4">
                  <c:v>2030+</c:v>
                </c:pt>
              </c:strCache>
            </c:strRef>
          </c:cat>
          <c:val>
            <c:numRef>
              <c:f>Hoja1!$B$2:$B$6</c:f>
              <c:numCache>
                <c:formatCode>#,##0</c:formatCode>
                <c:ptCount val="5"/>
                <c:pt idx="0">
                  <c:v>294.5</c:v>
                </c:pt>
                <c:pt idx="1">
                  <c:v>83.8</c:v>
                </c:pt>
                <c:pt idx="2">
                  <c:v>78</c:v>
                </c:pt>
                <c:pt idx="3">
                  <c:v>682.1</c:v>
                </c:pt>
                <c:pt idx="4">
                  <c:v>353.4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42.3</c:v>
                </c:pt>
                <c:pt idx="1">
                  <c:v>28.2</c:v>
                </c:pt>
                <c:pt idx="2">
                  <c:v>284.2</c:v>
                </c:pt>
                <c:pt idx="3">
                  <c:v>92.1</c:v>
                </c:pt>
                <c:pt idx="4">
                  <c:v>811.5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26.5</c:v>
                </c:pt>
                <c:pt idx="2">
                  <c:v>44.1</c:v>
                </c:pt>
                <c:pt idx="3">
                  <c:v>44.1</c:v>
                </c:pt>
                <c:pt idx="4">
                  <c:v>43.9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4.8</c:v>
                </c:pt>
                <c:pt idx="1">
                  <c:v>2.5</c:v>
                </c:pt>
                <c:pt idx="2">
                  <c:v>32.5</c:v>
                </c:pt>
                <c:pt idx="3">
                  <c:v>28.8</c:v>
                </c:pt>
                <c:pt idx="4">
                  <c:v>30.7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Independiente</c:v>
                </c:pt>
                <c:pt idx="3">
                  <c:v>Dominical</c:v>
                </c:pt>
              </c:strCache>
            </c:strRef>
          </c:cat>
          <c:val>
            <c:numRef>
              <c:f>Hoja1!$B$2:$B$5</c:f>
              <c:numCache>
                <c:formatCode>0</c:formatCode>
                <c:ptCount val="4"/>
                <c:pt idx="0">
                  <c:v>1</c:v>
                </c:pt>
                <c:pt idx="1">
                  <c:v>1</c:v>
                </c:pt>
                <c:pt idx="2">
                  <c:v>7</c:v>
                </c:pt>
                <c:pt idx="3">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SEPI (Estado)</c:v>
                </c:pt>
                <c:pt idx="1">
                  <c:v>Sapa Placencia</c:v>
                </c:pt>
                <c:pt idx="2">
                  <c:v>Amber Capital (J. Oughourlian)</c:v>
                </c:pt>
                <c:pt idx="3">
                  <c:v>T. Rowe Price</c:v>
                </c:pt>
                <c:pt idx="4">
                  <c:v>Advanced Engineering &amp; Manufacturing (familia Escribano)</c:v>
                </c:pt>
                <c:pt idx="5">
                  <c:v>Autocartera</c:v>
                </c:pt>
              </c:strCache>
            </c:strRef>
          </c:cat>
          <c:val>
            <c:numRef>
              <c:f>Hoja1!$B$2:$B$7</c:f>
              <c:numCache>
                <c:formatCode>0.0"%"</c:formatCode>
                <c:ptCount val="6"/>
                <c:pt idx="0">
                  <c:v>28</c:v>
                </c:pt>
                <c:pt idx="1">
                  <c:v>7.944</c:v>
                </c:pt>
                <c:pt idx="2">
                  <c:v>7.239</c:v>
                </c:pt>
                <c:pt idx="3">
                  <c:v>5.01</c:v>
                </c:pt>
                <c:pt idx="4">
                  <c:v>0</c:v>
                </c:pt>
                <c:pt idx="5">
                  <c:v>0.87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11.9</c:v>
                </c:pt>
                <c:pt idx="1">
                  <c:v>31.5</c:v>
                </c:pt>
                <c:pt idx="2">
                  <c:v>22</c:v>
                </c:pt>
                <c:pt idx="3">
                  <c:v>184.2</c:v>
                </c:pt>
              </c:numCache>
            </c:numRef>
          </c:val>
        </c:ser>
        <c:ser>
          <c:idx val="1"/>
          <c:order val="1"/>
          <c:tx>
            <c:strRef>
              <c:f>Hoja1!$C$1</c:f>
              <c:strCache>
                <c:ptCount val="1"/>
                <c:pt idx="0">
                  <c:v>Índice</c:v>
                </c:pt>
              </c:strCache>
            </c:strRef>
          </c:tx>
          <c:spPr>
            <a:solidFill>
              <a:srgbClr val="EB6834"/>
            </a:solidFill>
            <a:ln w="9525">
              <a:no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-5.6</c:v>
                </c:pt>
                <c:pt idx="1">
                  <c:v>22.8</c:v>
                </c:pt>
                <c:pt idx="2">
                  <c:v>14.8</c:v>
                </c:pt>
                <c:pt idx="3">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6.3</c:v>
                </c:pt>
                <c:pt idx="1">
                  <c:v>5.5</c:v>
                </c:pt>
                <c:pt idx="2">
                  <c:v>6.5</c:v>
                </c:pt>
                <c:pt idx="3">
                  <c:v>5.7</c:v>
                </c:pt>
                <c:pt idx="4">
                  <c:v>15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6.3</c:v>
                </c:pt>
                <c:pt idx="1">
                  <c:v>6.3</c:v>
                </c:pt>
                <c:pt idx="2">
                  <c:v>6.3</c:v>
                </c:pt>
                <c:pt idx="3">
                  <c:v>6.3</c:v>
                </c:pt>
                <c:pt idx="4">
                  <c:v>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Indra</c:v>
                </c:pt>
                <c:pt idx="1">
                  <c:v>Thales</c:v>
                </c:pt>
                <c:pt idx="2">
                  <c:v>Leonardo</c:v>
                </c:pt>
                <c:pt idx="3">
                  <c:v>Rheinmetall</c:v>
                </c:pt>
                <c:pt idx="4">
                  <c:v>BAE Systems</c:v>
                </c:pt>
                <c:pt idx="5">
                  <c:v>Hensoldt</c:v>
                </c:pt>
                <c:pt idx="6">
                  <c:v>Saab</c:v>
                </c:pt>
                <c:pt idx="7">
                  <c:v>Capgemini</c:v>
                </c:pt>
                <c:pt idx="8">
                  <c:v>Sopra Steria</c:v>
                </c:pt>
              </c:strCache>
            </c:strRef>
          </c:cat>
          <c:val>
            <c:numRef>
              <c:f>Hoja1!$B$2:$B$10</c:f>
              <c:numCache>
                <c:formatCode>0.0"x"</c:formatCode>
                <c:ptCount val="9"/>
                <c:pt idx="0">
                  <c:v>10.2</c:v>
                </c:pt>
                <c:pt idx="1">
                  <c:v>11.3</c:v>
                </c:pt>
                <c:pt idx="2">
                  <c:v>10</c:v>
                </c:pt>
                <c:pt idx="3">
                  <c:v>12</c:v>
                </c:pt>
                <c:pt idx="4">
                  <c:v>11.8</c:v>
                </c:pt>
                <c:pt idx="5">
                  <c:v>17.6</c:v>
                </c:pt>
                <c:pt idx="6">
                  <c:v>20</c:v>
                </c:pt>
                <c:pt idx="7">
                  <c:v>6.7</c:v>
                </c:pt>
                <c:pt idx="8">
                  <c:v>5.8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Indra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17.9</c:v>
                </c:pt>
              </c:numCache>
            </c:numRef>
          </c:xVal>
          <c:yVal>
            <c:numRef>
              <c:f>Hoja1!$C$2</c:f>
              <c:numCache>
                <c:formatCode>0.0"x"</c:formatCode>
                <c:ptCount val="1"/>
                <c:pt idx="0">
                  <c:v>10.2</c:v>
                </c:pt>
              </c:numCache>
            </c:numRef>
          </c:yVal>
          <c:smooth val="0"/>
        </c:ser>
        <c:ser>
          <c:idx val="1"/>
          <c:order val="1"/>
          <c:tx>
            <c:strRef>
              <c:f>Hoja1!$A$3</c:f>
              <c:strCache>
                <c:ptCount val="1"/>
                <c:pt idx="0">
                  <c:v>Thales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c:v>
                </c:pt>
              </c:numCache>
            </c:numRef>
          </c:xVal>
          <c:yVal>
            <c:numRef>
              <c:f>Hoja1!$C$3</c:f>
              <c:numCache>
                <c:formatCode>0.0"x"</c:formatCode>
                <c:ptCount val="1"/>
                <c:pt idx="0">
                  <c:v>11.3</c:v>
                </c:pt>
              </c:numCache>
            </c:numRef>
          </c:yVal>
          <c:smooth val="0"/>
        </c:ser>
        <c:ser>
          <c:idx val="2"/>
          <c:order val="2"/>
          <c:tx>
            <c:strRef>
              <c:f>Hoja1!$A$4</c:f>
              <c:strCache>
                <c:ptCount val="1"/>
                <c:pt idx="0">
                  <c:v>Leonardo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13.6</c:v>
                </c:pt>
              </c:numCache>
            </c:numRef>
          </c:xVal>
          <c:yVal>
            <c:numRef>
              <c:f>Hoja1!$C$4</c:f>
              <c:numCache>
                <c:formatCode>0.0"x"</c:formatCode>
                <c:ptCount val="1"/>
                <c:pt idx="0">
                  <c:v>10</c:v>
                </c:pt>
              </c:numCache>
            </c:numRef>
          </c:yVal>
          <c:smooth val="0"/>
        </c:ser>
        <c:ser>
          <c:idx val="3"/>
          <c:order val="3"/>
          <c:tx>
            <c:strRef>
              <c:f>Hoja1!$A$5</c:f>
              <c:strCache>
                <c:ptCount val="1"/>
                <c:pt idx="0">
                  <c:v>Rheinmetall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39.9</c:v>
                </c:pt>
              </c:numCache>
            </c:numRef>
          </c:xVal>
          <c:yVal>
            <c:numRef>
              <c:f>Hoja1!$C$5</c:f>
              <c:numCache>
                <c:formatCode>0.0"x"</c:formatCode>
                <c:ptCount val="1"/>
                <c:pt idx="0">
                  <c:v>12</c:v>
                </c:pt>
              </c:numCache>
            </c:numRef>
          </c:yVal>
          <c:smooth val="0"/>
        </c:ser>
        <c:ser>
          <c:idx val="4"/>
          <c:order val="4"/>
          <c:tx>
            <c:strRef>
              <c:f>Hoja1!$A$6</c:f>
              <c:strCache>
                <c:ptCount val="1"/>
                <c:pt idx="0">
                  <c:v>BAE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16.1</c:v>
                </c:pt>
              </c:numCache>
            </c:numRef>
          </c:xVal>
          <c:yVal>
            <c:numRef>
              <c:f>Hoja1!$C$6</c:f>
              <c:numCache>
                <c:formatCode>0.0"x"</c:formatCode>
                <c:ptCount val="1"/>
                <c:pt idx="0">
                  <c:v>11.8</c:v>
                </c:pt>
              </c:numCache>
            </c:numRef>
          </c:yVal>
          <c:smooth val="0"/>
        </c:ser>
        <c:ser>
          <c:idx val="5"/>
          <c:order val="5"/>
          <c:tx>
            <c:strRef>
              <c:f>Hoja1!$A$7</c:f>
              <c:strCache>
                <c:ptCount val="1"/>
                <c:pt idx="0">
                  <c:v>Hensoldt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14.2</c:v>
                </c:pt>
              </c:numCache>
            </c:numRef>
          </c:xVal>
          <c:yVal>
            <c:numRef>
              <c:f>Hoja1!$C$7</c:f>
              <c:numCache>
                <c:formatCode>0.0"x"</c:formatCode>
                <c:ptCount val="1"/>
                <c:pt idx="0">
                  <c:v>17.6</c:v>
                </c:pt>
              </c:numCache>
            </c:numRef>
          </c:yVal>
          <c:smooth val="0"/>
        </c:ser>
        <c:ser>
          <c:idx val="6"/>
          <c:order val="6"/>
          <c:tx>
            <c:strRef>
              <c:f>Hoja1!$A$8</c:f>
              <c:strCache>
                <c:ptCount val="1"/>
                <c:pt idx="0">
                  <c:v>Saab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22.5</c:v>
                </c:pt>
              </c:numCache>
            </c:numRef>
          </c:xVal>
          <c:yVal>
            <c:numRef>
              <c:f>Hoja1!$C$8</c:f>
              <c:numCache>
                <c:formatCode>0.0"x"</c:formatCode>
                <c:ptCount val="1"/>
                <c:pt idx="0">
                  <c:v>20</c:v>
                </c:pt>
              </c:numCache>
            </c:numRef>
          </c:yVal>
          <c:smooth val="0"/>
        </c:ser>
        <c:ser>
          <c:idx val="7"/>
          <c:order val="7"/>
          <c:tx>
            <c:strRef>
              <c:f>Hoja1!$A$9</c:f>
              <c:strCache>
                <c:ptCount val="1"/>
                <c:pt idx="0">
                  <c:v>Capgemini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5.5</c:v>
                </c:pt>
              </c:numCache>
            </c:numRef>
          </c:xVal>
          <c:yVal>
            <c:numRef>
              <c:f>Hoja1!$C$9</c:f>
              <c:numCache>
                <c:formatCode>0.0"x"</c:formatCode>
                <c:ptCount val="1"/>
                <c:pt idx="0">
                  <c:v>6.7</c:v>
                </c:pt>
              </c:numCache>
            </c:numRef>
          </c:yVal>
          <c:smooth val="0"/>
        </c:ser>
        <c:ser>
          <c:idx val="8"/>
          <c:order val="8"/>
          <c:tx>
            <c:strRef>
              <c:f>Hoja1!$A$10</c:f>
              <c:strCache>
                <c:ptCount val="1"/>
                <c:pt idx="0">
                  <c:v>Sopra Steria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3.6</c:v>
                </c:pt>
              </c:numCache>
            </c:numRef>
          </c:xVal>
          <c:yVal>
            <c:numRef>
              <c:f>Hoja1!$C$10</c:f>
              <c:numCache>
                <c:formatCode>0.0"x"</c:formatCode>
                <c:ptCount val="1"/>
                <c:pt idx="0">
                  <c:v>5.8</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Hispasat (89,68 %; operador de satélites, España)</c:v>
                </c:pt>
                <c:pt idx="1">
                  <c:v>Iveco Defence Vehicles y Astra (vehículos militares, Italia)</c:v>
                </c:pt>
                <c:pt idx="2">
                  <c:v>ESG Elektroniksystem- und Logistik (integrador de defensa, Alemania)</c:v>
                </c:pt>
                <c:pt idx="3">
                  <c:v>Imperva (ciberseguridad, EE. UU.)</c:v>
                </c:pt>
                <c:pt idx="4">
                  <c:v>TESS Defence (26,3 % adicional; vehículo 8x8, España)</c:v>
                </c:pt>
              </c:strCache>
            </c:strRef>
          </c:cat>
          <c:val>
            <c:numRef>
              <c:f>Hoja1!$B$2:$B$6</c:f>
              <c:numCache>
                <c:formatCode>0.0"x"</c:formatCode>
                <c:ptCount val="5"/>
                <c:pt idx="0">
                  <c:v>6.9</c:v>
                </c:pt>
                <c:pt idx="2">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265</c:v>
                </c:pt>
                <c:pt idx="1">
                  <c:v>456</c:v>
                </c:pt>
                <c:pt idx="2">
                  <c:v>557</c:v>
                </c:pt>
                <c:pt idx="3">
                  <c:v>659</c:v>
                </c:pt>
                <c:pt idx="4">
                  <c:v>726</c:v>
                </c:pt>
                <c:pt idx="5">
                  <c:v>785</c:v>
                </c:pt>
                <c:pt idx="6">
                  <c:v>837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3037</c:v>
                </c:pt>
                <c:pt idx="1">
                  <c:v>7534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59,72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34.64</c:v>
                </c:pt>
                <c:pt idx="1">
                  <c:v>56.99</c:v>
                </c:pt>
                <c:pt idx="2">
                  <c:v>73.93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59,72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(38,40 – 66,15)</c:v>
                </c:pt>
                <c:pt idx="1">
                  <c:v>Precio objetivo de los analistas (50,00 – 85,00)</c:v>
                </c:pt>
                <c:pt idx="2">
                  <c:v>Comparables: EV/EBITDA NTM (53,63 – 79,87)</c:v>
                </c:pt>
                <c:pt idx="3">
                  <c:v>Comparables: PER NTM (48,30 – 75,99)</c:v>
                </c:pt>
                <c:pt idx="4">
                  <c:v>Transacciones precedentes (EV/ventas) (68,42 – 142,95)</c:v>
                </c:pt>
                <c:pt idx="5">
                  <c:v>DCF (WACC y g ± 0,5) (49,85 – 66,65)</c:v>
                </c:pt>
                <c:pt idx="6">
                  <c:v>Escenarios (bajista – alcista) (34,64 – 73,93)</c:v>
                </c:pt>
                <c:pt idx="7">
                  <c:v>Suma de partes (45,59 – 62,87)</c:v>
                </c:pt>
                <c:pt idx="8">
                  <c:v>DCF con la prima implícita del mercado (4,2 %)</c:v>
                </c:pt>
                <c:pt idx="9">
                  <c:v>Precio actual (59,72)</c:v>
                </c:pt>
              </c:strCache>
            </c:strRef>
          </c:cat>
          <c:val>
            <c:numRef>
              <c:f>Hoja1!$B$2:$B$11</c:f>
              <c:numCache>
                <c:formatCode>#,##0</c:formatCode>
                <c:ptCount val="10"/>
                <c:pt idx="0">
                  <c:v>38.4</c:v>
                </c:pt>
                <c:pt idx="1">
                  <c:v>50</c:v>
                </c:pt>
                <c:pt idx="2">
                  <c:v>53.63</c:v>
                </c:pt>
                <c:pt idx="3">
                  <c:v>48.3</c:v>
                </c:pt>
                <c:pt idx="4">
                  <c:v>68.42</c:v>
                </c:pt>
                <c:pt idx="5">
                  <c:v>49.85</c:v>
                </c:pt>
                <c:pt idx="6">
                  <c:v>34.64</c:v>
                </c:pt>
                <c:pt idx="7">
                  <c:v>45.59</c:v>
                </c:pt>
                <c:pt idx="8">
                  <c:v>63.61</c:v>
                </c:pt>
                <c:pt idx="9">
                  <c:v>59.42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(38,40 – 66,15)</c:v>
                </c:pt>
                <c:pt idx="1">
                  <c:v>Precio objetivo de los analistas (50,00 – 85,00)</c:v>
                </c:pt>
                <c:pt idx="2">
                  <c:v>Comparables: EV/EBITDA NTM (53,63 – 79,87)</c:v>
                </c:pt>
                <c:pt idx="3">
                  <c:v>Comparables: PER NTM (48,30 – 75,99)</c:v>
                </c:pt>
                <c:pt idx="4">
                  <c:v>Transacciones precedentes (EV/ventas) (68,42 – 142,95)</c:v>
                </c:pt>
                <c:pt idx="5">
                  <c:v>DCF (WACC y g ± 0,5) (49,85 – 66,65)</c:v>
                </c:pt>
                <c:pt idx="6">
                  <c:v>Escenarios (bajista – alcista) (34,64 – 73,93)</c:v>
                </c:pt>
                <c:pt idx="7">
                  <c:v>Suma de partes (45,59 – 62,87)</c:v>
                </c:pt>
                <c:pt idx="8">
                  <c:v>DCF con la prima implícita del mercado (4,2 %)</c:v>
                </c:pt>
                <c:pt idx="9">
                  <c:v>Precio actual (59,72)</c:v>
                </c:pt>
              </c:strCache>
            </c:strRef>
          </c:cat>
          <c:val>
            <c:numRef>
              <c:f>Hoja1!$C$2:$C$11</c:f>
              <c:numCache>
                <c:formatCode>#,##0</c:formatCode>
                <c:ptCount val="10"/>
                <c:pt idx="0">
                  <c:v>27.750000000000007</c:v>
                </c:pt>
                <c:pt idx="1">
                  <c:v>35</c:v>
                </c:pt>
                <c:pt idx="2">
                  <c:v>26.240000000000002</c:v>
                </c:pt>
                <c:pt idx="3">
                  <c:v>27.689999999999998</c:v>
                </c:pt>
                <c:pt idx="4">
                  <c:v>74.52999999999999</c:v>
                </c:pt>
                <c:pt idx="5">
                  <c:v>16.800000000000004</c:v>
                </c:pt>
                <c:pt idx="6">
                  <c:v>39.290000000000006</c:v>
                </c:pt>
                <c:pt idx="7">
                  <c:v>17.279999999999994</c:v>
                </c:pt>
                <c:pt idx="8">
                  <c:v>13.969999999999999</c:v>
                </c:pt>
                <c:pt idx="9">
                  <c:v>0.6000000000000014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2026-10-07T15:22:08.029Z</dcterms:created>
  <dcterms:modified xsi:type="dcterms:W3CDTF">2026-10-07T15:22:08.032Z</dcterms:modified>
</cp:coreProperties>
</file>

<file path=docProps/custom.xml><?xml version="1.0" encoding="utf-8"?>
<Properties xmlns="http://schemas.openxmlformats.org/officeDocument/2006/custom-properties" xmlns:vt="http://schemas.openxmlformats.org/officeDocument/2006/docPropsVTypes"/>
</file>