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Kongsberg Gruppen ASA</w:t>
      </w:r>
    </w:p>
    <w:p>
      <w:pPr>
        <w:spacing w:after="60"/>
        <w:rPr>
          <w:color w:val="52514E"/>
          <w:sz w:val="22"/>
          <w:szCs w:val="22"/>
        </w:rPr>
      </w:pPr>
      <w:r>
        <w:rPr>
          <w:color w:val="52514E"/>
          <w:sz w:val="22"/>
          <w:szCs w:val="22"/>
        </w:rPr>
        <w:t xml:space="preserve">KOG · Euronext Oslo Børs · ISIN NO0013536151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NOK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299,00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204,75 NOK · mercado 239,87</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-30,8 % · mercado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262.997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Gruppen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KOG / NO0013536151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(Noruega) · 1814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https://www.kongsberg.com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187,59 – 350,55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262.997 M NOK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248.484 M NOK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382,7 M NOK/día (1,25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204,75 NOK</w:t>
      </w:r>
      <w:r>
        <w:t xml:space="preserve"> frente a 299,00 · con la prima implícita del mercado: 239,87 (-19,8 %) · Rentabilidad total esperada a 12 meses </w:t>
      </w:r>
      <w:r>
        <w:rPr>
          <w:b/>
          <w:bCs/>
        </w:rPr>
        <w:t xml:space="preserve">-30,8 %</w:t>
      </w:r>
      <w:r>
        <w:t xml:space="preserve"> · Alcista / bajista -0,3 % / -59,1 %</w:t>
      </w:r>
    </w:p>
    <w:p>
      <w:pPr>
        <w:spacing w:after="100"/>
      </w:pPr>
      <w:r>
        <w:rPr>
          <w:b/>
        </w:rPr>
        <w:t xml:space="preserve">La recomendación y por qué.</w:t>
      </w:r>
      <w:r>
        <w:t xml:space="preserve"> Vender, con convicción baja. El valor objetivo es de 204,75 NOK, un 31,5 % por debajo del cierre de 299,00 NOK del 6-oct-2026, y la rentabilidad total esperada a 12 meses es del −30,8 %. El alcista, que supone cumplir entero el plan de la dirección para 2029 y 2033, vale 298,12 NOK, lo mismo que el precio; el bajista, 122,25 NOK. La razón principal: el precio paga el mejor caso razonable. La convicción es baja porque nuestras cifras están cerca del consenso y la distancia sale sobre todo de la tasa de descuento, aunque también con la prima que pide hoy el mercado el valor queda un 19,8 % por debajo.</w:t>
      </w:r>
    </w:p>
    <w:p>
      <w:pPr>
        <w:spacing w:after="100"/>
      </w:pPr>
      <w:r>
        <w:rPr>
          <w:b/>
        </w:rPr>
        <w:t xml:space="preserve">El negocio.</w:t>
      </w:r>
      <w:r>
        <w:t xml:space="preserve"> Tras la escisión de Maritime (23-abr-2026), Kongsberg es un fabricante de misiles (NSM, JSM), defensa aérea (NASAMS) y tecnología submarina, con una cartera de 152.756 M NOK, 4,3 veces las ventas de los últimos 12 meses [1, 2]. Crece un 28 % y gana un 18,6 % de margen EBITDA (2025), con un ROIC del 40,4 % frente a un WACC del 10,1 %, inflado por los anticipos de clientes. El foso es estrecho pero se amplía: costes de cambio y cualificación OTAN, con dependencia de Raytheon en NASAMS [3].</w:t>
      </w:r>
    </w:p>
    <w:p>
      <w:pPr>
        <w:spacing w:after="100"/>
      </w:pPr>
      <w:r>
        <w:rPr>
          <w:b/>
        </w:rPr>
        <w:t xml:space="preserve">Finanzas.</w:t>
      </w:r>
      <w:r>
        <w:t xml:space="preserve"> El flujo de caja de 2024-2025 está inflado por los anticipos: los pasivos por contrato llegaron a 31.124 M a dic-25 y el 1S26 ya consumió unos 4.800 M [1, 3]. La caja neta bajó de 14.830 M a 1.704 M en seis meses por el dividendo de 5.014 M, la compra de Zone 5 y la caja que se llevó Maritime [1]. La rentabilidad por flujo de caja libre es del 1,4 %.</w:t>
      </w:r>
    </w:p>
    <w:p>
      <w:pPr>
        <w:spacing w:after="100"/>
      </w:pPr>
      <w:r>
        <w:rPr>
          <w:b/>
        </w:rPr>
        <w:t xml:space="preserve">Equipo y gobierno.</w:t>
      </w:r>
      <w:r>
        <w:t xml:space="preserve"> El Estado noruego tiene el 50,004 % [3]. Cumple 10 de 13 criterios de gobierno, pero la remuneración resta: más de la mitad del capital libre votó en contra en 2025, y el variable a largo plazo se cobra con un ROACE del 20 % frente al 95,5 % real [29, 31]. El CEO, Eirik Lie, es nuevo desde abril de 2026 [45].</w:t>
      </w:r>
    </w:p>
    <w:p>
      <w:pPr>
        <w:spacing w:after="100"/>
      </w:pPr>
      <w:r>
        <w:rPr>
          <w:b/>
        </w:rPr>
        <w:t xml:space="preserve">Valoración.</w:t>
      </w:r>
      <w:r>
        <w:t xml:space="preserve"> El DCF da 214,56 NOK (WACC del 10,10 %, crecimiento terminal del 3,0 %). Con nuestras cifras, el precio rinde un 8,1 % anual, por debajo del WACC y también del 8,8 % que pide el mercado con su prima implícita del 4,20 % [56]. Con esa prima, el DCF subiría a 261,15 NOK y el valor objetivo a 239,87 NOK (−19,8 %, rentabilidad total del −19,0 % y asimetría de 0,47x): las dos reglas dan Vender. Para justificar 299 NOK con nuestro WACC hay que crecer un 20,3 % anual en 2027-2035, frente al 15,2 % de nuestro base. Los comparables dan 185,20 NOK, aunque crecen un 9,1 % frente al ≈ 40 % de Kongsberg. Patria y KSAT, valoradas por beneficio, suman 14.268 M (unos 16 NOK por acción).</w:t>
      </w:r>
    </w:p>
    <w:p>
      <w:pPr>
        <w:spacing w:after="100"/>
      </w:pPr>
      <w:r>
        <w:rPr>
          <w:b/>
        </w:rPr>
        <w:t xml:space="preserve">Riesgos y catalizadores.</w:t>
      </w:r>
      <w:r>
        <w:t xml:space="preserve"> El riesgo de valoración pesa más que el operativo: ±0,5 puntos de WACC mueven el DCF de 200,74 a 230,51 NOK. Le siguen el margen (2T26 con EBIT del 16,1 %, por debajo de lo esperado [10]) y el fin del ciclo de rearme. Catalizadores: resultados del 3T26 el 29-oct-2026 y la firma del NASAMS de Kuwait [1].</w:t>
      </w:r>
    </w:p>
    <w:p>
      <w:pPr>
        <w:spacing w:after="100"/>
      </w:pPr>
      <w:r>
        <w:rPr>
          <w:b/>
        </w:rPr>
        <w:t xml:space="preserve">Qué cambiaría la decisión.</w:t>
      </w:r>
      <w:r>
        <w:t xml:space="preserve"> Compraríamos por debajo de 210,48 NOK y mantendríamos entre 210,48 y 269,04 NOK. Revisaríamos al alza si los pedidos de 2027 apuntan a más de 100.000 M de ventas en 2029, o si el margen EBIT pasa del 18 % de forma sostenida.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204,75 NOK</w:t>
      </w:r>
      <w:r>
        <w:t xml:space="preserve"> (-31,5 % sobre 299,00; rentabilidad total esperada -30,8 %) · con la prima implícita del mercado: 239,87 (-19,8 %)</w:t>
      </w:r>
    </w:p>
    <w:p>
      <w:pPr>
        <w:spacing w:after="100"/>
      </w:pPr>
      <w:r>
        <w:t xml:space="preserve">Kongsberg es hoy un contratista de defensa puro, con una cartera de 152.756 M NOK y un crecimiento de las ventas del 28 % en 2025 y del 28 % en el 1S26 [1, 2]. Sus productos estrella (NSM, JSM y NASAMS) tienen pocos rivales occidentales, y la OTAN se ha comprometido a gastar un 3,5 % del PIB en defensa en 2035 [14]. El ROIC (40,4 % en 2025) supera con creces el WACC del 10,1 %.</w:t>
      </w:r>
    </w:p>
    <w:p>
      <w:pPr>
        <w:spacing w:after="100"/>
      </w:pPr>
      <w:r>
        <w:t xml:space="preserve">El precio descuenta casi todo eso. A 299 NOK, Kongsberg cotiza a 20,7 veces el EBITDA de los próximos 12 meses y a 29,2 veces el beneficio, frente a 11,5 y 19,3 veces de mediana de sus pares [60]. El DCF inverso exige un crecimiento del 20,3 % anual en 2027-2035 con nuestro WACC, o aceptar una rentabilidad del 8,1 %. Nuestro alcista, que cumple el plan de 100.000 M en 2029 y 150.000 M en 2033 [44], vale 298,12 NOK: el precio.</w:t>
      </w:r>
    </w:p>
    <w:p>
      <w:pPr>
        <w:spacing w:after="100"/>
      </w:pPr>
      <w:r>
        <w:t xml:space="preserve">El mercado acierta en la calidad del negocio, pero no deja margen de error. Para invertir hay que creer que Kongsberg superará su propio plan, o aceptar una rentabilidad por debajo de su coste de capital. Con un margen que ya falló en el 2T26 y anticipos que se están consumiendo, preferimos esperar a un precio por debajo de 210,48 NOK.</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 -59,1 %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 10,1 %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frente a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210,48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210,48 y 269,04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269,04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210,48 NOK, pasaríamos a Comprar.</w:t>
      </w:r>
    </w:p>
    <w:p>
      <w:pPr>
        <w:pStyle w:val="ListParagraph"/>
        <w:numPr>
          <w:ilvl w:val="0"/>
          <w:numId w:val="2"/>
        </w:numPr>
        <w:spacing w:after="60"/>
      </w:pPr>
      <w:r>
        <w:t xml:space="preserve">Si la cartera con entrega en 2027 supera los 55.000 M NOK antes de dic-26, subiríamos el base hacia el consenso.</w:t>
      </w:r>
    </w:p>
    <w:p>
      <w:pPr>
        <w:pStyle w:val="ListParagraph"/>
        <w:numPr>
          <w:ilvl w:val="0"/>
          <w:numId w:val="2"/>
        </w:numPr>
        <w:spacing w:after="60"/>
      </w:pPr>
      <w:r>
        <w:t xml:space="preserve">Si el margen EBIT supera el 18 % durante dos trimestres seguidos, revisaríamos los márgenes al alza.</w:t>
      </w:r>
    </w:p>
    <w:p>
      <w:pPr>
        <w:pStyle w:val="ListParagraph"/>
        <w:numPr>
          <w:ilvl w:val="0"/>
          <w:numId w:val="2"/>
        </w:numPr>
        <w:spacing w:after="60"/>
      </w:pPr>
      <w:r>
        <w:t xml:space="preserve">Si el bono noruego a 10 años baja del 4 %, el WACC y el valor objetivo mejorarían.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Kongsberg cumple el plan de la dirección (100.000 M de ventas en 2029, 150.000 M en 2033 y margen operativo de al menos el 16 %) y que el mercado sigue aceptando una rentabilidad del 8 % por una acción de defensa con beta 1 [44, 56]. El consenso proyecta 86.427 M de ventas en 2028 y su precio objetivo medio es de 397,27 NOK [58].</w:t>
      </w:r>
    </w:p>
    <w:p>
      <w:pPr>
        <w:keepNext/>
        <w:spacing w:after="100"/>
      </w:pPr>
      <w:r>
        <w:rPr>
          <w:b/>
          <w:bCs/>
        </w:rPr>
        <w:t xml:space="preserve">Lo que creemos nosotros.</w:t>
      </w:r>
    </w:p>
    <w:p>
      <w:pPr>
        <w:spacing w:after="100"/>
      </w:pPr>
      <w:r>
        <w:t xml:space="preserve">Las cifras del consenso son razonables (nuestro base queda un 0,8-6,6 % por debajo en 2026-2028), pero el precio ya paga su cumplimiento íntegro. Con un bono noruego al 4,68 % y una prima normal, el negocio vale 214,56 NOK.</w:t>
      </w:r>
    </w:p>
    <w:p>
      <w:pPr>
        <w:keepNext/>
        <w:spacing w:after="100"/>
      </w:pPr>
      <w:r>
        <w:rPr>
          <w:b/>
          <w:bCs/>
        </w:rPr>
        <w:t xml:space="preserve">Por qué podemos tener razón.</w:t>
      </w:r>
    </w:p>
    <w:p>
      <w:pPr>
        <w:spacing w:after="100"/>
      </w:pPr>
      <w:r>
        <w:t xml:space="preserve">La capacidad de producción, no la demanda, limita el ritmo de entrega, y Kongsberg avisa de inversión elevada hasta 2028 [1]. Los anticipos que financian el circulante se están consumiendo (−4.800 M en el 1S26), y el margen del 2T26 quedó por debajo de lo esperado [10]. Podríamos equivocarnos si el mercado mantiene una prima de riesgo baja para defensa durante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152.756 M NOK, 4,3 veces las ventas de los últimos 12 meses [2].</w:t>
      </w:r>
    </w:p>
    <w:p>
      <w:pPr>
        <w:pStyle w:val="ListParagraph"/>
        <w:numPr>
          <w:ilvl w:val="0"/>
          <w:numId w:val="2"/>
        </w:numPr>
        <w:spacing w:after="60"/>
      </w:pPr>
      <w:r>
        <w:rPr>
          <w:b/>
        </w:rPr>
        <w:t xml:space="preserve">Crecimiento orgánico</w:t>
      </w:r>
      <w:r>
        <w:t xml:space="preserve">: +28,1 % en 2025 y +28 % en el 1S26 [1].</w:t>
      </w:r>
    </w:p>
    <w:p>
      <w:pPr>
        <w:pStyle w:val="ListParagraph"/>
        <w:numPr>
          <w:ilvl w:val="0"/>
          <w:numId w:val="2"/>
        </w:numPr>
        <w:spacing w:after="60"/>
      </w:pPr>
      <w:r>
        <w:rPr>
          <w:b/>
        </w:rPr>
        <w:t xml:space="preserve">Rentabilidad muy por encima del coste de capital</w:t>
      </w:r>
      <w:r>
        <w:t xml:space="preserve">: ROIC del 40,4 % en 2025 frente a un WACC del 10,1 %.</w:t>
      </w:r>
    </w:p>
    <w:p>
      <w:pPr>
        <w:pStyle w:val="ListParagraph"/>
        <w:numPr>
          <w:ilvl w:val="0"/>
          <w:numId w:val="2"/>
        </w:numPr>
        <w:spacing w:after="60"/>
      </w:pPr>
      <w:r>
        <w:rPr>
          <w:b/>
        </w:rPr>
        <w:t xml:space="preserve">Demanda estructural</w:t>
      </w:r>
      <w:r>
        <w:t xml:space="preserve">: el gasto de la OTAN Europa y Canadá creció un 11,3 % anual en 2019-2024 y el objetivo del 3,5 % del PIB en 2035 supone un 7,5 % anual (estimación) [14].</w:t>
      </w:r>
    </w:p>
    <w:p>
      <w:pPr>
        <w:pStyle w:val="ListParagraph"/>
        <w:numPr>
          <w:ilvl w:val="0"/>
          <w:numId w:val="2"/>
        </w:numPr>
        <w:spacing w:after="60"/>
      </w:pPr>
      <w:r>
        <w:rPr>
          <w:b/>
        </w:rPr>
        <w:t xml:space="preserve">Participadas infravaloradas en libros</w:t>
      </w:r>
      <w:r>
        <w:t xml:space="preserve">: Patria y KSAT valen 14.268 M por beneficio frente a 4.983 M contables [1].</w:t>
      </w:r>
    </w:p>
    <w:p>
      <w:pPr>
        <w:pStyle w:val="Heading2"/>
      </w:pPr>
      <w:r>
        <w:t xml:space="preserve">En contra</w:t>
      </w:r>
    </w:p>
    <w:p>
      <w:pPr>
        <w:pStyle w:val="ListParagraph"/>
        <w:numPr>
          <w:ilvl w:val="0"/>
          <w:numId w:val="2"/>
        </w:numPr>
        <w:spacing w:after="60"/>
      </w:pPr>
      <w:r>
        <w:rPr>
          <w:b/>
        </w:rPr>
        <w:t xml:space="preserve">Valoración exigente</w:t>
      </w:r>
      <w:r>
        <w:t xml:space="preserve">: 20,7 veces el EBITDA de los próximos 12 meses frente a 11,5 veces de sus pares [60].</w:t>
      </w:r>
    </w:p>
    <w:p>
      <w:pPr>
        <w:pStyle w:val="ListParagraph"/>
        <w:numPr>
          <w:ilvl w:val="0"/>
          <w:numId w:val="2"/>
        </w:numPr>
        <w:spacing w:after="60"/>
      </w:pPr>
      <w:r>
        <w:rPr>
          <w:b/>
        </w:rPr>
        <w:t xml:space="preserve">El alcista ya está en el precio</w:t>
      </w:r>
      <w:r>
        <w:t xml:space="preserve">: cumplir el plan de 2029-2033 vale 298,12 NOK.</w:t>
      </w:r>
    </w:p>
    <w:p>
      <w:pPr>
        <w:pStyle w:val="ListParagraph"/>
        <w:numPr>
          <w:ilvl w:val="0"/>
          <w:numId w:val="2"/>
        </w:numPr>
        <w:spacing w:after="60"/>
      </w:pPr>
      <w:r>
        <w:rPr>
          <w:b/>
        </w:rPr>
        <w:t xml:space="preserve">Anticipos que se consumen</w:t>
      </w:r>
      <w:r>
        <w:t xml:space="preserve">: el circulante pasó del −35,2 % de las ventas en 2025 a ≈ −12,5 % en junio de 2026 [1].</w:t>
      </w:r>
    </w:p>
    <w:p>
      <w:pPr>
        <w:pStyle w:val="ListParagraph"/>
        <w:numPr>
          <w:ilvl w:val="0"/>
          <w:numId w:val="2"/>
        </w:numPr>
        <w:spacing w:after="60"/>
      </w:pPr>
      <w:r>
        <w:rPr>
          <w:b/>
        </w:rPr>
        <w:t xml:space="preserve">Margen bajo presión</w:t>
      </w:r>
      <w:r>
        <w:t xml:space="preserve">: EBIT del 16,1 % en el 2T26 por mezcla, desarrollo propio y Zone 5 [1, 10].</w:t>
      </w:r>
    </w:p>
    <w:p>
      <w:pPr>
        <w:pStyle w:val="ListParagraph"/>
        <w:numPr>
          <w:ilvl w:val="0"/>
          <w:numId w:val="2"/>
        </w:numPr>
        <w:spacing w:after="60"/>
      </w:pPr>
      <w:r>
        <w:rPr>
          <w:b/>
        </w:rPr>
        <w:t xml:space="preserve">Remuneración discutida</w:t>
      </w:r>
      <w:r>
        <w:t xml:space="preserve">: más de la mitad del capital libre votó en contra en 2025 [31].</w:t>
      </w:r>
    </w:p>
    <w:p>
      <w:pPr>
        <w:pStyle w:val="Heading2"/>
      </w:pPr>
      <w:r>
        <w:t xml:space="preserve">Qué tiene que pasar para que la tesis funcione</w:t>
      </w:r>
    </w:p>
    <w:p>
      <w:pPr>
        <w:spacing w:after="100"/>
      </w:pPr>
      <w:r>
        <w:t xml:space="preserve">La tesis depende de que el precio deje de descontar el plan entero. Hay que vigilar los pedidos trimestrales frente a las ventas: si el book-to-bill sigue por encima de 1,5 y la cartera de 2028 en adelante crece, la ambición de 2029 se vuelve probable y el alcista pasa a ser el base. Si el margen EBIT del 3T26 vuelve a quedar por debajo del 16 %, se confirma el bajista de márgenes.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en 2025; 2,28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cartera sigue creciendo.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15 %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la empresa es al menos el 16 %.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30.000 M con la cartera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financian el circulante.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con entrega 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41.944 M para 2027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45.000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las ventas del año que viene.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noruego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valor.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35,0x / 20,7x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49,9x / 29,2x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Kongsberg nace el 20 de marzo de 1814 como Kongsberg Vaabenfabrik, la fábrica de armas del Estado noruego recién independizado de Dinamarca [11]. Tras siglo y medio de fusiles (el Krag-Jørgensen lo adoptaron Dinamarca y EE. UU.) y una diversificación civil poco rentable, en 1987 el Estado, entonces dueño del 100 %, vendió todo salvo la defensa, que siguió como Norsk Forsvarsteknologi [11]. Salió a bolsa en 1993 y ha pagado dividendo todos los años desde entonces [3]; en 1995 recuperó el nombre (Kongsberg Gruppen) y en 1997 compró Kongsberg Maritime, su segunda pata durante casi tres décadas [11]. En 2016 entró en Patria (49,9 %), en 2019 hizo su mayor compra (Rolls-Royce Commercial Marine) y en 2023 separó Discovery de Maritime [3, 11, 12]. Con la escisión y salida a bolsa de Maritime el 23 de abril de 2026, el grupo que queda es un especialista en defensa, espacio y tecnología submarina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Poul Steenstrup funda Kongsberg Vaabenfabrik el 20 de marzo, con la aprobación del príncipe regente Christian Frederik, para dotar de armas al nuevo Estado noruego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Fusil Krag-Jørgensen: lo compra el ejército danés en 1889 y lo adopta EE. UU. en 1892; domina la producción hasta 1918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y reestructuración: el Estado, dueño del 100 %, vende todas las divisiones salvo la de defensa, que continúa como Norsk Forsvarsteknologi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desde entonces ha pagado dividendo todos los años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el nombre (Kongsberg Gruppen ASA) y compra Kongsberg Maritime, que junto a Kongsberg Defence &amp; Aerospace forman las dos áreas de negocio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49,9 % de Patria (Finlandia), asociada por puesta en equivalencia; Patria tiene a su vez el 50 % de Nammo (municiones). El 50,1 % restante es del Estado finlandés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Rolls-Royce Commercial Marine, la mayor adquisición de su historia, que duplicó el peso marítimo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Sensors and Robotics sale de Kongsberg Maritime y se convierte en un área propia, Kongsberg Discovery, con más de 1.000 empleados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del 7 de mayo aprueba un desdoblamiento de 1 acción en 5. En diciembre, el consejo aprueba escindir Maritime y anuncia la compra de Zone 5 Technologies (misiles de bajo coste, EE. UU.); en verano, empresa conjunta con Thales en comunicaciones de defensa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extraordinaria del 22 de enero aprueba la escisión; Kongsberg Maritime cotiza aparte desde el 23 de abril (una acción de Maritime por cada acción de Kongsberg). El 9 de junio cierra la compra de Zone 5 y el 10 de junio fija en su día del inversor el objetivo de 100.000 M NOK de ingresos en 2029 y 150.000 M NOK en 2033, con margen operativo de al menos el 16 %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Tras la escisión de Maritime, Kongsberg diseña, fabrica y mantiene sistemas de defensa y de tecnología oceánica y espacial, y desde 2026 reporta tres divisiones [1]. </w:t>
      </w:r>
      <w:r>
        <w:rPr>
          <w:b/>
        </w:rPr>
        <w:t xml:space="preserve">Defence Systems</w:t>
      </w:r>
      <w:r>
        <w:t xml:space="preserve">: la defensa aérea NASAMS (desarrollada con Raytheon y las autoridades noruegas, en servicio en 14 países) y su versión móvil NOMADS, estaciones de armas remotas Protector (más de 23.000 entregadas a 29 países, también usadas contra drones), mando y control, comunicaciones y sistemas de combate para los submarinos 212CD [3]. </w:t>
      </w:r>
      <w:r>
        <w:rPr>
          <w:b/>
        </w:rPr>
        <w:t xml:space="preserve">Missiles &amp; Aerostructures</w:t>
      </w:r>
      <w:r>
        <w:t xml:space="preserve">: los misiles NSM (antibuque, más de 300 km) y JSM (para la bodega del F-35), elegidos por 15 países, el futuro supersónico 3SM, piezas del F-35 y mantenimiento del motor F135 [3]. </w:t>
      </w:r>
      <w:r>
        <w:rPr>
          <w:b/>
        </w:rPr>
        <w:t xml:space="preserve">Discovery</w:t>
      </w:r>
      <w:r>
        <w:t xml:space="preserve">: ecosondas multihaz, hidroacústica y posicionamiento submarino, sonar pesquero, navegación inercial (Seatex), vehículos autónomos HUGIN, pequeños satélites (NanoAvionics) y, en proporción, KSAT [1, 3]. Fábricas de misiles en Kongsberg (2024), Australia y EE. UU. (en construcción); más de 7.500 empleados [1, 3].</w:t>
      </w:r>
    </w:p>
    <w:p>
      <w:pPr>
        <w:pStyle w:val="Heading2"/>
      </w:pPr>
      <w:r>
        <w:t xml:space="preserve">Cómo gana dinero</w:t>
      </w:r>
    </w:p>
    <w:p>
      <w:pPr>
        <w:spacing w:after="100"/>
      </w:pPr>
      <w:r>
        <w:t xml:space="preserve">Es un negocio de proyectos plurianuales: en 2025 el 75 % de los ingresos de las operaciones continuadas se reconoció por grado de avance (coste incurrido sobre coste total) y el posventa (servicio, repuestos, mejoras, formación) fue el 14,9 % (4.676 de 31.312 M NOK) [3]. Los clientes adelantan dinero: los anticipos recibidos sumaban 30.804 M NOK a cierre de 2025 y el saldo neto de contratos era de −19.474 M NOK, lo que financia el circulante [3]. La cartera (157.540 M NOK en junio de 2026, unas cinco veces los ingresos de 2025) da visibilidad, pero solo 21.000 M NOK se entregan en 2026 [1]. El margen depende de la mezcla de proyectos: la propia empresa dice que la rentabilidad varía entre productos y geografías [3]. Gasta en torno al 10 % de los ingresos en desarrollo, en buena parte pagado por el cliente; el autofinanciado fue de 1.195 M NOK en 2025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ministerios de defensa (Noruega y sus aliados de la OTAN, Australia), contratistas principales como Raytheon y, en Discovery, institutos de investigación, la industria submarina y la pesca [1, 3]. Ningún cliente superó el 10 % de los ingresos del grupo ni en 2025 ni en 2024 [3]. Por destino, en 2025 las operaciones continuadas facturaron un 28 % en Noruega, un 30 % en el resto de Europa, un 31 % en Norteamérica, un 6 % en Asia y Oriente Medio y un 4 % en Australia [3]. Los contratos duran años: de la cartera de defensa de 125.378 M NOK a cierre de 2025, 68.959 M NOK se entregan en 2028 o después [3]. La fidelidad se ve en las compras repetidas: en el 2T26 Canadá fue el sexto país en comprar JSM y EE. UU. y Alemania repitieron, por 10.900 M NOK entre los tres [1]. No publica datos de poder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104.617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129.683 (dic-25); 152.756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en 2025; +17,8 %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proporcionales: 134.915 (dic-25) y 157.540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56.750 (2025); 42.866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1,80 en 2025; 1S26 con Polonia antidrones (16.000 M) y tres contratos JSM [1,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por división NIIF, 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61.220 / M&amp;A 60.008 / Discovery 8.168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75.726 / M&amp;A 68.063 / Discovery 8.373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 +13,4 % / +2,5 %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Misiles tienen la cartera más larga: 50.177 M de 68.063 M se entregan en 2028 o después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por división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35.470 / M&amp;A 17.878 / Discovery 6.123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26.228 / M&amp;A 20.413 / Discovery 9.723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 +14 % / +59 %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DS 23.340, M&amp;A 14.963, Discovery 4.238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la cartera NIIF a 30-jun-26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Dic-25: 29.870 en 2026, 30.596 en 2027, 69.218 en 2028+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19.328 en lo que queda de 2026, 41.944 en 2027, 91.484 en 2028+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El 60 % de la cartera va a 2028 o después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21.000 M para el 2S26 (13 %), 28 % en 2027 y 59 %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de clientes reconocidos como ingreso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 de clientes en bruto de 30.804 M a dic-25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defensa de los aliados europeos de la OTAN y Canadá, destino del 58 % de los ingresos de 2025 de Kongsberg (Noruega 28 %, resto de Europa 30 %); EE. UU. añade un 31 % [3]. Usamos la serie de la OTAN (gasto militar básico en dólares corrientes) porque mide el objetivo de La Haya y llega a 2026e [15], y la contrastamos con la Agencia Europea de Defensa y el SIPRI [13, 16]. Kongsberg vende equipamiento (misiles, defensa aérea, estaciones de armas), en torno al 28 % del gasto de la UE [16]; en Noruega, su primer cliente, el equipamiento pasó del 20,4 % del gasto en 2014 al 31,4 % en 2025e [14]. Discovery vende además a investigación oceánica, energía y pesca, sin serie pública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militar básico de OTAN Europa y Canadá: 653.806 M USD en 2025e y 777.066 M USD en 2026e (dólares corrientes) [15]; en la UE-27, 418.000 M EUR en 2025 y 454.000 M EUR previstos en 2026, de los que el equipamiento fueron 115.000 M EUR en 2025, frente a 88.000 M EUR en 2024 (+39 % sobre 2023) [16, 17]. El SIPRI da 864.000 M USD para toda Europa (Rusia incluida) en 2025 [13]. El crecimiento previsto es estimación propia: llevar a OTAN Europa y Canadá del 2,53 % del PIB (2026e) al 3,5 % en 2035 exige un 3,7 % anual por encima del PIB real; con un 1,5 % de PIB real y un 2 % de inflación, ≈ 7,5 % nominal, dentro del 4-12 % anual que prevé la EDA para la UE a partir de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orrientes (gasto militar básico de OTAN Europa y Canadá))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de la OTAN de La Haya (junio de 2025): 5 % del PIB en 2035, de ellos al menos 3,5 % en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OTAN Europa y Canadá gastará el 2,53 % del PIB en 2026e frente al 1,40 % de 2014; llegar al 3,5 % supone un 38 % más de peso sobre el PIB en nueve años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Ucrania y consumo de defensa aérea y misiles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real de OTAN Europa y Canadá creció un 19,3 % en 2024, un 19,0 % en 2025e y un 11,0 % en 2026e [15]; en el 2T26 los ingresos de Defence Systems subieron un 53 % por defensa aérea y antidrones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europea: ReArm Europe/Readiness 2030 y préstamos SAFE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800.000 M EUR de margen fiscal, 150.000 M EUR en préstamos SAFE con un 65 % de componentes de la UE, el EEE-AELC (Noruega) o Ucrania; primeros desembolsos entre junio y agosto de 2026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EE. UU. (31 % de los ingresos de Kongsberg)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SIPRI estima que el gasto militar de EE. UU. cayó un 7,5 % en 2025 [13], pero la Fuerza Aérea encargó JSM por 2.700 M NOK en el 2T26 y Kongsberg construye una fábrica de misiles allí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industrial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compró unos 17.000 M NOK a proveedores en 2025 y contrató 2.150 personas en tres años; la demanda supera la capacidad de entrega, de ahí las nuevas fábricas de misiles en Australia y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Protección de infraestructura submarina y vigilancia oceánica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Discovery creció un 21 % en el 2T26 con contratos de protección de infraestructura submarina y demanda de vehículos HUGIN, también de la Marina de EE. UU.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proveedores occidentales por nicho (misiles: MBDA, Raytheon, Lockheed, Kongsberg, Diehl, Saab) y demanda por encima de la oferta: las carteras equivalen a 2,7 años de ventas en Raytheon, 3,5 en Saab, 5,0 en Kongsberg, 6,4 en Rheinmetall y 7,7 en MBDA, y los márgenes subieron en 2025 en todos los que publican [1, 19, 22, 23,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un Estado (monopsonio nacional) que fija condiciones, auditorías y licencias, pero hoy adelanta dinero: Kongsberg tenía 30.804 M NOK en anticipos de clientes a cierre de 2025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Energéticos, motores cohete y electrónica son escasos; en NASAMS el interceptor principal (AMRAAM) y parte de las ventas pasan por Raytheon, que lo cuenta entre sus productos [3,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Cualificar un misil o un sistema de defensa aérea con la OTAN lleva años y requiere licencias de exportación; los nuevos de bajo coste (Zone 5, Helsing) acaban comprados o asociados a los incumbentes: Kongsberg compró Zone 5 en junio de 2026 y firmó con Helsing en espacio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Drones e interceptores baratos sustituyen parte de los misiles caros; Kongsberg se cubre con antidrones sobre estaciones de armas (más de 23.000 entregadas) y misiles de producción masiva (Zone 5, 3SM) [1, 3].</w:t>
            </w:r>
          </w:p>
        </w:tc>
      </w:tr>
    </w:tbl>
    <w:p>
      <w:pPr>
        <w:spacing w:after="160" w:before="0"/>
      </w:pPr>
    </w:p>
    <w:p>
      <w:pPr>
        <w:pStyle w:val="Heading2"/>
      </w:pPr>
      <w:r>
        <w:t xml:space="preserve">Ciclo</w:t>
      </w:r>
    </w:p>
    <w:p>
      <w:pPr>
        <w:spacing w:after="100"/>
      </w:pPr>
      <w:r>
        <w:t xml:space="preserve">El gasto real de OTAN Europa y Canadá crece desde 2015 y se aceleró tras la invasión de Ucrania: +3,7 % en 2022, +8,1 % en 2023, +19,3 % en 2024, +19,0 % en 2025e y +11,0 % en 2026e [15]. El ciclo de defensa no sigue al PIB: en 2020 el gasto subió un 4,8 % real pese a la pandemia [15], mientras que tras la crisis de 2008 la UE encadenó recortes hasta 2014 [16]. Los indicadores adelantados (carteras récord en Kongsberg y Rheinmetall) apuntan a varios años más de expansión [1, 23].</w:t>
      </w:r>
    </w:p>
    <w:p>
      <w:pPr>
        <w:pStyle w:val="Heading2"/>
      </w:pPr>
      <w:r>
        <w:t xml:space="preserve">Regulación</w:t>
      </w:r>
    </w:p>
    <w:p>
      <w:pPr>
        <w:spacing w:after="100"/>
      </w:pPr>
      <w:r>
        <w:t xml:space="preserve">La exportación de material de defensa desde Noruega necesita licencia de la DEKSA y solo se autoriza a países aprobados por el Parlamento, una de las normas más restrictivas del mundo según la propia empresa [3]. En la cumbre de La Haya (25 de junio de 2025) la OTAN fijó el 5 % del PIB en 2035, con un mínimo del 3,5 % en defensa básica [13]. En la UE, ReArm Europe/Readiness 2030 (marzo de 2025) suma hasta 800.000 M EUR, con la cláusula de escape fiscal desde 2026 y el Reglamento SAFE 2025/1106: 150.000 M EUR en préstamos para compras conjuntas, abiertos a Noruega como país EEE-AELC si el 65 % del coste de los componentes es europeo o ucraniano [16, 18]. El programa EDIP reserva 325 M EUR para proyectos europeos comunes en 2026-2027 [16].</w:t>
      </w:r>
    </w:p>
    <w:p>
      <w:pPr>
        <w:pStyle w:val="Heading2"/>
      </w:pPr>
      <w:r>
        <w:t xml:space="preserve">Tendencias y disrupción</w:t>
      </w:r>
    </w:p>
    <w:p>
      <w:pPr>
        <w:spacing w:after="100"/>
      </w:pPr>
      <w:r>
        <w:t xml:space="preserve">La guerra de Ucrania ha cambiado lo que se compra: defensa aérea por capas, antidrones y misiles en grandes volúmenes y a menor coste. Kongsberg gana con ello: NASAMS evoluciona hacia una defensa aérea completa, las estaciones de armas se reconvierten en antidrones y la compra de Zone 5 le da misiles baratos para producción masiva [1, 3]. Entran competidores nuevos financiados con capital riesgo (Helsing, Anduril); Kongsberg ha optado por asociarse o comprar [3]. El fondo marino y el espacio pasan a ser dominio militar (protección de cables y gasoductos, vigilancia por satélite), donde Discovery y KSAT ya están [1]. Riesgo: la compra europea sigue siendo nacional y fragmentada (solo el 24 % del equipamiento de la UE se compró en cooperación en 2025)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es un especialista de tamaño medio: sus 31.562 M NOK de ingresos de 2025 son la novena parte del segmento Raytheon de RTX, pero domina nichos concretos [3, 19]. En defensa aérea de medio alcance, NASAMS (codesarrollado con Raytheon) está en servicio en 14 países; en misiles, NSM y JSM han sido elegidos por 15 países y el JSM es un misil de crucero diseñado para ir dentro de la bodega del F-35A [3]. En tecnología oceánica es uno de los mayores fabricantes de instrumentos acústicos para cartografiar el fondo marino y sus HUGIN son referencia en vehículos autónomos [3]. Como orden de magnitud (estimación propia), sus ingresos equivalen al 0,5 % del gasto militar básico de OTAN Europa y Canadá en 2025e. Creció un 28 % en 2025, en línea con ese mercado (+27 % en dólares) [3,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 (segmento Raytheon)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y competidor: codesarrolla NASAMS y suministra el interceptor, pero vende Patriot y misiles navales (SM-6, Tomahawk) que compiten con NSM. Cartera de 75.000 M USD. 2025: 28.043 M USD de ventas y 3.227 M USD de beneficio operativo [19,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 (Missiles and Fire Control)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PAC-3, JASSM/LRASM (alternativa al JSM en el F-35) y HIMARS. 2025: 14.450 M USD de ventas y 1.989 M USD de beneficio operativo; en 2024 el margen cayó al 3,3 % por pérdidas en programas clasificados [20,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comunicaciones; socio de Kongsberg en una empresa conjunta de comunicaciones de defensa en Noruega. 2025: 12.234 M EUR de ventas y 1.619 M EUR de EBIT ajustado [3, 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antidrones y defensa aérea de corto alcance (Skyranger, Skynex) y en torres de armas. Grupo 2025: 9.935 M EUR y 18,5 % de margen operativo; Weapon and Ammunition, 3.532 M EUR al 29 %; Electronic Solutions, 2.504 M EUR al 14,6 %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nórdico directo: defensa aérea de corto alcance (RBS 70), Carl-Gustaf, sensores (GlobalEye) y submarinos. 2025: 79.146 M SEK de ventas y 8.066 M SEK de EBIT; cartera de 274.532 M SEK [22,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MBDA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Francia/Reino Unido/Italia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fabricante europeo de misiles, sin cotizar (sus dueños son Airbus, BAE Systems y Leonardo). Duplicó su producción de misiles entre 2023 y 2025 y prevé un 40 % más en 2026. 2025: 5.800 M EUR de ingresos, 13.200 M EUR de pedidos y 44.400 M EUR de cartera; no publica su beneficio operativo [25,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Diehl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IRIS-T SLM, rival directo de NASAMS en defensa aérea de medio alcance en Europa. 2025: 2.331 M EUR de ventas (43 % del grupo Diehl, familiar); no publica el resultado de la división [26,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Teledyne (Instrumentation)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Discovery: instrumentación marina (sonar, perfiladores de corrientes, vehículos submarinos), junto con test y medida. Ejercicio cerrado el 28-dic-2025: 1.457,1 M USD de ventas y 400,4 M USD de beneficio operativo [21,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entre usuarios: NASAMS en 14 países y NSM/JSM en 15; Bélgica y Países Bajos compran NASAMS juntos y cada nuevo usuario refuerza la base de formación, repuestos y munición común [1, 2].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misil integrado en el F-35 o un sistema de defensa aérea con su mando y control se usa durante décadas: en el 2T26 EE. UU. y Alemania repitieron pedido de JSM y Canadá fue el sexto país en elegirlo [2]. De la cartera de defensa de 125.378 M NOK, 68.959 M NOK se entregan en 2028 o después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en programas de misiles con el instituto de investigación de defensa noruego (FFI), productos cualificados en la OTAN y licencias de exportación; gasta en torno al 10 % de los ingresos en desarrollo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prueba de costes más bajos: su margen EBIT de 2025 (14,9 %) está por encima de Saab (10,2 %), Raytheon (11,5 %) y Thales Defence (13,2 %), pero por debajo de Rheinmetall (18,5 %) [1, 11, 14-16]. En NASAMS depende de Raytheon para el interceptor y para ventas como la de Kuwait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pocos proveedores cualificados y fábricas dedicadas (Kongsberg desde 2024; Australia y EE. UU. en construcción); los nichos son pequeños para un tercer entrante, pero Kongsberg es mucho menor que Raytheon o Lockheed [1, 11, 12].</w:t>
            </w:r>
          </w:p>
        </w:tc>
      </w:tr>
    </w:tbl>
    <w:p>
      <w:pPr>
        <w:spacing w:after="160" w:before="0"/>
      </w:pPr>
    </w:p>
    <w:p>
      <w:pPr>
        <w:pStyle w:val="Heading2"/>
      </w:pPr>
      <w:r>
        <w:t xml:space="preserve">Amenazas</w:t>
      </w:r>
    </w:p>
    <w:p>
      <w:pPr>
        <w:spacing w:after="100"/>
      </w:pPr>
      <w:r>
        <w:t xml:space="preserve">La mayor es la dependencia de Raytheon en NASAMS: el interceptor y parte de las ventas (Kuwait, vía el programa de ventas militares de EE. UU.) pasan por su socio, que en 2024 firmó dos acuerdos de enjuiciamiento diferido con el Departamento de Justicia por pagos en Oriente Medio [1, 19]. Probabilidad media de presión sobre precios cuando se normalice la demanda: hoy los clientes adelantan dinero porque la oferta escasea [3]. La preferencia europea de SAFE (65 % de componentes de la UE, el EEE o Ucrania) favorece a Kongsberg frente a los estadounidenses, pero también a MBDA y Diehl [18]. Los misiles baratos de nuevos entrantes son un riesgo a medio plazo que Kongsberg ha empezado a cubrir con Zone 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n.d.</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NO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perímetro que queda tras la escisión de Maritime (Defence Systems, Missiles &amp; Aerostructures y Discovery) facturó 31.562 M en 2025, un 28,1 % más que los 24.648 M de 2024 reexpresados, y 35.726 M en los doce meses a junio de 2026 [1, 3]. El crecimiento es casi todo orgánico: las compras del periodo son pequeñas (Naxys, 124 M de ingresos en 2024) hasta Zone 5, que entra el 9-jun-26 [1, 3]. El margen EBITDA pasó del 17,0 % en 2024 al 18,6 % en 2025 y al 19,9 % en el LTM; el margen EBIT, del 13,0 % al 14,9 % y al 16,2 %, por volumen en defensa aérea y misiles y por mezcla de proyectos [1, 3]. En 2026 el crecimiento sigue por encima del 25 % trimestral (+27 % en el 1T26 y +30 % en el 2T26 en cifras NIIF) [2]. 2021-2023 no son comparables con 2024-2025: la empresa no los reexpresó y aquí son estimaciones a partir de la nota de segmentos; 2021 no se puede construir porque Discovery iba dentro de Maritime hasta 2023 [5, 6]. El último trimestre de 2025 fue el mejor del año: BPA continuado de 1,97 NOK frente a 1,01 NOK un año antes [7].</w:t>
      </w:r>
    </w:p>
    <w:p>
      <w:pPr>
        <w:pStyle w:val="Heading2"/>
      </w:pPr>
      <w:r>
        <w:t xml:space="preserve">Ajustes y partidas no recurrentes</w:t>
      </w:r>
    </w:p>
    <w:p>
      <w:pPr>
        <w:spacing w:after="100"/>
      </w:pPr>
      <w:r>
        <w:t xml:space="preserve">Cifras NIIF publicadas, sin los joint ventures proporcionales que la empresa usa desde el 1T26 como medida alternativa (con ellos, 2025 serían 32.752 M de ingresos y 4.943 M de EBIT) [2]. El resultado de las participadas (Patria 49,9 %, KSAT 50 %) va debajo del EBIT en todos los años, así que participadas_en_ebitda es nulo; en resultado_financiero se suman participadas y financiero neto (2025: 617 + 22; 2024: 447 - 266) [3]. 2022 y 2023 son estimación propia: ingresos externos y EBITDA/EBIT de KDA + Discovery + Otros de la nota de segmentos; en 2024 ese método da 24.276 M de ingresos y 3.154 M de EBIT frente a los 24.648 M y 3.197 M reexpresados (-1,5 % y -1,3 %), porque las ventas a Maritime pasan a ser externas [4, 5]. No recurrentes en el perímetro continuado: deterioros de intangibles de 15 M (2024) y 4 M (2025); la plusvalía de 1.206 M por el negocio de timones (2025) es de Maritime y va en operaciones interrumpidas [3]. La empresa no publica costes de la escisión separados.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(6-may) el mensaje fue de cartera y capacidad: pedidos de 26.541 M (book-to-bill 2,87) con el contrato antidrones de Polonia de 16.000 M, cartera récord de 152.000 M y crecimiento de ingresos en 2026 superior al de 2025 [8]. La dirección avisó de que el margen depende de la mezcla de proyectos y de que Discovery está en fase de inversión [8].</w:t>
      </w:r>
    </w:p>
    <w:p>
      <w:pPr>
        <w:spacing w:after="100"/>
      </w:pPr>
      <w:r>
        <w:t xml:space="preserve">En el 2T26 (13-jul) el discurso giró hacia el largo plazo: el día del inversor del 10-jun fijó 100.000 M de ingresos en 2029 y 150.000 M en 2033 con un margen operativo de al menos el 16 %, y la dirección advirtió de un periodo de inversiones elevadas en capacidad y desarrollo propio hasta 2027-2028 [1]. El trimestre creció un 31 % con EBIT del 16,1 %, pero el margen de Defence Systems bajó del 19,6 % al 17,7 % por la mezcla (donaciones noruegas a Ucrania) y Discovery cayó al 15,3 % por el traslado a nuevas instalaciones; Zone 5 resta margen mientras escala en EE. UU. [1]. El mercado lo leyó como decepción: la acción cayó un 6 %, el margen quedó por debajo del ~17 % de consenso y Morgan Stanley señaló la progresión del margen como el debate principal desde el día del inversor [10]. De la cartera de 157.540 M (con JV), solo 21.000 M se entregan en lo que queda de 2026 [1]. No hay transcripción pública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Kongsberg Maritime, operación interrumpida desde el 4T25 (NIIF 5): la cuenta 2025 y la de 2024 reexpresada son solo KDA + Discovery + otros; el balance a 31-dic-25 lleva Maritime en dos líneas de mantenido para distribuir (activos 19.429 M, pasivos 13.220 M); el de 2024 y anteriores es el del grupo con Maritime.; 2026: Escisión de Maritime efectiva el 23-abr-26 (1 acción KMAR por 1 KOG); el balance a 30-jun-26 ya no la incluye. Zone 5 Technologies (EE. UU.), consolidada desde el 9-jun-26: 4.485 M pagados por el 89,6 %, fondo de comercio de 3.880 M; entra en el balance de junio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negativo de forma estructural: la empresa cobra antes de producir. El capital circulante publicado pasó de -13.511 M a 31-dic-25 a -9.124 M a 30-jun-26 (-11.486 M en marzo), y los activos por contrato crecieron de 11.650 M a 14.096 M [1]. La caja cayó de 20.189 M a 4.859 M en seis meses: 5.014 M de dividendo, 2.903 M traspasados a Maritime en la escisión, 3.698 M netos por Zone 5, 1.500 M de bonos amortizados y un flujo operativo negativo [1]. La deuda neta con arrendamientos pasó de -14.830 M a -1.704 M [1]. Los balances de 2024 y anteriores incluyen Maritime; el de 2025 la lleva en dos líneas de mantenido para distribuir, y el de 30-jun-26 es el primero solo del nuevo perímetro.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17.900</w:t>
      </w:r>
      <w:r>
        <w:t xml:space="preserve">, conversión </w:t>
      </w:r>
      <w:r>
        <w:rPr>
          <w:b/>
          <w:bCs/>
        </w:rPr>
        <w:t xml:space="preserve">263 %</w:t>
      </w:r>
      <w:r>
        <w:t xml:space="preserve"> del beneficio neto; adquisiciones 1.419, dividendos 12.637, recompras 1.067.</w:t>
      </w:r>
    </w:p>
    <w:p>
      <w:pPr>
        <w:spacing w:after="100"/>
      </w:pPr>
      <w:r>
        <w:t xml:space="preserve">La serie es del grupo con Maritime: la empresa no reexpresó el estado de flujos [3]. Restando el flujo de Maritime que publica, el flujo operativo continuado fue de 10.200 M en 2024 y 8.590 M en 2025, muy por encima del EBITDA (4.180 M y 5.876 M) porque los pasivos por contrato crecieron 12.691 M y 13.412 M en el grupo [3]. Esa caja es anticipo de pedidos, no beneficio: en el 1S26 se dio la vuelta (-2.115 M operativos del grupo, -697 M en el continuado sin el ajuste técnico de la escisión, estimación propia) [1]. El capex del grupo subió de 791 M en 2021 a 2.932 M en 2025 (fábricas de misiles en Kongsberg, EE. UU. y Australia); la empresa anuncia más inversión hasta 2027-2028 y no separa mantenimiento de crecimiento [1, 3]. Los intereses pagados van en financiación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firma una opinión favorable sobre las cuentas de 2025 y lleva 39 años como auditor, desde 1987 [3]. No hay cambios de criterio relevantes: las normas nuevas de 2026 no tuvieron efecto material [1]. El riesgo contable está en el reconocimiento por grado de avance (75 % de los ingresos de contratos), que depende de estimar el coste total de proyectos largos de defensa; el auditor lo destacó como cuestión clave [3, 5]. La capitalización de desarrollo es moderada (282 M de 1.195 M en 2025) y los deterioros son pequeños (4 M en 2025, 15 M en 2024) [3]. Las provisiones de garantía del perímetro continuado bajaron a 485 M tras traspasar 435 M a Maritime, y no se publica ninguna provisión por contratos onerosos [3]. Dos cosas complican la lectura de los indicadores del motor: los balances de 2021-2024 incluyen Maritime mientras la cuenta 2024-2025 no, y el flujo operativo está inflado por los anticipos de clientes, que en 2025 más que duplicaron el EBITDA [3]. Desde 2026 la empresa destaca cifras con joint ventures proporcionales; las NIIF siguen publicándose y son las que se usan aquí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Reconocimiento de ingresos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los ingresos de contratos de 2025 se reconoce por avance, casi siempre coste incurrido sobre coste total estimado; el auditor lo trató como cuestión clave de auditoría (2023)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que inflan 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pasivos por contrato crecieron 12.691 M (2024) y 13.412 M (2025) en el flujo del grupo; en el 1S26 el circulante consumió 4.837 M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39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1987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1.195 M de desarrollo propio en 2025 se capitalizaron 282 M (24 %); saldo capitalizado de 1.205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1T26 los titulares incluyen joint ventures proporcionales (KSAT, KTA) como medida alternativa; con ellos, el EBIT 2025 sube de 4.694 a 4.943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Contingencia por la licencia de exportación a Malasia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Noruega retiró la licencia de NSM a Malasia (124 M EUR); el ajuste contable del 2T26 no se cuantifica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El ROIC del perímetro continuado fue del 20,0 % en 2024 y del 40,4 % en 2025, frente a un WACC del 10,1 %: Kongsberg crea valor con holgura. Pero el salto de 2025 viene de la rotación, no del margen: el capital invertido bajó de 12.523 M a 9.024 M porque los anticipos de clientes (pasivos por contrato de 31.124 M a dic-25) financian existencias, clientes y obra en curso [3]. El margen EBIT subió algo menos de dos puntos (13,0 % a 14,9 %). Con los anticipos normalizándose (el 1S26 ya consumió unos 4.800 M) y un periodo de inversión elevada en 2026-2028, el ROIC bajará aunque siga muy por encima del WACC [1]. Los ROIC de 2022-2023 (12,8-12,9 %) mezclan un NOPAT sin Maritime con un balance con Maritime y no son comparables. Frente a sus pares, Kongsberg rinde más que Rheinmetall (18,7 %), Saab (14,6 %) o BAE (13,7 %), y por debajo de Lockheed (27,4 %) [61].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4.859 M (243 M en un fondo de liquidez) + crédito sindicado comprometido de 3.000 M (vence 22-mar-29, ampliado en 500 M el 15-jun-26) + descubierto de 1.500 M, ambos sin disponer [1]. Deuda financiera bruta de 1.100 M (bono KOG15 de 1.000 M y 100 M prestados por Patria a KAMS) y 2.054 M de arrendamientos: deuda neta con arrendamientos de -1.704 M (caja neta) frente a -14.830 M a 31-dic-25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Nordic Credit Rating: A- (emisor a largo plazo), perspectiva estable; evaluación individual BBB+; última actualización 8-abr-2026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no es la deuda (1.100 M) sino los pasivos por contratos: 33.879 M a 30-jun-26, siete veces la caja de 4.859 M [1]. A 31-dic-25 incluían 30.804 M de anticipos de clientes en bruto [3]. No se describen como reembolsables: se compensan con la ejecución del contrato (11.910 M de los anticipos del saldo inicial pasaron a ingresos en 2025, frente a 6.177 M en 2024) [3]. Por eso la caja neta de 2025 era, en buena parte, prefinanciación de pedidos que se consumirá al entregar. Pensiones de 210 M en el perímetro continuado (381 M más se fueron con Maritime) [3]. Provisiones corrientes de 703 M, sobre todo garantías [3]. Zone 5 deja una opción de compra y venta sobre el 10,4 % restante, que probablemente se ejecutará en dos años, y una contraprestación contingente de 522 M [1]. En mayo de 2026 Noruega retiró la licencia de exportación de misiles NSM a Malasia (contrato de 124 M EUR de 2018); el efecto contable ya está en el 2T26 y no se cuantifica [1]. No hay covenants publicados en el bono.</w:t>
      </w:r>
    </w:p>
    <w:p>
      <w:pPr>
        <w:pStyle w:val="Heading1"/>
      </w:pPr>
      <w:r>
        <w:t xml:space="preserve">12. Asignación de capital</w:t>
      </w:r>
    </w:p>
    <w:p>
      <w:pPr>
        <w:pStyle w:val="Confianza"/>
        <w:spacing w:after="100"/>
      </w:pPr>
      <w:r>
        <w:t xml:space="preserve">Confianza: Media</w:t>
      </w:r>
    </w:p>
    <w:p>
      <w:pPr>
        <w:spacing w:after="100"/>
      </w:pPr>
      <w:r>
        <w:t xml:space="preserve">La política es pagar un dividendo ordinario por acción estable o creciente, con la posibilidad de dividendos extraordinarios y recompras por encima [3]. Por el ejercicio 2025 se pagaron 5,70 NOK por acción (5.014 M), de las que 3,50 NOK fueron extraordinarias, el 22-abr-26, justo antes de la escisión [3]. Las recompras se pararon tras 2023 (267 M en 2023, 483 M en 2022, 317 M en 2021); desde entonces solo hay compras de autocartera para el plan de acciones de empleados [3, 4]. Las prioridades declaradas para la caja en 2026 son capacidad de producción, desarrollo propio y compras como Zone 5, con un periodo de inversión alta hasta 2027-2028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 5 Technologies (EE. UU.), misiles de bajo coste en grandes series; 89,6 %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contraprestación contingente de 522 M y opción sobre el 10,4 %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9-jun-26; fondo de comercio de 3.880 M; resta margen a Missiles &amp; Aerostructures mientras escala producción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Kongsberg Maritime (1 acción KMAR por 1 KOG, 24 % del valor del grupo según el plan de escisión)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especie a los accionistas; 2.903 M de caja traspasados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Efectiva el 23-abr-26; Maritime cotiza aparte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Naxys Technologies (Bergen), monitorización acústica submarina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 M de ingresos en 2024; integrada en Discovery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NanoAvionics (Lituania), pequeños satélites; 77 %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 M EUR por el 100 %; base del crecimiento en satélites de Discovery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Patria (Finlandia), 49,9 %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Asociada; aporta 449 M de resultado en 2025 (274 M en 2024) y 196 M de dividendo; valor contable de 3.692 M a jun-26 [1, 3].</w:t>
            </w:r>
          </w:p>
        </w:tc>
      </w:tr>
    </w:tbl>
    <w:p>
      <w:pPr>
        <w:spacing w:after="160" w:before="0"/>
      </w:pPr>
    </w:p>
    <w:p>
      <w:pPr>
        <w:spacing w:after="100"/>
      </w:pPr>
      <w:r>
        <w:t xml:space="preserve">La dirección ha repartido mucho y ha comprado poco. En 2021-2025 pagó 12.637 M en dividendos y 1.067 M en recompras, frente a 1.419 M en compras de empresas, con el capex del grupo subiendo de 791 M a 2.932 M [3, 4, 6]. La escisión de Maritime separó un negocio de 27.058 M de ingresos y 4.669 M de EBIT en 2025 (con 1.206 M de plusvalía) [3]. Zone 5 es la mayor compra de la década en el nuevo perímetro: 4.485 M por el 89,6 % de una empresa sin cifras de ingresos publicadas, con 3.880 M de fondo de comercio [1]. Patria es la inversión más rentable del periodo: el resultado atribuido pasó de 150 M en 2021 a 449 M en 2025 [3, 6]. La caja neta de 14.830 M de dic-25 desapareció en seis meses entre el dividendo de 5.014 M, Zone 5 y la escisión, justo cuando la empresa anuncia un ciclo de inversión hasta 2028 [1]. No hay dilución: el número de acciones bajó de 179 a 176 millones (antes del split) por las amortizaciones de 2021-2023 y desde entonces está estable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Eirik Lie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software, en el grupo desde 1990 aproximadamente; dirigió la división Integrated Defence Systems desde 2006 y Kongsberg Defence Systems (luego Kongsberg Defence &amp; Aerospace) desde enero de 2017 [46]. Con él al frente, KDA mejoró el EBIT un 40,4 % en 2025 [29]. Sustituyó a Geir Håøy al completarse la escisión de Maritime en abril de 2026 [38]. Tenía 93.568 acciones tras recibir 1.599 del plan a largo plazo el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Wien Fjell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vicepresidente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previa en Umoe, Fondsfinans y Morgan Stanley [39]. Presidió Kongsberg Discovery desde febrero de 2023, con un EBIT un 43 % mayor en 2025 [29], y pasó a CFO al completarse la escisión, en relevo de Mette Toft Bjørgen, que se fue de CFO a Kongsberg Maritime [39]. Tenía 39.902 acciones a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con 8 años en el consejo a la junta de 2025, presidente de otros consejos [35]. Preside la comisión de compensación [3, 29]. Tenía 19.250 acciones a 31-dic-2025 [29]. Reelegido presidente en mayo de 2025 por dos años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Kjetil Reiten Myhra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Defence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sistemas de defensa (defensa aérea NASAMS, estaciones de armas remotas) en la estructura de tres divisiones creada tras la escisión [45]. Figura como persona con información privilegiada (primary insider) en el programa de acciones para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Øyvind Kolset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Missiles &amp; Aerostructures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misiles (NSM, JSM) y aeroestructuras, la que concentra los grandes pedidos de 2025-2026 [45]. Persona con información privilegiada en el programa de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Camilla Kiss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división Discovery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Sucede a Martin Wien Fjell al frente de Discovery (sensores y robótica submarina), que tras la escisión es una de las tres divisiones de la nueva KONGSBERG [45]. Persona con información privilegiada en el programa de empleados de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objetivo a largo plazo de margen EBITDA del 17 % en 2025, publicado con las perspectivas de 2024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cerró 2025 con 25.320 M NOK de ingresos y 4.814 M NOK de EBITDA, un margen del 19,0 % (18,5 % en 2024)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continuado en 2025 en todas las áreas, con 35.400 M NOK de la cartera para entregar en el año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de 57.239 M NOK (+19,5 %), EBIT +28,6 % y mejora del EBIT en las tres áreas: Maritime +10 %, KDA +40,4 % y Discovery +43 %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Escindir Kongsberg Maritime y sacarla a bolsa en el segundo trimestre de 2026, con el CEO y el CFO de la nueva KONGSBERG ya designados (anuncio de 30-oct-2025) [38,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Escisión aprobada en la junta extraordinaria de 22-ene-2026 y completada el 22-abr-2026; Maritime cotiza aparte desde el 23-abr-2026; Eirik Lie y Martin Wien Fjell asumieron sus cargos en esa fecha [38, 39,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cambió de cabeza en abril de 2026, pero no de casa: Eirik Lie, nuevo CEO, lleva unos 35 años en el grupo y dirigía la defensa desde 2017 [38, 46]; el CFO, Martin Wien Fjell, presidía Discovery desde 2023 [39]. Geir Håøy se va tras unos diez años como CEO en los que los ingresos pasaron de unos 15.000 a 57.239 M NOK [29, 47]. La sucesión fue interna y se anunció casi seis meses antes. La credibilidad se apoya en objetivos cumplidos (margen de KDA del 19,0 % frente al 17 % prometido) [7], pero el objetivo de 100.000 M NOK de ingresos en 2029, el triple de 2025, aún no tiene historial que lo respalde [44]. Los tres jefes de división son nuevos en la cúpula y no publican su participación.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Henriksen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Merete Hverven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(compró 5.000 acciones en bolsa el 12-feb-2026 [40])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(CFO de WS Audiology; ex CFO de Ørsted)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Pål Eitrheim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Statkraft, empresa 100 % estatal)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Kjersti Rød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Rune Fanøy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Vegard Ryen Skullerud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4,44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noruego (Ministerio de Comercio, Industria y Pesca)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439.840.630 acciones tras el desdoblamiento 1:5; el Estado apoyó la escisión y su participación no cambió [3,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(fondo nacional de pensiones, gestor estatal)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5,90 % (51,9 M de acciones) a 31-dic-2025 al 4,99 % (43,9 M) el 17-abr-2026, cuando cruzó a la baja el umbral del 5 %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Must Invest AS (familia Must)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propone miembro del comité de nombramientos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22.250.000 acciones; Christian Must entra en el comité de nombramientos en abril de 2026 en lugar de Erik Must [3,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16.867 acciones a 31-dic-2025 y 0 tras entregar las del plan a largo plazo el 27-mar-2026; se recompra solo para los planes de empleados y directivos [3,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Merete Hverven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Geir Håøy (entonces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Eirik Lie (hoy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Wien Fjell (hoy CFO),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Karde (asesor jurídico),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en efectivo, tiene un tope del 50 % del sueldo base y paga por mejora del EBIT (40 %), ROACE (30 %), crecimiento de ingresos (10 %) y objetivos individuales (20 %) [33]; en 2025 (EBIT +28,6 %, ROACE del 95,5 %) pagó casi el máximo [29]. El variable a largo plazo, hasta el 30 % del sueldo del CEO en acciones bloqueadas tres años, se cobra entero con EBIT positivo y ROACE de al menos el 20 %, listón que el grupo rebasa de largo [29, 33]. Hay recuperación del variable durante tres años por faltas graves e indemnización con tope de 12 meses [33]. El Estado vota a favor, pero objeta que el tope del 50 % duplica el 25 % de sus directrices [31]. Los minoritarios lo castigan: un 21,7 % en contra en 2025 [30, 31, 32].</w:t>
      </w:r>
    </w:p>
    <w:p>
      <w:pPr>
        <w:pStyle w:val="Heading2"/>
      </w:pPr>
      <w:r>
        <w:t xml:space="preserve">Operaciones vinculadas, estructura de control y defensas</w:t>
      </w:r>
    </w:p>
    <w:p>
      <w:pPr>
        <w:spacing w:after="100"/>
      </w:pPr>
      <w:r>
        <w:t xml:space="preserve">El Estado noruego tiene el 50,004 % y controla la junta: decide solo cualquier acuerdo ordinario [3]. No hay pacto, clases de acciones ni límites de voto en los estatutos [49]. El consejo lo propone un comité de nombramientos de cuatro miembros elegido por la junta: un director del Ministerio de Comercio, Industria y Pesca, uno de Folketrygdfondet (gestor estatal de pensiones), uno de la familia Must y una presidenta independiente; el mismo comité propuso el consejo de Kongsberg Maritime [34, 37]. Los cinco consejeros de los accionistas se declaran independientes del Estado; otros tres los eligen los empleados por ley [3, 34]. La principal operación vinculada es comercial: el Ministerio de Defensa es cliente y en 2025 se facturaron 3.916 M NOK a clientes estatales, bajo las normas de contratación de las Fuerzas Armadas [3].</w:t>
      </w:r>
    </w:p>
    <w:p>
      <w:pPr>
        <w:pStyle w:val="Heading2"/>
      </w:pPr>
      <w:r>
        <w:t xml:space="preserve">Señales de alerta</w:t>
      </w:r>
    </w:p>
    <w:p>
      <w:pPr>
        <w:pStyle w:val="ListParagraph"/>
        <w:numPr>
          <w:ilvl w:val="0"/>
          <w:numId w:val="2"/>
        </w:numPr>
        <w:spacing w:after="60"/>
      </w:pPr>
      <w:r>
        <w:t xml:space="preserve">Investigación penal abierta el 25-oct-2025 en Noruega sobre Kongsberg Discovery (hoy división de la nueva KONGSBERG) por posible infracción del control de exportaciones: equipos de vigilancia submarina habrían llegado a clientes militares rusos. La empresa sostiene que cumplió la normativa; ni el informe anual 2025 ni los trimestrales de 2026 la mencionan [50].</w:t>
      </w:r>
    </w:p>
    <w:p>
      <w:pPr>
        <w:pStyle w:val="ListParagraph"/>
        <w:numPr>
          <w:ilvl w:val="0"/>
          <w:numId w:val="2"/>
        </w:numPr>
        <w:spacing w:after="60"/>
      </w:pPr>
      <w:r>
        <w:t xml:space="preserve">Voto de castigo recurrente a la remuneración: el 20,5 % en contra del informe de 2024 y el 21,7 % de la política en la junta de 2025; descontado el Estado, entre el 48 % y el 55 % de los votos libres fueron en contra en 2024-2025, y el 39 % en 2026 [30, 31, 32].</w:t>
      </w:r>
    </w:p>
    <w:p>
      <w:pPr>
        <w:pStyle w:val="ListParagraph"/>
        <w:numPr>
          <w:ilvl w:val="0"/>
          <w:numId w:val="2"/>
        </w:numPr>
        <w:spacing w:after="60"/>
      </w:pPr>
      <w:r>
        <w:t xml:space="preserve">El variable a largo plazo es casi automático (basta un EBIT positivo y un ROACE de al menos el 20 %, con un ROACE real del 95,5 %), y el Estado pide rebajar el tope del variable anual del 50 % al 25 % [29, 31, 33].</w:t>
      </w:r>
    </w:p>
    <w:p>
      <w:pPr>
        <w:pStyle w:val="ListParagraph"/>
        <w:numPr>
          <w:ilvl w:val="0"/>
          <w:numId w:val="2"/>
        </w:numPr>
        <w:spacing w:after="60"/>
      </w:pPr>
      <w:r>
        <w:t xml:space="preserve">Cambio de auditor: Ernst &amp; Young audita el grupo desde 1985; por la rotación obligatoria, PwC lo sustituirá desde el ejercicio 2027 [36].</w:t>
      </w:r>
    </w:p>
    <w:p>
      <w:pPr>
        <w:pStyle w:val="ListParagraph"/>
        <w:numPr>
          <w:ilvl w:val="0"/>
          <w:numId w:val="2"/>
        </w:numPr>
        <w:spacing w:after="60"/>
      </w:pPr>
      <w:r>
        <w:t xml:space="preserve">Relevo de CEO y CFO en abril de 2026, a la vez que la escisión de Maritime: el equipo que fija los objetivos de 2029 y 2033 no es el que logró los anteriores [38, 39, 44].</w:t>
      </w:r>
    </w:p>
    <w:p>
      <w:pPr>
        <w:pStyle w:val="ListParagraph"/>
        <w:numPr>
          <w:ilvl w:val="0"/>
          <w:numId w:val="2"/>
        </w:numPr>
        <w:spacing w:after="60"/>
      </w:pPr>
      <w:r>
        <w:t xml:space="preserve">Sin posiciones cortas netas publicadas sobre Kongsberg Gruppen en el registro de Finanstilsynet a la fecha de corte; sí las hay sobre Kongsberg Maritime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día del inversor del 10 de junio de 2026, Kongsberg fijó nuevas ambiciones para el perímetro sin Maritime: triplicar los ingresos hasta 100.000 M NOK en 2029 y llegar a 150.000 M NOK en 2033, con un margen operativo (EBIT) de al menos el 16 % en ese periodo [1]. El informe del 2T26 (12 de julio de 2026) lo reitera y avisa de un periodo de más inversión en capacidad y en desarrollo propio en 2026-2028 [1]. La cartera de pedidos al cierre del 2T26 era de 158.000 M NOK, de los que 21.000 M se entregan en lo que queda de 2026 [1]. La empresa no da una guía numérica anual de ingresos ni de margen para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(perímetro actual) [58]; ingresos y BPA cotejados con S&amp;P Global vía Stock Analysis (42.860 M y 7,33; 8 analistas)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[58]; S&amp;P Global vía Stock Analysis: ingresos 64.610 M, BPA 11,40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329,00 – 554,00</w:t>
            </w:r>
          </w:p>
        </w:tc>
      </w:tr>
    </w:tbl>
    <w:p>
      <w:pPr>
        <w:spacing w:after="160" w:before="0"/>
      </w:pPr>
    </w:p>
    <w:p>
      <w:pPr>
        <w:pStyle w:val="Heading2"/>
      </w:pPr>
      <w:r>
        <w:t xml:space="preserve">Revisiones de estimaciones</w:t>
      </w:r>
    </w:p>
    <w:p>
      <w:pPr>
        <w:spacing w:after="100"/>
      </w:pPr>
      <w:r>
        <w:t xml:space="preserve">El consenso ya está en el perímetro sin Maritime: MarketScreener da para 2026e unos ingresos de 42.858 M NOK, y sus trimestres de 2026 (8.940 M en el 1T y 9.887 M en el 2T) coinciden con los ingresos de operaciones continuadas publicados [1, 58]. El salto de 2027e (+51 %) y 2028e (+34 %) es coherente con la ambición de 100.000 M NOK en 2029 presentada el 10 de junio [1]. Las recomendaciones han mejorado: de 4 positivas sobre 9 analistas en mayo de 2026 a 7 sobre 11 en octubre (5 de compra fuerte, 2 de compra, 3 de mantener y 1 de venta fuerte), según S&amp;P Global [59]. El precio objetivo medio de 397,27 NOK (mediana 387) deja un potencial del 33 % sobre el cierre del 6 de octubre [58, 59]. Las revisiones del BPA a 3 y 12 meses no se publican gratis.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Ajustada por la escisión de Maritime (23-abr-2026), Kongsberg ha subido un 42,8 % en 2026 con dividendos, frente al 22,0 % del OSEBX y el −2,8 % del ETF de defensa estadounidense ITA [51]. A un año, en cambio, queda por detrás del índice (16,9 % frente a 24,8 %): la acción marcó máximos en junio de 2025 y cayó un 41,5 % hasta noviembre de 2025, la mayor caída de los últimos cinco años [51]. El largo plazo es excepcional: 63,2 % anual a tres años y 52,4 % a cinco, con un 2024 de +179 % por el ciclo de rearme europeo y los pedidos de misiles y defensa aérea [1, 51]. La volatilidad de un año es alta (44,6 %). La beta mensual de cinco años frente al OSEBX es 0,91, pero solo 0,29 frente al STOXX Europe 600 y 0,14 frente al MSCI World: la acción se mueve con la geopolítica y los presupuestos de defensa, no con el ciclo bursátil [51]. No hay posiciones cortas netas publicadas por encima del umbral del 0,5 % en el registro de Finanstilsynet [48].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de cierre de 2021-2025 están ajustados por el desdoblamiento 1:5 de junio de 2025 y por la escisión de Maritime con el factor del precio de referencia (307,20/374,20 = 0,821) [51, 52, 53]. Así aproximan el valor del perímetro actual (Defence &amp; Aerospace y Discovery) suponiendo que Maritime pesaba siempre lo mismo en la cotización, lo que no es exacto: el plan de escisión de diciembre de 2025 le asignaba el 24 % del valor y la referencia de abril, el 17,9 % [1, 52]. El cambio estructural es claro: entre 2023 y 2024 el precio casi se triplicó (de 76,4 a 210,2 NOK ajustados) mientras el beneficio crecía bastante menos, y la acción pasó de cotizar como un industrial noruego diversificado a hacerlo como un fabricante de misiles europeo con cartera récord [51]. Ningún proveedor gratuito publica la serie de múltiplos sobre estimaciones de cada año.</w:t>
      </w:r>
    </w:p>
    <w:p>
      <w:pPr>
        <w:pStyle w:val="Heading1"/>
      </w:pPr>
      <w:r>
        <w:t xml:space="preserve">18. Comparables cotizados</w:t>
      </w:r>
    </w:p>
    <w:p>
      <w:pPr>
        <w:pStyle w:val="Confianza"/>
        <w:spacing w:after="100"/>
      </w:pPr>
      <w:r>
        <w:t xml:space="preserve">Confianza: Media</w:t>
      </w:r>
    </w:p>
    <w:p>
      <w:pPr>
        <w:spacing w:after="100"/>
      </w:pPr>
      <w:r>
        <w:t xml:space="preserve">Grandes contratistas de defensa cotizados de Europa y EE. UU. con exposición a misiles, defensa aérea, sistemas de armas y electrónica de defensa, los negocios de Kongsberg Defence &amp; Aerospace [58, 60]. Saab y Rheinmetall son los más parecidos en crecimiento y en dependencia de la demanda europea; Thales, Leonardo y BAE aportan la escala europea; L3Harris, Lockheed Martin y General Dynamics, el ancla estadounidense de crecimiento bajo. Hensoldt y los grupos asiáticos (Hanwha Aerospace) se dejan fuera por no tener series LTM y NTM completas y homogéneas en el mismo proveedor; Kongsberg Maritime ya no forma parte del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Kongsberg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1.126.016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Dynamics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11,4x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12,8x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19,3x / 21,0x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1,9x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12,1 + 0,01 × crecimiento; R² = 0,00. El crecimiento explica poco los múltiplos de estos comparables (R² &lt; 0,3): la regresión no se usa en la valoración.</w:t>
      </w:r>
    </w:p>
    <w:p>
      <w:pPr>
        <w:spacing w:after="100"/>
      </w:pPr>
      <w:r>
        <w:t xml:space="preserve">Los ocho comparables cotizan a una mediana cercana a 11,5 veces el EBITDA de los próximos 12 meses y 19-20 veces el beneficio, con un crecimiento de ventas anualizado de entre el 4 % (General Dynamics) y el 50 % (Rheinmetall) [60]. Kongsberg, con el consenso del perímetro sin Maritime, cotiza a más del doble: en torno a 21 veces el EBITDA de los próximos 12 meses y unas 29 veces el beneficio (cálculo aproximado con el precio del 6 de octubre y el puente a 30-jun-2026) [58]. Su crecimiento esperado, cerca del 50 % anual por la rampa de misiles y defensa aérea, solo lo iguala Rheinmetall, que cotiza a 10,7 veces con un margen EBITDA del 22 % frente al 18-19 % de Kongsberg [60]. Saab, el par nórdico más parecido, está a 18,9 veces creciendo al 22 %. La prima frente a Rheinmetall no la explican ni el crecimiento ni la rentabilidad: refleja la escasez de valores de misiles puros en Europa, el respaldo del Estado noruego y la visibilidad de la cartera (158.000 M NOK) [1]. El múltiplo de referencia para Kongsberg sería el de Saab y Rheinmetall, no la mediana del grupo, que arrastran los contratistas estadounidenses maduros.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Ball Aerospace (sistemas 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5.600 M USD, 19,6 veces el EBITDA comparable de los últimos 12 meses a 30-jun-2023 según el vendedor [62]; EV convertido a NOK con el tipo de la fecha de corte.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Aerojet Rocketdyne (motores de misiles,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L3Harris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USD por acción, valor de la operación de 4.700 M USD con deuda neta; 16,5 veces el EBITDA ajustado de los últimos 12 meses (294 M USD a 30-sep-2022); prima del 37 % sobre el precio no afectado del 15-ago-2022 [63]. El comprador lo presentó como unas 12 veces el EBITDA de 2024e con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Meggitt (componentes aeroespaciales y de defensa,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Hannifin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peniques por acción; valor empresa US GAAP de 7.100 M GBP, 16,3 veces el EBITDA US GAAP de 2019 (24,5 veces el EBITDA NIIF de 2020, deprimido por la pandemia); prima del 70,5 %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Logistik-GmbH (electrónica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675 M EUR más un pago aplazado de hasta 55 M EUR; unas 14 veces el EBITDA de 2024e antes de sinergias (unas 10 veces con sinergias); ventas de unos 330 M EUR [65]. Es un múltiplo sobre estimaciones,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Kaman (componentes aeroespaciales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Arcline Investment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USD por acción, valor empresa de unos 1.800 M USD; prima del 105 % sobre el cierre previo. La nota no publica el múltiplo de EBITDA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 5 Technologies (misiles de bajo coste, EE. UU.), 89,6 %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pagado de 4.485 M NOK por el 89,6 % y 522 M NOK de pago contingente por el resto (opción de compra y venta), con 787 M NOK de caja adquirida; el valor empresa del 100 % es una estimación propia (4.485 + 522 − 787). Fondo de comercio de 3.880 M NOK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(15,7x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143,50 – 156,02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publicado se pagaron entre 14 y 20 veces el EBITDA, con primas del 37-105 % en las cotizadas [62, 63, 64, 65, 66]. Todas son activos de nicho comprados por contratistas mayores o por capital privado. Kongsberg ya cotiza por encima de ese rango (unas 36 veces el EBITDA de los últimos 12 meses), así que las transacciones no sostienen el precio actual: solo lo harían con el EBITDA de 2027e. Además, una operación sobre Kongsberg es casi imposible: el Estado noruego tiene el 50,004 % [3]. Donde sí hay valor de control es en sus participadas: Patria (49,9 %, con el Estado finlandés), que a su vez tiene el 50 % de Nammo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(+34,7 %, fijo) queda en línea con el consenso (42.514 M frente a 42.858 M) con dos trimestres publicados (+28 % en el 1S26) y 19.328 M de cartera para el 2S26 [1, 58]. 2027e (+46 %) y 2028e (+30 %) quedan un 3,9 % y un 6,6 % por debajo del consenso: la cartera ya cubre 41.944 M de 2027 (dos tercios del consenso, seis meses antes que la de 2026) y 91.484 M para 2028 y después, pero la capacidad de producción de misiles y NASAMS es el cuello de botella [1, 2]. Después, 18 % y 12 % hasta 2030 y bajada gradual al 4 % en 2035: 95.200 M en 2029 y 131.800 M en 2033, por debajo de la ambición de 100.000 M y 150.000 M de la empresa (que incluye JV y compras) [44]. El gasto de la OTAN Europa y Canadá crece un 7,5 % anual previsto [14, 15].</w:t>
      </w:r>
    </w:p>
    <w:p>
      <w:pPr>
        <w:keepNext/>
        <w:spacing w:after="100"/>
      </w:pPr>
      <w:r>
        <w:rPr>
          <w:b/>
          <w:bCs/>
        </w:rPr>
        <w:t xml:space="preserve">Márgenes.</w:t>
      </w:r>
    </w:p>
    <w:p>
      <w:pPr>
        <w:spacing w:after="100"/>
      </w:pPr>
      <w:r>
        <w:t xml:space="preserve">Margen EBITDA del 20,0 % en 2026e y 20,3-20,5 % en 2027-2030, como el consenso (20,0-20,3 %) y por encima del 18,6 % de 2025: el apalancamiento operativo de 2025 (+1,6 puntos) y el 1S26 (20,1 %) lo sostienen [1, 58]. Desde 2031 baja al 19,5 % porque la empresa anuncia más desarrollo propio y Zone 5 diluye a Missiles &amp; Aerostructures [1]. Con amortización del 3,5 % de las ventas, el margen EBIT queda en el 16-17 %, en línea con el objetivo de «al menos el 16 %» de la empresa [44]. Rheinmetall gana un 18,5 % de EBIT y Saab un 10,2 % [22, 23].</w:t>
      </w:r>
    </w:p>
    <w:p>
      <w:pPr>
        <w:keepNext/>
        <w:spacing w:after="100"/>
      </w:pPr>
      <w:r>
        <w:rPr>
          <w:b/>
          <w:bCs/>
        </w:rPr>
        <w:t xml:space="preserve">Inversión y circulante.</w:t>
      </w:r>
    </w:p>
    <w:p>
      <w:pPr>
        <w:spacing w:after="100"/>
      </w:pPr>
      <w:r>
        <w:t xml:space="preserve">Capex (con altas de derechos de uso) del 8,5 % de las ventas en 2026e, frente al 8,4 % de 2025, y bajada al 4,3 % en 2034-2035, por encima de la amortización (3,5 %): la empresa avisa de inversión elevada en plantas de misiles en Noruega, EE. UU. y Australia hasta 2028 [1]. El circulante es la palanca más delicada: los anticipos llevaron el circulante al −35,2 % de las ventas en 2025, pero el 1S26 consumió unos 4.800 M y en junio estaba en torno al −12,5 % [1]. Proyectamos −16 % en 2026e y −10 % desde 2029 (−8 % al final): el modelo de anticipos de defensa se mantiene, pero no en el nivel récord de 2025.</w:t>
      </w:r>
    </w:p>
    <w:p>
      <w:pPr>
        <w:keepNext/>
        <w:spacing w:after="100"/>
      </w:pPr>
      <w:r>
        <w:rPr>
          <w:b/>
          <w:bCs/>
        </w:rPr>
        <w:t xml:space="preserve">Coste del capital.</w:t>
      </w:r>
    </w:p>
    <w:p>
      <w:pPr>
        <w:spacing w:after="100"/>
      </w:pPr>
      <w:r>
        <w:t xml:space="preserve">Tasa libre del 4,68 %: bono genérico del Estado noruego a 10 años de Norges Bank del 6-oct-2026 [54]. Beta de 1,0: entre la regresión mensual de cinco años frente al OSEBX (0,91) y la sectorial de Damodaran de defensa europea reapalancada (1,19) [51, 57]; las betas frente al STOXX 600 (0,29) y al MSCI World (0,14) no sirven porque la acción se mueve con la geopolítica [51]. Prima de mercado del 5,5 %, sin prima adicional (rating A−, caja neta) [1]. Coste de la deuda del 5,0 % (bono KOG15 al 4,85 %) con un peso del 1,2 % a valor de mercado [1]. WACC del 10,10 %. Con la prima implícita de Damodaran (4,20 %, columna «ERP (T12 m with sustainable payout)» de octubre de 2026), el WACC sería del 8,82 % [56].</w:t>
      </w:r>
    </w:p>
    <w:p>
      <w:pPr>
        <w:keepNext/>
        <w:spacing w:after="100"/>
      </w:pPr>
      <w:r>
        <w:rPr>
          <w:b/>
          <w:bCs/>
        </w:rPr>
        <w:t xml:space="preserve">Valor terminal.</w:t>
      </w:r>
    </w:p>
    <w:p>
      <w:pPr>
        <w:spacing w:after="100"/>
      </w:pPr>
      <w:r>
        <w:t xml:space="preserve">Gordon con crecimiento del 3,0 %: inflación objetivo del 2 % en Noruega más un 1 % real, coherente con la tasa libre del 4,68 % [54]. El valor terminal implica 8,9 veces el EBITDA de 2035, frente a 11,5 veces de mediana de los comparables a 12 meses: múltiplos de un sector en pleno ciclo de rearme, que no suponemos perpetuos [60]. El valor terminal pesa un 59 % del valor empresa. No se usa la etapa de transición: la proyección explícita ya llega a 2035, el horizonte del objetivo de gasto de la OTAN.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273,80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 (base: 15,2 %)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 (base: 19,5 %)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10,1 %)</w:t>
            </w:r>
          </w:p>
        </w:tc>
      </w:tr>
    </w:tbl>
    <w:p>
      <w:pPr>
        <w:spacing w:after="160" w:before="0"/>
      </w:pPr>
    </w:p>
    <w:p>
      <w:pPr>
        <w:spacing w:after="100"/>
      </w:pPr>
      <w:r>
        <w:t xml:space="preserve">El DCF da </w:t>
      </w:r>
      <w:r>
        <w:rPr>
          <w:b/>
        </w:rPr>
        <w:t xml:space="preserve">214,56 NOK por acción, un 28,2 % por debajo del precio</w:t>
      </w:r>
      <w:r>
        <w:t xml:space="preserve">, con el valor terminal en el 59 % del valor empresa y un rango de 193,85 a 241,87 NOK con WACC y crecimiento ±0,5 puntos. El DCF inverso dice que, con nuestro WACC del 10,10 %, el precio exige un </w:t>
      </w:r>
      <w:r>
        <w:rPr>
          <w:b/>
        </w:rPr>
        <w:t xml:space="preserve">crecimiento anual de las ventas del 20,3 % en 2027-2035</w:t>
      </w:r>
      <w:r>
        <w:t xml:space="preserve"> (frente al 15,2 % de nuestro caso base, ya cerca del consenso) o un margen EBITDA del 26 % (frente al 19,5 %). Dicho de otra forma: con nuestras cifras, el precio rinde un </w:t>
      </w:r>
      <w:r>
        <w:rPr>
          <w:b/>
        </w:rPr>
        <w:t xml:space="preserve">8,1 % anual</w:t>
      </w:r>
      <w:r>
        <w:t xml:space="preserve">, por debajo de nuestro coste de capital (10,1 %) y también del 8,8 % que pide hoy el mercado con su prima implícita. Para justificar 299 NOK hay que creer que Kongsberg cumple y supera sus objetivos de 2029 y 2033, o aceptar una rentabilidad inferior incluso a la que pide hoy el mercado. Lo primero ya está en nuestro alcista, que vale 298,12 NOK: el precio descuenta el plan de la dirección entero.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alto el fuego en Ucrania y la presión fiscal frenan los pedidos europeos; los programas se retrasan y la capacidad nueva se llena más despacio: 2027 crece un 34 % y 2028 un 20 % en vez de 46 % y 30 %, y después 3 puntos menos cada año. El margen EBITDA vuelve al 17-18 % de 2022-2024 por la mezcla, las donaciones y la dilución de Zone 5, como ya se vio en el 2T26 (EBIT del 16,1 % frente a ≈ 17 % esperado) [1, 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152.756 M se entrega a ritmo creciente: 62.100 M en 2027 y 80.700 M en 2028, algo por debajo del consenso, con margen EBITDA del 20-20,5 % y un periodo de inversión elevada hasta 2028 [1, 58]. En 2029 Kongsberg factura 95.200 M y en 2033 unos 131.800 M, por debajo de su ambición (100.000 y 150.000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cumple el plan del día del inversor: unos 101.900 M de ingresos en 2029 y 157.000 M en 2033, con nuevos clientes de JSM y NASAMS (Kuwait, Canadá, Alemania), SAFE financiando compras europeas y Discovery creciendo en protección submarina [1, 18, 44]. El margen EBITDA sube un punto por escala y el WACC baja medio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212,37 NOK (-29,0 %).</w:t>
      </w:r>
    </w:p>
    <w:p>
      <w:pPr>
        <w:spacing w:after="100"/>
      </w:pPr>
      <w:r>
        <w:t xml:space="preserve">La asimetría es desfavorable con nuestro WACC: el alcista, que supone cumplir el plan de 2029 y 2033 entero, vale 298,12 NOK (−0,3 %), y el bajista 122,25 NOK (−59,1 %). Es decir, el precio ya paga el mejor caso razonable. Con la prima implícita del mercado (WACC del 8,82 %), el alcista daría 372,89 NOK y el bajista 142,96 NOK, una asimetría de 0,47x: incluso con la tasa que acepta hoy el mercado, se pierde más en el bajista de lo que se gana en el alcista. El bajista no es cosmético: es crecer al 34 % y al 20 % en 2027-2028 con el margen de 2024, algo que la empresa ya ha vivido.</w:t>
      </w:r>
    </w:p>
    <w:p>
      <w:pPr>
        <w:pStyle w:val="Heading1"/>
      </w:pPr>
      <w:r>
        <w:t xml:space="preserve">22. Suma de partes</w:t>
      </w:r>
    </w:p>
    <w:p>
      <w:pPr>
        <w:pStyle w:val="Confianza"/>
        <w:spacing w:after="100"/>
      </w:pPr>
      <w:r>
        <w:t xml:space="preserve">Confianza: Media</w:t>
      </w:r>
    </w:p>
    <w:p>
      <w:pPr>
        <w:spacing w:after="100"/>
      </w:pPr>
      <w:r>
        <w:t xml:space="preserve">No aplica. Las tres divisiones venden a los mismos clientes (ministerios de defensa y la OTAN), con márgenes EBIT parecidos en 2025 (Defence Systems 18,7 %, Missiles &amp; Aerostructures 17,3 %, Discovery 16,1 %) y los mismos comparables [1, 2]. Las participadas (Patria 49,9 % y KSAT 50 %) se valoran aparte en el puente, por múltiplo de beneficio.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204,75 NOK (-31,5 % sobre 299,00).</w:t>
      </w:r>
    </w:p>
    <w:p>
      <w:pPr>
        <w:spacing w:after="100"/>
      </w:pPr>
      <w:r>
        <w:t xml:space="preserve">Pesos: DCF 45 %, escenarios 30 %, comparables 20 % y transacciones 5 %. El DCF manda porque Kongsberg está en una fase de crecimiento (cartera de 4,3 veces las ventas de los últimos 12 meses) que ningún múltiplo a 12 meses recoge: con la mediana de los comparables (11,5 veces el EBITDA a 12 meses) valdría 172,99 NOK, pero esos pares crecen un 9,1 % y Kongsberg en torno al 40 % [60]. Los comparables pesan un 20 % como recordatorio de lo que paga el mercado por el sector; las transacciones, un 5 %, porque son de 2021-2023, con primas de control y de negocios más lentos. </w:t>
      </w:r>
      <w:r>
        <w:rPr>
          <w:b/>
        </w:rPr>
        <w:t xml:space="preserve">Patria y KSAT se valoran por múltiplo de beneficio</w:t>
      </w:r>
      <w:r>
        <w:t xml:space="preserve"> (18 veces la parte de Kongsberg: 607 M de Patria en los últimos 12 meses y 179 M de KSAT en 2025), 14.268 M frente a 4.983 M de valor contable [1, 3]: su resultado supera el 10 % del EBIT, y el valor contable rinde un 16 %. Suma unos 10,6 NOK por acción. Los anticipos de clientes se compensan con entregas: van al circulante del DCF, no al puente. Todos los métodos quedan por debajo del precio, también el DCF con la prima implícita del mercado (261,15 NOK).</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margen tras el 16,1 % de EBIT del 2T26 y de la conversión de la cartera en el 2S26 (19.328 M para entregar) [1,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del contrato NASAMS para Kuwait vía Raytheon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grande que solo entra en la cartera al firmarse; confirmaría la demanda de defensa aérea fuera de la OTAN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préstamos y compras conjuntas del programa SAFE (150.000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puede participar como país del EEE; acelera pedidos europeos de NSM, JSM y NASAMS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dividendo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sin la caja de los anticipos de 2025 y la primera guía anual del nuevo perímetro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remuneración tras tres años con un 39-55 % del capital libre en contra; nuevo auditor (PwC) [30,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Escalado de Zone 5 y de las plantas de misiles en EE. UU. y Australia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Diluye el margen de Missiles &amp; Aerostructures mientras escala; 3.880 M de fondo de comercio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precio ya descuenta el plan de 2029-2033 entero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hasta el DCF base; el alcista (plan cumplido) vale 298,12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de 152.756 M y book-to-bill de 1,8 en 2025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las ventas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mezcla, donaciones, desarrollo propio y Zone 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con −2,5 puntos de margen: 122,25 NOK (−59 %)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operativo ≥ 16 % y 18,6 % de EBITDA en 2025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por debajo del 15 %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rearme (alto el fuego en Ucrania, presión fiscal)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−59 %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OTAN del 3,5 % del PIB hasta 2035 y contratos marco plurianuales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 presupuestos de defensa de Alemania, Polonia o Noruega.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200,74 a 230,51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rating 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noruego a 10 años por encima del 5 % [54].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5 puntos menos de anticipos sobre ventas en 2030 restan ≈ 5.000 M de caja (≈ 6 NOK)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entregas, no se devuelven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los 30.000 M con la cartera creciendo.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Raytheon en NASAMS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Defence Systems es el 44 % de las ventas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NOMADS y antidrones propios; acuerdos de producción con Raytheon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en el suministro de misiles AMRAAM o cambios en el acuerdo de Kuwait.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exportación noruegas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Contrato NSM de Malasia (124 M EUR) cancelado por la retirada de la licencia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el resto de Europa y Norteamérica suman el 90 % de las ventas de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o denegaciones de licencias.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penal sobre exportaciones de Discovery a Rusia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 reputacional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sostiene que cumplió la normativa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Imputación formal o mención en las cuentas.</w:t>
            </w:r>
          </w:p>
        </w:tc>
      </w:tr>
    </w:tbl>
    <w:p>
      <w:pPr>
        <w:spacing w:after="160" w:before="0"/>
      </w:pPr>
    </w:p>
    <w:p>
      <w:pPr>
        <w:pStyle w:val="Heading2"/>
      </w:pPr>
      <w:r>
        <w:t xml:space="preserve">Pre-mortem</w:t>
      </w:r>
    </w:p>
    <w:p>
      <w:pPr>
        <w:spacing w:after="100"/>
      </w:pPr>
      <w:r>
        <w:t xml:space="preserve">Octubre de 2029: Kongsberg cotiza a 180 NOK. La cadena empezó en 2027. Con un alto el fuego en Ucrania, Alemania y Polonia aplazaron fases de sus programas de defensa aérea, y SAFE se gastó sobre todo en proveedores de la UE. Kongsberg siguió entregando cartera, pero los pedidos de 2027 y 2028 quedaron por debajo de las ventas: el book-to-bill pasó de 1,8 en 2025 a 0,9 [2]. Las plantas de misiles de EE. UU. y Australia y Zone 5 se habían construido para un volumen que no llegó, y el margen EBIT bajó del 16 % comprometido al 13-14 %, como en 2022-2024. Los anticipos se consumieron al entregar, la caja neta desapareció y el dividendo extraordinario dejó de pagarse. El mercado dejó de pagar 20 veces el EBITDA y valoró a Kongsberg como a Thales o BAE, a 11-12 veces [60]. El indicador que lo habría anticipado: los pedidos trimestrales por debajo de las ventas y la caída de los pasivos por contrato con la cartera todavía creciendo.</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Industry Top Rated: 1.º entre empresas de su tamaño y 6.º de su sector (top 5 %) [28]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2022-01</w:t>
            </w:r>
          </w:p>
        </w:tc>
      </w:tr>
    </w:tbl>
    <w:p>
      <w:pPr>
        <w:spacing w:after="160" w:before="0"/>
      </w:pPr>
    </w:p>
    <w:p>
      <w:pPr>
        <w:pStyle w:val="Heading2"/>
      </w:pPr>
      <w:r>
        <w:t xml:space="preserve">Asuntos materiales</w:t>
      </w:r>
    </w:p>
    <w:p>
      <w:pPr>
        <w:spacing w:after="100"/>
      </w:pPr>
      <w:r>
        <w:t xml:space="preserve">El asunto que más pesa es el uso final de los productos. Kongsberg depende de licencias noruegas de exportación (DEKSA) y ha firmado una declaración de no participar en armas controvertidas ni nucleares [3]. Eso la mantiene invertible para inversores con criterios éticos: a cierre de 2025 tenían acciones el Folketrygdfondet (fondo de pensiones del Estado, rama doméstica, 5,90 %), KLP (1,08 %) y Storebrand (1,06 %) [3]. El segundo es el capital humano: KDA ha contratado 2.150 personas en tres años para sostener el crecimiento [3]. El clima pesa poco en las cifras: más del 90 % de las emisiones son de uso de los productos vendidos, y los objetivos de reducción se rehacen tras la escisión [3].</w:t>
      </w:r>
    </w:p>
    <w:p>
      <w:pPr>
        <w:pStyle w:val="Heading2"/>
      </w:pPr>
      <w:r>
        <w:t xml:space="preserve">Controversias</w:t>
      </w:r>
    </w:p>
    <w:p>
      <w:pPr>
        <w:spacing w:after="100"/>
      </w:pPr>
      <w:r>
        <w:t xml:space="preserve">El informe anual de 2025 declara que el grupo no fue multado ni condenado por corrupción o soborno en el ejercicio ni condenado por infracciones medioambientales [3]. En los documentos revisados no consta ninguna sanción, litigio material ni incidente propio en 2023-2026. El riesgo indirecto más visible es el de su socio en NASAMS: Raytheon Company firmó en octubre de 2024 un acuerdo de enjuiciamiento diferido con el Departamento de Justicia de EE. UU. por pagos en contratos de Oriente Medio desde 2012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100.000 M de 2029 son compras y JV proporcionales, y cuánto es crecimiento orgánico NIIF?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(95.200 M NIIF) y el consenso cambian el valor en decenas de NOK según la respuesta.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Zone 5 y el desarrollo propio al margen de 2026-2028, y qué margen tiene la cartera firmada?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en toda la proyección mueve el valor más de un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pasivos por contrato sobre ventas considera normal la dirección para el nuevo perímetro?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las ventas de 2029 de nuestro base, cada 10 puntos de anticipos sobre ventas son unos 9.500 M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capacidad anual de NSM/JSM y de lanzadores NASAMS en 2026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no la demanda, decide el ritmo de entrega de una cartera de 152.756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Raytheon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NASAMS pasa por Raytheon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de Kuwait se firma a través de Raytheon; mide la dependencia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intención de subir, bajar o monetizar el 49,9 % de Patria?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valoramos en 10.926 M por múltiplo frente a 3.692 M en libros.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estado está la investigación sobre las exportaciones de Discovery y por qué no figura en las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reputacional sin provisión ni mención.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endurecerán las métricas del variable a largo plazo (ROACE ≥ 20 % frente al 95,5 % real)?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la mitad del capital libre votó en contra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15 controles correctos y 2 explicados. Fuentes: 66 (50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-35,2 % real: genera una variación de circulante de 4.295 M en el primer año. Converge de forma gradual. Explicación: El −35,2 % de 2025 es un máximo de anticipos: a 30-jun-26 el circulante (sin proveedores, que el trimestral no desglosa) ya era ≈ −12,5 % de las ventas de los últimos 12 meses y el 1S26 consumió unos 4.800 M de circulante [1]. El −16 % de 2026e recoge lo ya ocurrido; la variación de 4.295 M es real, no un artefacto.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R² de 0,00: los múltiplos de los comparables dependen más del país y del ciclo de pedidos que del crecimiento a 12 meses (Rheinmetall crece un 50 % y cotiza a 10,7x).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y presentaciones 1T26 y 2T26 de la empresa: sin turno de preguntas; 2) búsqueda de transcripciones de las conferencias 2T26 y 1T26: no hay versión pública; 3) prensa (Investing.com, 13-jul-26) con la reacción y el comentario de Morgan Stanley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detalle de preguntas; se usa la prensa para la reacción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segmentos Maritime, KDA y Otros, sin Discovery; 2) informe anual 2023: solo reexpresa 2022 con Discovery separado; 3) derivarlo: Discovery 2021 iba dentro de Maritime y no hay base para separarlo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2022-2023 por debajo del EBIT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2023 y 2024: solo grupo; 2) informe anual 2025: reexpresa solo 2024; 3) derivarlo: participadas y financiero no se asignan a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ingresos, EBITDA y EBIT calculados y marcados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flujos del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flujos del grupo con Maritime; 2) informes 1T26 y 2T26: igual hasta el 23-abr-26; 3) derivarlo: flujo operativo continuado por diferencia con el de Maritime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el flujo operativo de 2024, 2025 y 1S26)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3T24 y 4T24 y BPA 3T24 continuados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Key figures per quarter 2T26: empiezan en 1T24; 2) informe anual 2025: solo anual; 3) informes trimestrales de 2023: con Maritime,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3T24 a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empresa: no publican consenso; 2) búsqueda de consenso previo del 1T26 en prensa: sin cifras; 3) agregadores (Inderes, TipRanks): sin consenso previo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OTAN, la EDA y el SIPRI (solo gasto, no cuotas de proveedores); 2) cuentas de los competidores (ingresos, sin cuota de mercado); 3) derivarlo: el mercado de equipamiento no tiene un total de ventas por proveedor que permita sumar cinco cuotas sin inventar el denominador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submercado de misiles y defensa aérea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EDA Defence Data 2025-2026 (solo equipamiento total, 115.000 M EUR); 2) tabla 8 de la OTAN (equipamiento por país, sin agregado europeo ni desglose por tipo de arma); 3) SIPRI Fact Sheet 2026 (sin desglose por sistema)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tecnología oceánica y sonar (Discovery)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(solo cualitativo: uno de los mayores fabricantes de instrumentos acústicos); 2) 10-K de Teledyne (solo su segmento Instrumentation, 1.457 M USD); 3) búsqueda de estudios de mercado públicos: solo resúmenes de consultoras de pago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(Kongsberg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2T26 de Kongsberg (no publica cuotas); 2) informes de los competidores (tampoco); 3) estimación sobre el gasto de OTAN Europa y Canadá: 0,5 %, que se da como orden de magnitud en el texto de posición pero no como cuota porque mezcla ventas a EE. UU. con un denominador europeo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MBDA y Diehl Defence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2025 de MBDA (solo ingresos, pedidos y cartera); 2) informe anual 2025 del grupo Diehl (EBIT solo del grupo, 703 M EUR); 3) prensa económica: ninguna publica el resultado de las divisiones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vigentes de MSCI,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(no cita calificaciones; CDP no aparece); 2) página de Sustainalytics de la empresa (la puntuación se carga con JavaScript y no se lee) y Morningstar (403); 3) MarketScreener (solo dice que MSCI la considera buena en su sector, sin la letra)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y vicepresidencia tras la junta de abril de 2026; consejeros elegidos por los empleados tras la escisión)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y recomendación del comité de nombramientos: solo eligen a los consejeros de los accionistas; 2) páginas del consejo y de gobierno en kongsberg.com (404 tras el cambio de web) y comunicados de NewsWeb de 12 meses (ninguno sobre la elección de los representantes de los empleados); 3) búsqueda en prensa y agregadores (solo datos de años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los consejeros de los empleados y las comisiones del informe anual 2025; las comisiones de Wiinholt y Eitrheim quedan vacías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jefes de división (Kjetil Reiten Myhra, Øyvind Kolset, Camilla Kiss)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(solo cubre el equipo de 2025); 2) notificaciones de directivos en NewsWeb (solo importes suscritos en el plan de empleados de 2026, sin saldo); 3) página de dirección de kongsberg.com (sin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publica el sueldo base medio de los empleados en Noruega (952 miles NOK), no el coste medio; 2) informe anual 2025: los gastos de personal incluyen Maritime; 3) cálculo con el sueldo base medio en Noruega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14.394 / 952 = 15,1 veces el sueldo base medio en Noruega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acciones recibidas en el plan para empleados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NewsWeb de 31-ago-2026 (solo importes suscritos, antes de prorrateo); 2) listado de NewsWeb hasta el 7-oct-2026 sin comunicado de entrega; 3) informe del 2T26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(consensus-revisions): datos tras registro de pago; 2) Stock Analysis (S&amp;P Global): solo da la evolución de recomendaciones, no de estimaciones; 3) Simply Wall St y prensa: solo cambios de precio objetivo de analistas concretos, sin serie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 quarter / first half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https://www.kongsberg.com/globalassets/kongsberg/5.-investor-relations/4.-reports-and-presentations/quarterly-reports/2026/q2/kog-quarterly-report-english.pdf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figures per quarter, 2T26 (con y sin joint ventures)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https://www.kongsberg.com/globalassets/kongsberg/5.-investor-relations/4.-reports-and-presentations/quarterly-reports/2026/q2/key-figures-per-quarter-en.pdf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https://www.kongsberg.com/globalassets/kongsberg/5.-investor-relations/4.-reports-and-presentations/annual-report/annual-report-2025/annual-report-english-2025-v2.pdf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https://www.kongsberg.com/globalassets/kongsberg/5.-investor-relations/4.-reports-and-presentations/annual-report/annual-report-2024/kog_ar24_engelsk_final.pdf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&amp; Sustainability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https://www.kongsberg.com/globalassets/kongsberg/5.-investor-relations/4.-reports-and-presentations/annual-report/annual-report-2024/kog_report_updated_220324.pdf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Sustainability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https://www.kongsberg.com/globalassets/kongsberg/5.-investor-relations/4.-reports-and-presentations/annual-report/annual-report-2022/kog-rapport-2022-gb-final-pdf-290323.pdf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https://www.kongsberg.com/globalassets/kongsberg/5.-investor-relations/4.-reports-and-presentations/quarterly-reports/2025/q4/kog-quarterly-report-q425.pdf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https://www.kongsberg.com/globalassets/kongsberg/5.-investor-relations/4.-reports-and-presentations/quarterly-reports/2026/q1/kongsberg-quarterly-report-english-060526.pdf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https://www.kongsberg.com/globalassets/kongsberg/5.-investor-relations/4.-reports-and-presentations/quarterly-reports/2026/q2/kongsberg-q2-2026---investor-presentation.pdf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shares slip 6% after profit growth falls short on margin, order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https://www.investing.com/news/earnings/kongsberg-profit-jumps-as-missile-demand-drives-record-backlog-4787423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https://www.kongsberg.com/news/stories/2026/1/our-history/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Discovering the secrets of the ocean (creación de Kongsberg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https://www.kongsberg.com/news/news-archive/2023/discovering-the-secrets-of-the-ocean/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 in World Military Expenditure, 2025 (SIPRI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https://www.sipri.org/sites/default/files/2026-04/2604_milex_2025.pdf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Expenditure of NATO Countries (2014-2025)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https://nato.int/content/dam/nato/webready/documents/finance/def-exp-2025-en.pdf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Investment of NATO Countries (2014-2026)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https://www.nato.int/content/dam/nato/webready/documents/finance/def-exp-2026-en.pdf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https://eda.europa.eu/docs/default-source/eda-publications/2026-eda_defencedata_webpublic.pdf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https://eda.europa.eu/docs/default-source/brochures/2025-eda_defencedata_web.pdf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SAFE | Security Action for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DEFIS)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https://defence-industry-space.ec.europa.eu/eu-defence-industry/safe-security-action-europe_en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https://www.sec.gov/Archives/edgar/data/101829/000010182926000006/rtx-20251231.htm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https://www.sec.gov/Archives/edgar/data/936468/000162828026004195/lmt-20251231.htm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https://www.sec.gov/Archives/edgar/data/1094285/000109428526000017/tdy-20251228.htm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https://www.saab.com/globalassets/cision/documents/2026/20260205-saab-year-end-report-2025record-order-bookings-building-for-growth-en-0-5300016.pdf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presents Annual Report for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https://www.rheinmetall.com/Rheinmetall%20Group/Presse/News/Documents/2026/03/2026-03-11-Rheinmetall-presents-Annual-Report-for-2025.pdf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2025 Full-Year results, slideshow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https://www.thalesgroup.com/sites/default/files/2026-03/Thales%20_-_FY_2025_-_Slideshow_-%20_03_March_2026_1.pdf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 stepping up to a new strategic dimension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https://www.mbda-systems.com/mbda-stepping-new-strategic-dimension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Geschäftsbericht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Stiftung &amp; Co. KG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https://new.diehl.com/aviation/en/content/download/32940/file/Diehl_Gesch%C3%A4ftsbericht_2025.pdf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(USD, EUR, SEK frente a NOK),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https://data.norges-bank.no/api/data/EXR/B.USD+EUR+SEK+GBP.NOK.SP?format=csv&amp;startPeriod=2025-12-29&amp;endPeriod=2025-12-31&amp;locale=en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receives top sustainability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https://www.kongsberg.com/news/news-archive/2022/kongsberg-receives-top-sustainability-rating/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Management Remuneration Report 2025 (punto 9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https://www.kongsberg.com/globalassets/kongsberg/5.-investor-relations/6.-general-meetings/documents-gm/2026/eng-2026/3item-9---executive-management-remuneration-report-2025_.pdf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13-abr-2026,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https://www.kongsberg.com/globalassets/kongsberg/5.-investor-relations/6.-general-meetings/documents-gm/2026/eng-2026/protocol-with-appendixes-agm-kongsberg-gruppen-asa-2026.pdf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7-may-2025,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https://www.kongsberg.com/globalassets/kongsberg/5.-investor-relations/6.-general-meetings/documents-gm/2025/eng-2025/minutes-agm-kongsberg-gruppen-asa-2025.pdf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7-may-2024, con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https://www.kongsberg.com/globalassets/kongsberg/5.-investor-relations/6.-general-meetings/documents-gm/2024/eng-2024/minutes-agm-kongsberg-gruppen-asa-2024-with-attachments.pdf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Board's guidelines for determining salary and remuneration to executive management (punto 10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https://www.kongsberg.com/globalassets/kongsberg/5.-investor-relations/6.-general-meetings/documents-gm/2025/eng-2025/kog-the-boards-guidelines-for-determining-salary-and-remuneration-to-executive-management---item-10.pdf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2026 (puntos 7, 10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https://www.kongsberg.com/globalassets/kongsberg/5.-investor-relations/6.-general-meetings/documents-gm/2026/eng-2026/2item-7-10-and-11---the-nomination-committees-recommendation-to-the-agm-13-april-2026.pdf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2025 (puntos 7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https://www.kongsberg.com/globalassets/kongsberg/5.-investor-relations/6.-general-meetings/documents-gm/2025/eng-2025/the-recommendation-from-the-nominating-committee-to-the-agm-2025---item-7--11.pdf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 nuevo auditor externo (punto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https://www.kongsberg.com/globalassets/kongsberg/5.-investor-relations/6.-general-meetings/documents-gm/extraordinary-gm/eng/item-6-recommendation-on-appointment-of-a-new-external-autitor.pdf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del comité de nombramientos (punto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https://www.kongsberg.com/globalassets/kongsberg/5.-investor-relations/6.-general-meetings/documents-gm/extraordinary-gm/eng/item-4-recommendation-from-the-nomination-committee.pdf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propone la salida a bolsa de Maritime y la integración de KDA y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https://newsweb.oslobors.no/message/658263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CFO following proposed demerger of Kongsberg Maritime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https://newsweb.oslobors.no/message/660256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 of trade (Merete Hverven)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Transfer of shares in long-term incentive program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Flagging i Kongsberg Gruppen ASA (Folketrygdfondet por debajo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https://newsweb.oslobors.no/message/670860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Subscription period for employee share program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https://newsweb.oslobors.no/message/681327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launches revenue ambitions of NOK 100 billion in 2029 and NOK 150 bn in 2033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https://newsweb.oslobors.no/message/675781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and organisation (equipo directivo tras la escisión)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https://www.kongsberg.com/about-us/management-and-organisation/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Eirik Lie appointed President of Kongsberg Defence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https://www.kongsberg.com/stories.kongsberg.com/content/eirik-lie-appointed-president-kds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Geir Håøy går av som Kongsberg-sjef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Altinget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https://www.altinget.no/eu/artikkel/geir-haaoey-gaar-av-som-kongsberg-sjef-det-er-noe-emosjonelt-der-ogsaa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(Short Sale Register), consulta de emisores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de Kongsberg Gruppen ASA tras la escisión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https://www.kongsberg.com/globalassets/kongsberg/5.-investor-relations/6.-general-meetings/documents-gm/2026/eng-2026/2026-04-23-articles-of-association-kongsberg-gruppen-asa-after-demerger.pdf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Norway – investigation into alleged military technology exports to Russia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Duane Morris, European Sanctions Enforcement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https://blogs.duanemorris.com/europeansanctionsenforcement/2025/11/03/norway-investigation-into-alleged-military-technology-exports-to-russia/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KOG.OL, KMAR.OL, OSEBX.OL (Oslo Børs Benchmark Index GI), ITA (iShares U.S. Aerospace &amp; Defense ETF), EXSA.DE y URTH,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https://finance.yahoo.com/quote/KOG.OL/history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Completion of the demerger of Kongsberg Gruppen ASA (precios de referencia KOG 307,20 NOK y KMAR 67,00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https://www.inderes.se/releases/kongsberg-gruppen-asa-completion-of-the-demerger-of-kongsberg-gruppen-asa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KOG: Ex date stock split, Kongsberg Gruppen ASA (1:5; ISIN nuevo NO0013536151)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https://www.inderes.fi/en/releases/kog-ex-date-stock-split-kongsberg-gruppen-asa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Generic government bond yields, 10 years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https://data.norges-bank.no/api/data/GOVT_GENERIC_RATES/B.10Y.GBON?format=csv&amp;lastNObservations=10&amp;locale=en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Exchange rates (EXR) EUR, USD, GBP, SEK frente a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https://data.norges-bank.no/api/data/EXR/B.EUR+USD+SEK+GBP.NOK.SP?format=csv&amp;lastNObservations=5&amp;locale=en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dato del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Betas by sector, Europe (betaEurope.xls),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Kongsberg Gruppen ASA: Financials (previsiones anuales y trimestrales 2021-2028)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https://www.marketscreener.com/quote/stock/KONGSBERG-GRUPPEN-ASA-1413189/finances/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 OSL:KOG Forecast 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https://stockanalysis.com/quote/osl/KOG/forecast/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Financials (estimaciones anuales 2021-2028, trimestrales y semestrales) de Saab, Rheinmetall, Thales, Leonardo, BAE Systems, L3Harris, Lockheed Martin y General Dynamics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https://www.marketscreener.com/quote/stock/SAAB-AB-6491624/finances/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Statistics de Saab, Rheinmetall, Thales, Leonardo, BAE Systems, L3Harris, Lockheed Martin y General Dynamics (ROIC de los últimos 12 meses y capitalización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https://stockanalysis.com/quote/sto/SAAB.B/statistics/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Ball Announces Agreement to Sell Aerospace Business for $5.6 Billion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https://www.sec.gov/Archives/edgar/data/9389/000000938923000028/ball-20230817xex99.htm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comunicación a accionistas sobre la compra por L3Harris (DEFA14A)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https://www.sec.gov/Archives/edgar/data/40888/000119312522308466/d415225ddefa14a.htm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anuncio de la oferta por Meggitt plc (Rule 2.7, 8-K Ex.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https://www.sec.gov/Archives/edgar/data/76334/000119312521233544/d211612dex21.htm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 Analyst Call: Acquisition of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https://investors.hensoldt.net/media/document/c62ffd6f-0980-4f75-b730-461d0bf50b6e/assets/HENSOLDT_AG_Analyst_Call_ESG.pdf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Kaman to be acquired by Arcline Investment Management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https://www.sec.gov/Archives/edgar/data/54381/000114036124002840/ny20019137x1_ex99-1.htm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Euronext Oslo Børs (KOG, ISIN NO0013536151), en NOK, la misma divisa de las cuentas. Precio: cierre del 6-oct-2026 (299,00 NOK), porque la sesión del 7 no había cerrado al calcular. </w:t>
      </w:r>
      <w:r>
        <w:rPr>
          <w:b/>
        </w:rPr>
        <w:t xml:space="preserve">Perímetro</w:t>
      </w:r>
      <w:r>
        <w:t xml:space="preserve">: Kongsberg Maritime se escindió el 23-abr-2026 (1 acción KMAR por cada KOG) y se presenta como operación interrumpida desde el 4T25 [1, 3]; el informe analiza el Kongsberg que queda (Defence Systems, Missiles &amp; Aerostructures y Discovery). 2024 y 2025 son las cifras NIIF reexpresadas por la empresa; 2022-2023 son estimación propia (suma de los segmentos KDA, Discovery y Otros: ingresos, EBITDA y EBIT, sin cuenta por debajo del EBIT) y 2021 no se puede construir porque Discovery iba dentro de Maritime [3, 4, 5, 6]. La cuenta va sin los joint ventures proporcionales (KSAT, kta) que la empresa añade desde 2026 como medida alternativa. Los balances de 2021-2024 son del grupo con Maritime (en 2025 Maritime está en dos líneas de mantenido para distribuir), así que los ratios de balance anteriores a 2025 no son comparables; el flujo operativo de 2024-2025 es el del grupo menos el de Maritime publicado (estimación por diferencia). Los segmentos vigentes solo tienen 2024-2025 reexpresados. Los precios históricos de Yahoo no estaban ajustados por la escisión (y tenían el salto una semana antes, el 15-abr): se corrigieron con el factor oficial 307,20/374,20 [51, 52]. Comparables convertidos a NOK al tipo de Norges Bank del 6-oct-2026 [55]; competidores, al de cierre de 2025 [27]. No hay transcripciones públicas de las conferencias.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Kongsberg Gruppen ASA (KOG)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(193,85 – 241,87)</c:v>
                </c:pt>
                <c:pt idx="6">
                  <c:v>Escenarios (bajista – alcista) (122,25 – 298,12)</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193.85</c:v>
                </c:pt>
                <c:pt idx="6">
                  <c:v>122.25</c:v>
                </c:pt>
                <c:pt idx="7">
                  <c:v>240.73</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(193,85 – 241,87)</c:v>
                </c:pt>
                <c:pt idx="6">
                  <c:v>Escenarios (bajista – alcista) (122,25 – 298,12)</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48.02000000000001</c:v>
                </c:pt>
                <c:pt idx="6">
                  <c:v>175.87</c:v>
                </c:pt>
                <c:pt idx="7">
                  <c:v>44.72999999999999</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(NOK, millones)</a:t>
            </a:r>
          </a:p>
        </c:rich>
      </c:tx>
      <c:overlay val="0"/>
    </c:title>
    <c:autoTitleDeleted val="0"/>
    <c:plotArea>
      <c:layout/>
      <c:barChart>
        <c:barDir val="col"/>
        <c:grouping val="stacked"/>
        <c:varyColors val="0"/>
        <c:ser>
          <c:idx val="0"/>
          <c:order val="0"/>
          <c:tx>
            <c:strRef>
              <c:f>Hoja1!$B$1</c:f>
              <c:strCache>
                <c:ptCount val="1"/>
                <c:pt idx="0">
                  <c:v>Defence Systems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10630</c:v>
                </c:pt>
                <c:pt idx="1">
                  <c:v>14018</c:v>
                </c:pt>
              </c:numCache>
            </c:numRef>
          </c:val>
        </c:ser>
        <c:ser>
          <c:idx val="1"/>
          <c:order val="1"/>
          <c:tx>
            <c:strRef>
              <c:f>Hoja1!$C$1</c:f>
              <c:strCache>
                <c:ptCount val="1"/>
                <c:pt idx="0">
                  <c:v>Missiles &amp; Aerostructures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7391</c:v>
                </c:pt>
                <c:pt idx="1">
                  <c:v>9808</c:v>
                </c:pt>
              </c:numCache>
            </c:numRef>
          </c:val>
        </c:ser>
        <c:ser>
          <c:idx val="2"/>
          <c:order val="2"/>
          <c:tx>
            <c:strRef>
              <c:f>Hoja1!$D$1</c:f>
              <c:strCache>
                <c:ptCount val="1"/>
                <c:pt idx="0">
                  <c:v>Discovery</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5699</c:v>
                </c:pt>
                <c:pt idx="1">
                  <c:v>6838</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928</c:v>
                </c:pt>
                <c:pt idx="1">
                  <c:v>898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Defence Systems</c:v>
                </c:pt>
                <c:pt idx="1">
                  <c:v>Missiles &amp; Aerostructures</c:v>
                </c:pt>
                <c:pt idx="2">
                  <c:v>Discovery</c:v>
                </c:pt>
                <c:pt idx="3">
                  <c:v>Otros y eliminaciones</c:v>
                </c:pt>
              </c:strCache>
            </c:strRef>
          </c:cat>
          <c:val>
            <c:numRef>
              <c:f>Hoja1!$B$2:$B$5</c:f>
              <c:numCache>
                <c:formatCode>General</c:formatCode>
                <c:ptCount val="4"/>
                <c:pt idx="0">
                  <c:v>44.4</c:v>
                </c:pt>
                <c:pt idx="1">
                  <c:v>31.1</c:v>
                </c:pt>
                <c:pt idx="2">
                  <c:v>21.7</c:v>
                </c:pt>
                <c:pt idx="3">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Resto de Europa</c:v>
                </c:pt>
                <c:pt idx="2">
                  <c:v>Noruega</c:v>
                </c:pt>
                <c:pt idx="3">
                  <c:v>Asia y Oriente Medio</c:v>
                </c:pt>
                <c:pt idx="4">
                  <c:v>Australia</c:v>
                </c:pt>
                <c:pt idx="5">
                  <c:v>Otros (Sudamérica y África)</c:v>
                </c:pt>
              </c:strCache>
            </c:strRef>
          </c:cat>
          <c:val>
            <c:numRef>
              <c:f>Hoja1!$B$2:$B$7</c:f>
              <c:numCache>
                <c:formatCode>0"%"</c:formatCode>
                <c:ptCount val="6"/>
                <c:pt idx="0">
                  <c:v>31.3</c:v>
                </c:pt>
                <c:pt idx="1">
                  <c:v>30.2</c:v>
                </c:pt>
                <c:pt idx="2">
                  <c:v>28.2</c:v>
                </c:pt>
                <c:pt idx="3">
                  <c:v>5.6</c:v>
                </c:pt>
                <c:pt idx="4">
                  <c:v>4</c:v>
                </c:pt>
                <c:pt idx="5">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corrientes (gasto militar básico de OTAN Europa y Canadá))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2025e</c:v>
                </c:pt>
                <c:pt idx="7">
                  <c:v>2026e</c:v>
                </c:pt>
              </c:strCache>
            </c:strRef>
          </c:cat>
          <c:val>
            <c:numRef>
              <c:f>Hoja1!$B$2:$B$9</c:f>
              <c:numCache>
                <c:formatCode>#,##0</c:formatCode>
                <c:ptCount val="8"/>
                <c:pt idx="0">
                  <c:v>301656</c:v>
                </c:pt>
                <c:pt idx="1">
                  <c:v>325896</c:v>
                </c:pt>
                <c:pt idx="2">
                  <c:v>358667</c:v>
                </c:pt>
                <c:pt idx="3">
                  <c:v>355382</c:v>
                </c:pt>
                <c:pt idx="4">
                  <c:v>414564</c:v>
                </c:pt>
                <c:pt idx="5">
                  <c:v>515198</c:v>
                </c:pt>
                <c:pt idx="6">
                  <c:v>653806</c:v>
                </c:pt>
                <c:pt idx="7">
                  <c:v>777066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RTX (segmento Raytheon)</c:v>
                </c:pt>
                <c:pt idx="2">
                  <c:v>Lockheed Martin (Missiles and Fire Control)</c:v>
                </c:pt>
                <c:pt idx="3">
                  <c:v>Thales (Defence)</c:v>
                </c:pt>
                <c:pt idx="4">
                  <c:v>Rheinmetall</c:v>
                </c:pt>
                <c:pt idx="5">
                  <c:v>Saab</c:v>
                </c:pt>
                <c:pt idx="6">
                  <c:v>MBDA</c:v>
                </c:pt>
                <c:pt idx="7">
                  <c:v>Diehl Defence</c:v>
                </c:pt>
                <c:pt idx="8">
                  <c:v>Teledyne (Instrumentation)</c:v>
                </c:pt>
              </c:strCache>
            </c:strRef>
          </c:cat>
          <c:val>
            <c:numRef>
              <c:f>Hoja1!$B$2:$B$10</c:f>
              <c:numCache>
                <c:formatCode>0.0"%"</c:formatCode>
                <c:ptCount val="9"/>
                <c:pt idx="0">
                  <c:v>14.9</c:v>
                </c:pt>
                <c:pt idx="1">
                  <c:v>11.5</c:v>
                </c:pt>
                <c:pt idx="2">
                  <c:v>13.8</c:v>
                </c:pt>
                <c:pt idx="3">
                  <c:v>13.2</c:v>
                </c:pt>
                <c:pt idx="4">
                  <c:v>18.5</c:v>
                </c:pt>
                <c:pt idx="5">
                  <c:v>10.2</c:v>
                </c:pt>
                <c:pt idx="8">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(NOK,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1">
                  <c:v>15409</c:v>
                </c:pt>
                <c:pt idx="2">
                  <c:v>20622</c:v>
                </c:pt>
                <c:pt idx="3">
                  <c:v>24648</c:v>
                </c:pt>
                <c:pt idx="4">
                  <c:v>31562</c:v>
                </c:pt>
                <c:pt idx="5">
                  <c:v>42514</c:v>
                </c:pt>
                <c:pt idx="6">
                  <c:v>62070</c:v>
                </c:pt>
                <c:pt idx="7">
                  <c:v>80692</c:v>
                </c:pt>
                <c:pt idx="8">
                  <c:v>95216</c:v>
                </c:pt>
                <c:pt idx="9">
                  <c:v>106642</c:v>
                </c:pt>
                <c:pt idx="10">
                  <c:v>116240</c:v>
                </c:pt>
                <c:pt idx="11">
                  <c:v>124377</c:v>
                </c:pt>
                <c:pt idx="12">
                  <c:v>131839</c:v>
                </c:pt>
                <c:pt idx="13">
                  <c:v>138431</c:v>
                </c:pt>
                <c:pt idx="14">
                  <c:v>143968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1">
                  <c:v>2777</c:v>
                </c:pt>
                <c:pt idx="2">
                  <c:v>3436</c:v>
                </c:pt>
                <c:pt idx="3">
                  <c:v>4180</c:v>
                </c:pt>
                <c:pt idx="4">
                  <c:v>5876</c:v>
                </c:pt>
                <c:pt idx="5">
                  <c:v>8503</c:v>
                </c:pt>
                <c:pt idx="6">
                  <c:v>12600</c:v>
                </c:pt>
                <c:pt idx="7">
                  <c:v>16542</c:v>
                </c:pt>
                <c:pt idx="8">
                  <c:v>19519</c:v>
                </c:pt>
                <c:pt idx="9">
                  <c:v>21648</c:v>
                </c:pt>
                <c:pt idx="10">
                  <c:v>23248</c:v>
                </c:pt>
                <c:pt idx="11">
                  <c:v>24627</c:v>
                </c:pt>
                <c:pt idx="12">
                  <c:v>25709</c:v>
                </c:pt>
                <c:pt idx="13">
                  <c:v>26994</c:v>
                </c:pt>
                <c:pt idx="14">
                  <c:v>28074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c:v>
                </c:pt>
                <c:pt idx="4">
                  <c:v>59.2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18</c:v>
                </c:pt>
                <c:pt idx="2">
                  <c:v>16.7</c:v>
                </c:pt>
                <c:pt idx="3">
                  <c:v>17</c:v>
                </c:pt>
                <c:pt idx="4">
                  <c:v>18.6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13.3</c:v>
                </c:pt>
                <c:pt idx="2">
                  <c:v>12.3</c:v>
                </c:pt>
                <c:pt idx="3">
                  <c:v>13</c:v>
                </c:pt>
                <c:pt idx="4">
                  <c:v>14.9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3">
                  <c:v>10.6</c:v>
                </c:pt>
                <c:pt idx="4">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13.1</c:v>
                </c:pt>
                <c:pt idx="3">
                  <c:v>34.1</c:v>
                </c:pt>
                <c:pt idx="4">
                  <c:v>29.3</c:v>
                </c:pt>
                <c:pt idx="5">
                  <c:v>35.3</c:v>
                </c:pt>
                <c:pt idx="6">
                  <c:v>27.1</c:v>
                </c:pt>
                <c:pt idx="7">
                  <c:v>29.6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165</c:v>
                </c:pt>
                <c:pt idx="2">
                  <c:v>154</c:v>
                </c:pt>
                <c:pt idx="3">
                  <c:v>158</c:v>
                </c:pt>
                <c:pt idx="4">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159</c:v>
                </c:pt>
                <c:pt idx="2">
                  <c:v>145</c:v>
                </c:pt>
                <c:pt idx="3">
                  <c:v>130</c:v>
                </c:pt>
                <c:pt idx="4">
                  <c:v>86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73</c:v>
                </c:pt>
                <c:pt idx="2">
                  <c:v>61</c:v>
                </c:pt>
                <c:pt idx="3">
                  <c:v>59</c:v>
                </c:pt>
                <c:pt idx="4">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(NOK,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3614</c:v>
                </c:pt>
                <c:pt idx="1">
                  <c:v>-676</c:v>
                </c:pt>
                <c:pt idx="2">
                  <c:v>2609</c:v>
                </c:pt>
                <c:pt idx="3">
                  <c:v>7336</c:v>
                </c:pt>
                <c:pt idx="4">
                  <c:v>5017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2623</c:v>
                </c:pt>
                <c:pt idx="4">
                  <c:v>4173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12.8</c:v>
                </c:pt>
                <c:pt idx="2">
                  <c:v>12.9</c:v>
                </c:pt>
                <c:pt idx="3">
                  <c:v>20</c:v>
                </c:pt>
                <c:pt idx="4">
                  <c:v>40.4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15.1</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1">
                  <c:v>0.17</c:v>
                </c:pt>
                <c:pt idx="2">
                  <c:v>-0.32</c:v>
                </c:pt>
                <c:pt idx="3">
                  <c:v>-2.3</c:v>
                </c:pt>
                <c:pt idx="4">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(NOK,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100</c:v>
                </c:pt>
                <c:pt idx="1">
                  <c:v>0</c:v>
                </c:pt>
                <c:pt idx="2">
                  <c:v>0</c:v>
                </c:pt>
                <c:pt idx="3">
                  <c:v>0</c:v>
                </c:pt>
                <c:pt idx="4">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(NOK,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c:v>
                </c:pt>
                <c:pt idx="1">
                  <c:v>601</c:v>
                </c:pt>
                <c:pt idx="2">
                  <c:v>163</c:v>
                </c:pt>
                <c:pt idx="3">
                  <c:v>84</c:v>
                </c:pt>
                <c:pt idx="4">
                  <c:v>486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1440</c:v>
                </c:pt>
                <c:pt idx="1">
                  <c:v>2736</c:v>
                </c:pt>
                <c:pt idx="2">
                  <c:v>2128</c:v>
                </c:pt>
                <c:pt idx="3">
                  <c:v>2463</c:v>
                </c:pt>
                <c:pt idx="4">
                  <c:v>3870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317</c:v>
                </c:pt>
                <c:pt idx="1">
                  <c:v>483</c:v>
                </c:pt>
                <c:pt idx="2">
                  <c:v>267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 noruego (Ministerio de Comercio, Industria y Pesca)</c:v>
                </c:pt>
                <c:pt idx="1">
                  <c:v>Folketrygdfondet (fondo nacional de pensiones, gestor estatal)</c:v>
                </c:pt>
                <c:pt idx="2">
                  <c:v>BlackRock</c:v>
                </c:pt>
                <c:pt idx="3">
                  <c:v>Must Invest AS (familia Must)</c:v>
                </c:pt>
                <c:pt idx="4">
                  <c:v>Vanguard</c:v>
                </c:pt>
                <c:pt idx="5">
                  <c:v>DNB Asset Management</c:v>
                </c:pt>
                <c:pt idx="6">
                  <c:v>Autocartera</c:v>
                </c:pt>
              </c:strCache>
            </c:strRef>
          </c:cat>
          <c:val>
            <c:numRef>
              <c:f>Hoja1!$B$2:$B$8</c:f>
              <c:numCache>
                <c:formatCode>0.0"%"</c:formatCode>
                <c:ptCount val="7"/>
                <c:pt idx="0">
                  <c:v>50.004</c:v>
                </c:pt>
                <c:pt idx="1">
                  <c:v>4.99</c:v>
                </c:pt>
                <c:pt idx="2">
                  <c:v>3.86</c:v>
                </c:pt>
                <c:pt idx="3">
                  <c:v>2.59</c:v>
                </c:pt>
                <c:pt idx="4">
                  <c:v>2.04</c:v>
                </c:pt>
                <c:pt idx="5">
                  <c:v>1.95</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24.7</c:v>
                </c:pt>
                <c:pt idx="2">
                  <c:v>-8.4</c:v>
                </c:pt>
                <c:pt idx="3">
                  <c:v>19.8</c:v>
                </c:pt>
                <c:pt idx="4">
                  <c:v>38.8</c:v>
                </c:pt>
                <c:pt idx="5">
                  <c:v>68.8</c:v>
                </c:pt>
                <c:pt idx="6">
                  <c:v>52.8</c:v>
                </c:pt>
                <c:pt idx="7">
                  <c:v>15</c:v>
                </c:pt>
                <c:pt idx="8">
                  <c:v>179.2</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22</c:v>
                </c:pt>
                <c:pt idx="2">
                  <c:v>19.4</c:v>
                </c:pt>
                <c:pt idx="3">
                  <c:v>42.1</c:v>
                </c:pt>
                <c:pt idx="4">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25.7</c:v>
                </c:pt>
                <c:pt idx="1">
                  <c:v>25.7</c:v>
                </c:pt>
                <c:pt idx="2">
                  <c:v>25.7</c:v>
                </c:pt>
                <c:pt idx="3">
                  <c:v>25.7</c:v>
                </c:pt>
                <c:pt idx="4">
                  <c:v>25.7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Saab</c:v>
                </c:pt>
                <c:pt idx="2">
                  <c:v>Rheinmetall</c:v>
                </c:pt>
                <c:pt idx="3">
                  <c:v>Thales</c:v>
                </c:pt>
                <c:pt idx="4">
                  <c:v>Leonardo</c:v>
                </c:pt>
                <c:pt idx="5">
                  <c:v>BAE Systems</c:v>
                </c:pt>
                <c:pt idx="6">
                  <c:v>L3Harris</c:v>
                </c:pt>
                <c:pt idx="7">
                  <c:v>Lockheed Martin</c:v>
                </c:pt>
                <c:pt idx="8">
                  <c:v>General Dynamics</c:v>
                </c:pt>
              </c:strCache>
            </c:strRef>
          </c:cat>
          <c:val>
            <c:numRef>
              <c:f>Hoja1!$B$2:$B$10</c:f>
              <c:numCache>
                <c:formatCode>0.0"x"</c:formatCode>
                <c:ptCount val="9"/>
                <c:pt idx="0">
                  <c:v>20.7</c:v>
                </c:pt>
                <c:pt idx="1">
                  <c:v>18.9</c:v>
                </c:pt>
                <c:pt idx="2">
                  <c:v>10.7</c:v>
                </c:pt>
                <c:pt idx="3">
                  <c:v>11.3</c:v>
                </c:pt>
                <c:pt idx="4">
                  <c:v>8.7</c:v>
                </c:pt>
                <c:pt idx="5">
                  <c:v>11.4</c:v>
                </c:pt>
                <c:pt idx="6">
                  <c:v>11.8</c:v>
                </c:pt>
                <c:pt idx="7">
                  <c:v>11.5</c:v>
                </c:pt>
                <c:pt idx="8">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Kongsberg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49.5</c:v>
                </c:pt>
              </c:numCache>
            </c:numRef>
          </c:xVal>
          <c:yVal>
            <c:numRef>
              <c:f>Hoja1!$C$2</c:f>
              <c:numCache>
                <c:formatCode>0.0"x"</c:formatCode>
                <c:ptCount val="1"/>
                <c:pt idx="0">
                  <c:v>20.7</c:v>
                </c:pt>
              </c:numCache>
            </c:numRef>
          </c:yVal>
          <c:smooth val="0"/>
        </c:ser>
        <c:ser>
          <c:idx val="1"/>
          <c:order val="1"/>
          <c:tx>
            <c:strRef>
              <c:f>Hoja1!$A$3</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22.5</c:v>
                </c:pt>
              </c:numCache>
            </c:numRef>
          </c:xVal>
          <c:yVal>
            <c:numRef>
              <c:f>Hoja1!$C$3</c:f>
              <c:numCache>
                <c:formatCode>0.0"x"</c:formatCode>
                <c:ptCount val="1"/>
                <c:pt idx="0">
                  <c:v>18.9</c:v>
                </c:pt>
              </c:numCache>
            </c:numRef>
          </c:yVal>
          <c:smooth val="0"/>
        </c:ser>
        <c:ser>
          <c:idx val="2"/>
          <c:order val="2"/>
          <c:tx>
            <c:strRef>
              <c:f>Hoja1!$A$4</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50.1</c:v>
                </c:pt>
              </c:numCache>
            </c:numRef>
          </c:xVal>
          <c:yVal>
            <c:numRef>
              <c:f>Hoja1!$C$4</c:f>
              <c:numCache>
                <c:formatCode>0.0"x"</c:formatCode>
                <c:ptCount val="1"/>
                <c:pt idx="0">
                  <c:v>10.7</c:v>
                </c:pt>
              </c:numCache>
            </c:numRef>
          </c:yVal>
          <c:smooth val="0"/>
        </c:ser>
        <c:ser>
          <c:idx val="3"/>
          <c:order val="3"/>
          <c:tx>
            <c:strRef>
              <c:f>Hoja1!$A$5</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11.3</c:v>
                </c:pt>
              </c:numCache>
            </c:numRef>
          </c:yVal>
          <c:smooth val="0"/>
        </c:ser>
        <c:ser>
          <c:idx val="4"/>
          <c:order val="4"/>
          <c:tx>
            <c:strRef>
              <c:f>Hoja1!$A$6</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13.6</c:v>
                </c:pt>
              </c:numCache>
            </c:numRef>
          </c:xVal>
          <c:yVal>
            <c:numRef>
              <c:f>Hoja1!$C$6</c:f>
              <c:numCache>
                <c:formatCode>0.0"x"</c:formatCode>
                <c:ptCount val="1"/>
                <c:pt idx="0">
                  <c:v>8.7</c:v>
                </c:pt>
              </c:numCache>
            </c:numRef>
          </c:yVal>
          <c:smooth val="0"/>
        </c:ser>
        <c:ser>
          <c:idx val="5"/>
          <c:order val="5"/>
          <c:tx>
            <c:strRef>
              <c:f>Hoja1!$A$7</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11.4</c:v>
                </c:pt>
              </c:numCache>
            </c:numRef>
          </c:yVal>
          <c:smooth val="0"/>
        </c:ser>
        <c:ser>
          <c:idx val="6"/>
          <c:order val="6"/>
          <c:tx>
            <c:strRef>
              <c:f>Hoja1!$A$8</c:f>
              <c:strCache>
                <c:ptCount val="1"/>
                <c:pt idx="0">
                  <c:v>L3Harris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6.4</c:v>
                </c:pt>
              </c:numCache>
            </c:numRef>
          </c:xVal>
          <c:yVal>
            <c:numRef>
              <c:f>Hoja1!$C$8</c:f>
              <c:numCache>
                <c:formatCode>0.0"x"</c:formatCode>
                <c:ptCount val="1"/>
                <c:pt idx="0">
                  <c:v>11.8</c:v>
                </c:pt>
              </c:numCache>
            </c:numRef>
          </c:yVal>
          <c:smooth val="0"/>
        </c:ser>
        <c:ser>
          <c:idx val="7"/>
          <c:order val="7"/>
          <c:tx>
            <c:strRef>
              <c:f>Hoja1!$A$9</c:f>
              <c:strCache>
                <c:ptCount val="1"/>
                <c:pt idx="0">
                  <c:v>Lockheed Martin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7.6</c:v>
                </c:pt>
              </c:numCache>
            </c:numRef>
          </c:xVal>
          <c:yVal>
            <c:numRef>
              <c:f>Hoja1!$C$9</c:f>
              <c:numCache>
                <c:formatCode>0.0"x"</c:formatCode>
                <c:ptCount val="1"/>
                <c:pt idx="0">
                  <c:v>11.5</c:v>
                </c:pt>
              </c:numCache>
            </c:numRef>
          </c:yVal>
          <c:smooth val="0"/>
        </c:ser>
        <c:ser>
          <c:idx val="8"/>
          <c:order val="8"/>
          <c:tx>
            <c:strRef>
              <c:f>Hoja1!$A$10</c:f>
              <c:strCache>
                <c:ptCount val="1"/>
                <c:pt idx="0">
                  <c:v>General Dynamics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4.4</c:v>
                </c:pt>
              </c:numCache>
            </c:numRef>
          </c:xVal>
          <c:yVal>
            <c:numRef>
              <c:f>Hoja1!$C$10</c:f>
              <c:numCache>
                <c:formatCode>0.0"x"</c:formatCode>
                <c:ptCount val="1"/>
                <c:pt idx="0">
                  <c:v>13.1</c:v>
                </c:pt>
              </c:numCache>
            </c:numRef>
          </c:yVal>
          <c:smooth val="0"/>
        </c:ser>
        <c:axId val="10"/>
        <c:axId val="20"/>
      </c:scatterChart>
      <c:valAx>
        <c:axId val="10"/>
        <c:scaling>
          <c:orientation val="minMax"/>
          <c:max val="7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Ball Aerospace (sistemas espaciales y de defensa, EE. UU.)</c:v>
                </c:pt>
                <c:pt idx="1">
                  <c:v>Aerojet Rocketdyne (motores de misiles, EE. UU.)</c:v>
                </c:pt>
                <c:pt idx="2">
                  <c:v>Meggitt (componentes aeroespaciales y de defensa, Reino Unido)</c:v>
                </c:pt>
                <c:pt idx="3">
                  <c:v>ESG Elektroniksystem- und Logistik-GmbH (electrónica de defensa, Alemania)</c:v>
                </c:pt>
                <c:pt idx="4">
                  <c:v>Kaman (componentes aeroespaciales y de defensa, EE. UU.)</c:v>
                </c:pt>
                <c:pt idx="5">
                  <c:v>Zone 5 Technologies (misiles de bajo coste, EE. UU.), 89,6 %</c:v>
                </c:pt>
              </c:strCache>
            </c:strRef>
          </c:cat>
          <c:val>
            <c:numRef>
              <c:f>Hoja1!$B$2:$B$7</c:f>
              <c:numCache>
                <c:formatCode>0.0"x"</c:formatCode>
                <c:ptCount val="6"/>
                <c:pt idx="0">
                  <c:v>19.6</c:v>
                </c:pt>
                <c:pt idx="1">
                  <c:v>16.5</c:v>
                </c:pt>
                <c:pt idx="2">
                  <c:v>16.3</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(NOK,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-984</c:v>
                </c:pt>
                <c:pt idx="1">
                  <c:v>7458</c:v>
                </c:pt>
                <c:pt idx="2">
                  <c:v>9167</c:v>
                </c:pt>
                <c:pt idx="3">
                  <c:v>10458</c:v>
                </c:pt>
                <c:pt idx="4">
                  <c:v>13428</c:v>
                </c:pt>
                <c:pt idx="5">
                  <c:v>14429</c:v>
                </c:pt>
                <c:pt idx="6">
                  <c:v>14038</c:v>
                </c:pt>
                <c:pt idx="7">
                  <c:v>15833</c:v>
                </c:pt>
                <c:pt idx="8">
                  <c:v>15267</c:v>
                </c:pt>
                <c:pt idx="9">
                  <c:v>17143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(NOK,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72018</c:v>
                </c:pt>
                <c:pt idx="1">
                  <c:v>102197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(NOK) · precio actual 299,00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122.25</c:v>
                </c:pt>
                <c:pt idx="1">
                  <c:v>214.56</c:v>
                </c:pt>
                <c:pt idx="2">
                  <c:v>298.12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(193,85 – 241,87)</c:v>
                </c:pt>
                <c:pt idx="6">
                  <c:v>Escenarios (bajista – alcista) (122,25 – 298,12)</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193.85</c:v>
                </c:pt>
                <c:pt idx="6">
                  <c:v>122.25</c:v>
                </c:pt>
                <c:pt idx="7">
                  <c:v>240.73</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(193,85 – 241,87)</c:v>
                </c:pt>
                <c:pt idx="6">
                  <c:v>Escenarios (bajista – alcista) (122,25 – 298,12)</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48.02000000000001</c:v>
                </c:pt>
                <c:pt idx="6">
                  <c:v>175.87</c:v>
                </c:pt>
                <c:pt idx="7">
                  <c:v>44.72999999999999</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