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Default Extension="xlsx" ContentType="application/vnd.openxmlformats-officedocument.spreadsheetml.sheet"/>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rFonts w:ascii="Calibri" w:cs="Calibri" w:eastAsia="Calibri" w:hAnsi="Calibri"/>
          <w:b/>
          <w:bCs/>
          <w:color w:val="2A78D6"/>
          <w:spacing w:val="40"/>
          <w:sz w:val="18"/>
          <w:szCs w:val="18"/>
        </w:rPr>
        <w:t xml:space="preserve">ANÁLISIS DE EMPRESA COTIZADA</w:t>
      </w:r>
    </w:p>
    <w:p>
      <w:pPr>
        <w:pStyle w:val="Title"/>
      </w:pPr>
      <w:r>
        <w:t xml:space="preserve">On Holding AG</w:t>
      </w:r>
    </w:p>
    <w:p>
      <w:pPr>
        <w:spacing w:after="60"/>
        <w:rPr>
          <w:color w:val="52514E"/>
          <w:sz w:val="22"/>
          <w:szCs w:val="22"/>
        </w:rPr>
      </w:pPr>
      <w:r>
        <w:rPr>
          <w:color w:val="52514E"/>
          <w:sz w:val="22"/>
          <w:szCs w:val="22"/>
        </w:rPr>
        <w:t xml:space="preserve">ONON · NYSE (acciones de Clase A, en USD) · ISIN CH1134540470 · Consumo discrecional</w:t>
      </w:r>
    </w:p>
    <w:p>
      <w:pPr>
        <w:spacing w:after="360"/>
        <w:rPr>
          <w:color w:val="52514E"/>
          <w:sz w:val="18"/>
          <w:szCs w:val="18"/>
        </w:rPr>
      </w:pPr>
      <w:r>
        <w:rPr>
          <w:color w:val="52514E"/>
          <w:sz w:val="18"/>
          <w:szCs w:val="18"/>
        </w:rPr>
        <w:t xml:space="preserve">Fecha de corte de los datos: </w:t>
      </w:r>
      <w:r>
        <w:rPr>
          <w:b/>
          <w:bCs/>
          <w:color w:val="52514E"/>
          <w:sz w:val="18"/>
          <w:szCs w:val="18"/>
        </w:rPr>
        <w:t xml:space="preserve">6 oct 2026</w:t>
      </w:r>
      <w:r>
        <w:rPr>
          <w:color w:val="52514E"/>
          <w:sz w:val="18"/>
          <w:szCs w:val="18"/>
        </w:rPr>
        <w:t xml:space="preserve"> · Divisa: </w:t>
      </w:r>
      <w:r>
        <w:rPr>
          <w:b/>
          <w:bCs/>
          <w:color w:val="52514E"/>
          <w:sz w:val="18"/>
          <w:szCs w:val="18"/>
        </w:rPr>
        <w:t xml:space="preserve">CHF</w:t>
      </w:r>
      <w:r>
        <w:rPr>
          <w:color w:val="52514E"/>
          <w:sz w:val="18"/>
          <w:szCs w:val="18"/>
        </w:rPr>
        <w:t xml:space="preserve"> · Cifras en </w:t>
      </w:r>
      <w:r>
        <w:rPr>
          <w:b/>
          <w:bCs/>
          <w:color w:val="52514E"/>
          <w:sz w:val="18"/>
          <w:szCs w:val="18"/>
        </w:rPr>
        <w:t xml:space="preserve">millones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Recomendación</w:t>
            </w:r>
          </w:p>
          <w:p>
            <w:pPr>
              <w:spacing w:after="0"/>
            </w:pPr>
            <w:r>
              <w:rPr>
                <w:rFonts w:ascii="Calibri" w:cs="Calibri" w:eastAsia="Calibri" w:hAnsi="Calibri"/>
                <w:b/>
                <w:bCs/>
                <w:color w:val="1F2A3C"/>
                <w:sz w:val="26"/>
                <w:szCs w:val="26"/>
              </w:rPr>
              <w:t xml:space="preserve">Comprar</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Precio</w:t>
            </w:r>
          </w:p>
          <w:p>
            <w:pPr>
              <w:spacing w:after="0"/>
            </w:pPr>
            <w:r>
              <w:rPr>
                <w:rFonts w:ascii="Calibri" w:cs="Calibri" w:eastAsia="Calibri" w:hAnsi="Calibri"/>
                <w:b/>
                <w:bCs/>
                <w:color w:val="1F2A3C"/>
                <w:sz w:val="26"/>
                <w:szCs w:val="26"/>
              </w:rPr>
              <w:t xml:space="preserve">26,48 CHF (31,88 USD)</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Valor objetivo</w:t>
            </w:r>
          </w:p>
          <w:p>
            <w:pPr>
              <w:spacing w:after="0"/>
            </w:pPr>
            <w:r>
              <w:rPr>
                <w:rFonts w:ascii="Calibri" w:cs="Calibri" w:eastAsia="Calibri" w:hAnsi="Calibri"/>
                <w:b/>
                <w:bCs/>
                <w:color w:val="1F2A3C"/>
                <w:sz w:val="26"/>
                <w:szCs w:val="26"/>
              </w:rPr>
              <w:t xml:space="preserve">27,68 CHF (33,33 USD) · mercado 36,62</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Rentabilidad total 12 m</w:t>
            </w:r>
          </w:p>
          <w:p>
            <w:pPr>
              <w:spacing w:after="0"/>
            </w:pPr>
            <w:r>
              <w:rPr>
                <w:rFonts w:ascii="Calibri" w:cs="Calibri" w:eastAsia="Calibri" w:hAnsi="Calibri"/>
                <w:b/>
                <w:bCs/>
                <w:color w:val="1F2A3C"/>
                <w:sz w:val="26"/>
                <w:szCs w:val="26"/>
              </w:rPr>
              <w:t xml:space="preserve">+4,5 % · mercado +38,3 %</w:t>
            </w:r>
          </w:p>
        </w:tc>
      </w:tr>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Convicción</w:t>
            </w:r>
          </w:p>
          <w:p>
            <w:pPr>
              <w:spacing w:after="0"/>
            </w:pPr>
            <w:r>
              <w:rPr>
                <w:rFonts w:ascii="Calibri" w:cs="Calibri" w:eastAsia="Calibri" w:hAnsi="Calibri"/>
                <w:b/>
                <w:bCs/>
                <w:color w:val="1F2A3C"/>
                <w:sz w:val="26"/>
                <w:szCs w:val="26"/>
              </w:rPr>
              <w:t xml:space="preserve">Baja</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Capitalización</w:t>
            </w:r>
          </w:p>
          <w:p>
            <w:pPr>
              <w:spacing w:after="0"/>
            </w:pPr>
            <w:r>
              <w:rPr>
                <w:rFonts w:ascii="Calibri" w:cs="Calibri" w:eastAsia="Calibri" w:hAnsi="Calibri"/>
                <w:b/>
                <w:bCs/>
                <w:color w:val="1F2A3C"/>
                <w:sz w:val="26"/>
                <w:szCs w:val="26"/>
              </w:rPr>
              <w:t xml:space="preserve">8.900 M</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EV/EBITDA próx. 12 m</w:t>
            </w:r>
          </w:p>
          <w:p>
            <w:pPr>
              <w:spacing w:after="0"/>
            </w:pPr>
            <w:r>
              <w:rPr>
                <w:rFonts w:ascii="Calibri" w:cs="Calibri" w:eastAsia="Calibri" w:hAnsi="Calibri"/>
                <w:b/>
                <w:bCs/>
                <w:color w:val="1F2A3C"/>
                <w:sz w:val="26"/>
                <w:szCs w:val="26"/>
              </w:rPr>
              <w:t xml:space="preserve">11,2x</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Deuda neta aj. / EBITDA</w:t>
            </w:r>
          </w:p>
          <w:p>
            <w:pPr>
              <w:spacing w:after="0"/>
            </w:pPr>
            <w:r>
              <w:rPr>
                <w:rFonts w:ascii="Calibri" w:cs="Calibri" w:eastAsia="Calibri" w:hAnsi="Calibri"/>
                <w:b/>
                <w:bCs/>
                <w:color w:val="1F2A3C"/>
                <w:sz w:val="26"/>
                <w:szCs w:val="26"/>
              </w:rPr>
              <w:t xml:space="preserve">-1,1x</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Nombre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On Holding AG</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Ticker / ISIN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ONON / CH1134540470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NYSE (acciones de Clase A, en USD)</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Índice de referencia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S&amp;P 500 (solo como referencia: On no forma parte del índice)</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 / industria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Consumo discrecional / Textil, ropa y bienes de lujo (calzado y ropa deportiva)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Sede · fundación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Zúrich (Suiza) · 2010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Empleados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3.963</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Web</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www.on.com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Precio (fecha)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26,48 (5 oct 2026)</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52 semanas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21,89 – 42,42</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Acciones diluidas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336,1</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Free float</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74,4 %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Capitalización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8.900 M CHF</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Valor empresa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8.265 M CHF</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Volumen medio diario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 262 M USD/día (≈ 218 M CHF; 8,5 M de acciones; 3 meses)</w:t>
            </w:r>
          </w:p>
        </w:tc>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r>
    </w:tbl>
    <w:p>
      <w:pPr>
        <w:spacing w:after="160" w:before="0"/>
      </w:pPr>
    </w:p>
    <w:p>
      <w:pPr>
        <w:pStyle w:val="Heading2"/>
      </w:pPr>
      <w:r>
        <w:t xml:space="preserve">Contenido</w:t>
      </w:r>
    </w:p>
    <w:p>
      <w:pPr>
        <w:pStyle w:val="ListParagraph"/>
        <w:numPr>
          <w:ilvl w:val="0"/>
          <w:numId w:val="2"/>
        </w:numPr>
        <w:spacing w:after="40"/>
      </w:pPr>
      <w:r>
        <w:rPr>
          <w:sz w:val="18"/>
          <w:szCs w:val="18"/>
        </w:rPr>
        <w:t xml:space="preserve">Síntesis y recomendación (una página)</w:t>
      </w:r>
    </w:p>
    <w:p>
      <w:pPr>
        <w:pStyle w:val="ListParagraph"/>
        <w:numPr>
          <w:ilvl w:val="0"/>
          <w:numId w:val="2"/>
        </w:numPr>
        <w:spacing w:after="40"/>
      </w:pPr>
      <w:r>
        <w:rPr>
          <w:sz w:val="18"/>
          <w:szCs w:val="18"/>
        </w:rPr>
        <w:t xml:space="preserve">Resumen ejecutivo</w:t>
      </w:r>
    </w:p>
    <w:p>
      <w:pPr>
        <w:pStyle w:val="ListParagraph"/>
        <w:numPr>
          <w:ilvl w:val="0"/>
          <w:numId w:val="2"/>
        </w:numPr>
        <w:spacing w:after="40"/>
      </w:pPr>
      <w:r>
        <w:rPr>
          <w:sz w:val="18"/>
          <w:szCs w:val="18"/>
        </w:rPr>
        <w:t xml:space="preserve">Parte I — Negocio y sector: 1. Historia · 2. Modelo de negocio · 3. Sector y mercado · 4. Posición competitiva</w:t>
      </w:r>
    </w:p>
    <w:p>
      <w:pPr>
        <w:pStyle w:val="ListParagraph"/>
        <w:numPr>
          <w:ilvl w:val="0"/>
          <w:numId w:val="2"/>
        </w:numPr>
        <w:spacing w:after="40"/>
      </w:pPr>
      <w:r>
        <w:rPr>
          <w:sz w:val="18"/>
          <w:szCs w:val="18"/>
        </w:rPr>
        <w:t xml:space="preserve">Parte II — Finanzas: 5. Cuenta de resultados · 6. Resultados recientes · 7. Balance y circulante · 8. Flujos de caja · 9. Calidad contable · 10. Rentabilidad · 11. Deuda y solvencia · 12. Asignación de capital</w:t>
      </w:r>
    </w:p>
    <w:p>
      <w:pPr>
        <w:pStyle w:val="ListParagraph"/>
        <w:numPr>
          <w:ilvl w:val="0"/>
          <w:numId w:val="2"/>
        </w:numPr>
        <w:spacing w:after="40"/>
      </w:pPr>
      <w:r>
        <w:rPr>
          <w:sz w:val="18"/>
          <w:szCs w:val="18"/>
        </w:rPr>
        <w:t xml:space="preserve">Parte III — Equipo y gobierno: 13. Equipo directivo · 14. Gobierno corporativo</w:t>
      </w:r>
    </w:p>
    <w:p>
      <w:pPr>
        <w:pStyle w:val="ListParagraph"/>
        <w:numPr>
          <w:ilvl w:val="0"/>
          <w:numId w:val="2"/>
        </w:numPr>
        <w:spacing w:after="40"/>
      </w:pPr>
      <w:r>
        <w:rPr>
          <w:sz w:val="18"/>
          <w:szCs w:val="18"/>
        </w:rPr>
        <w:t xml:space="preserve">Parte IV — Mercado y valoración: 15. Consenso · 16. Bolsa · 17. Múltiplos históricos · 18. Comparables · 19. Transacciones · 20. DCF · 21. Escenarios · 22. Suma de partes · 23. Síntesis</w:t>
      </w:r>
    </w:p>
    <w:p>
      <w:pPr>
        <w:pStyle w:val="ListParagraph"/>
        <w:numPr>
          <w:ilvl w:val="0"/>
          <w:numId w:val="2"/>
        </w:numPr>
        <w:spacing w:after="40"/>
      </w:pPr>
      <w:r>
        <w:rPr>
          <w:sz w:val="18"/>
          <w:szCs w:val="18"/>
        </w:rPr>
        <w:t xml:space="preserve">Parte V — Tesis, riesgos y seguimiento: 24. Catalizadores · 25. Riesgos y pre-mortem · 26. ESG · 27. Preguntas abiertas</w:t>
      </w:r>
    </w:p>
    <w:p>
      <w:pPr>
        <w:pStyle w:val="ListParagraph"/>
        <w:numPr>
          <w:ilvl w:val="0"/>
          <w:numId w:val="2"/>
        </w:numPr>
        <w:spacing w:after="40"/>
      </w:pPr>
      <w:r>
        <w:rPr>
          <w:sz w:val="18"/>
          <w:szCs w:val="18"/>
        </w:rPr>
        <w:t xml:space="preserve">Anexos: controles de calidad, información no disponible y fuentes</w:t>
      </w:r>
    </w:p>
    <w:p>
      <w:pPr>
        <w:pStyle w:val="ListParagraph"/>
        <w:numPr>
          <w:ilvl w:val="0"/>
          <w:numId w:val="2"/>
        </w:numPr>
        <w:spacing w:after="40"/>
      </w:pPr>
      <w:r>
        <w:rPr>
          <w:sz w:val="18"/>
          <w:szCs w:val="18"/>
        </w:rPr>
        <w:t xml:space="preserve">Las secciones sin información verificable no se imprimen; quedan listadas en el anexo «Información no disponible».</w:t>
      </w:r>
    </w:p>
    <w:p>
      <w:r>
        <w:br w:type="page"/>
      </w:r>
    </w:p>
    <w:p>
      <w:pPr>
        <w:pStyle w:val="Heading1"/>
      </w:pPr>
      <w:r>
        <w:t xml:space="preserve">Síntesis y recomendación</w:t>
      </w:r>
    </w:p>
    <w:p>
      <w:pPr>
        <w:spacing w:after="100"/>
      </w:pPr>
      <w:r>
        <w:rPr>
          <w:b/>
          <w:bCs/>
        </w:rPr>
        <w:t xml:space="preserve">Comprar</w:t>
      </w:r>
      <w:r>
        <w:t xml:space="preserve"> · Convicción Baja · Valor objetivo </w:t>
      </w:r>
      <w:r>
        <w:rPr>
          <w:b/>
          <w:bCs/>
        </w:rPr>
        <w:t xml:space="preserve">27,68 CHF (33,33 USD)</w:t>
      </w:r>
      <w:r>
        <w:t xml:space="preserve"> frente a 26,48 (31,88 USD) · con la prima implícita del mercado: 36,62 (44,09 USD) (+38,3 %) · Rentabilidad total esperada a 12 meses </w:t>
      </w:r>
      <w:r>
        <w:rPr>
          <w:b/>
          <w:bCs/>
        </w:rPr>
        <w:t xml:space="preserve">+4,5 %</w:t>
      </w:r>
      <w:r>
        <w:t xml:space="preserve"> · Alcista / bajista +50,0 % / -31,3 %</w:t>
      </w:r>
    </w:p>
    <w:p>
      <w:pPr>
        <w:spacing w:after="100"/>
      </w:pPr>
      <w:r>
        <w:rPr>
          <w:b/>
        </w:rPr>
        <w:t xml:space="preserve">La recomendación y por qué.</w:t>
      </w:r>
      <w:r>
        <w:t xml:space="preserve"> Comprar, con convicción baja y horizonte de 12 meses, porque las dos reglas discrepan y manda la relativa. Con nuestro WACC del 10,01 %, el valor objetivo es de 27,68 CHF (33,33 USD), un 4,5 % sobre el precio de 26,48 CHF (31,88 USD), sin dividendo: la regla absoluta da Mantener. Con la prima implícita del mercado (4,20 % [76]), el WACC baja al 7,91 % y el objetivo sube a 36,62 CHF (44,09 USD): rentabilidad total esperada del 38,3 % y asimetría de 10,98 veces, y la regla relativa da Comprar. Es un Comprar solo relativo: el precio implica un 11,1 % anual, más que el 7,9 % que hoy pide el mercado a una acción de beta 1,72, pero apenas más que nuestro coste de capital. Si el mercado entero se abarata, On cae con él, y más que él.</w:t>
      </w:r>
    </w:p>
    <w:p>
      <w:pPr>
        <w:spacing w:after="100"/>
      </w:pPr>
      <w:r>
        <w:rPr>
          <w:b/>
        </w:rPr>
        <w:t xml:space="preserve">El negocio.</w:t>
      </w:r>
      <w:r>
        <w:t xml:space="preserve"> On vende a precio completo: margen bruto del 64,8 % en el 1S26, frente al 42,9 % de Nike [6, 39]. El foso es solo la marca [1]. El ROIC del 38,4 % casi cuadruplica el WACC.</w:t>
      </w:r>
    </w:p>
    <w:p>
      <w:pPr>
        <w:spacing w:after="100"/>
      </w:pPr>
      <w:r>
        <w:rPr>
          <w:b/>
        </w:rPr>
        <w:t xml:space="preserve">Sector y ciclo.</w:t>
      </w:r>
      <w:r>
        <w:t xml:space="preserve"> En un mercado promocional, On recortó en el 2T26 las entregas a mayoristas (+4,8 % en CHF) y rebajó por primera vez la guía de ventas; la venta directa creció un 34,3 % a divisa constante [6, 43].</w:t>
      </w:r>
    </w:p>
    <w:p>
      <w:pPr>
        <w:spacing w:after="100"/>
      </w:pPr>
      <w:r>
        <w:rPr>
          <w:b/>
        </w:rPr>
        <w:t xml:space="preserve">Finanzas.</w:t>
      </w:r>
      <w:r>
        <w:t xml:space="preserve"> Las ventas crecieron un 47,9 % anual en 2020-2025, hasta 3.014 M CHF. El dólar débil restó 8,1 puntos al crecimiento del 2T26 [1, 6]. Sin deuda financiera, tiene 643 M CHF de caja neta tras arrendamientos [7].</w:t>
      </w:r>
    </w:p>
    <w:p>
      <w:pPr>
        <w:spacing w:after="100"/>
      </w:pPr>
      <w:r>
        <w:rPr>
          <w:b/>
        </w:rPr>
        <w:t xml:space="preserve">Equipo y gobierno.</w:t>
      </w:r>
      <w:r>
        <w:t xml:space="preserve"> Restan: en trece meses salieron los dos co-CEO no fundadores, y los fundadores, con el 54-57 % del voto y el 13 % del capital, presiden y dirigen [1, 26].</w:t>
      </w:r>
    </w:p>
    <w:p>
      <w:pPr>
        <w:spacing w:after="100"/>
      </w:pPr>
      <w:r>
        <w:rPr>
          <w:b/>
        </w:rPr>
        <w:t xml:space="preserve">Valoración.</w:t>
      </w:r>
      <w:r>
        <w:t xml:space="preserve"> El DCF (50 %) da 30,07 CHF; los escenarios (30 %), 29,51 CHF, y los comparables (20 %), 18,98 CHF. El DCF inverso descuenta un crecimiento del 8,1 % anual en 2027-2035 (10,7 % en el caso base). No discrepamos del consenso: nuestras ventas quedan un 1,6-3,7 % por debajo hasta 2028 [69] y su objetivo medio (36,11 CHF [70]) es casi el nuestro con la prima del mercado. La distancia con el precio es de tasa de descuento y no hay un catalizador con fecha confirmada: por eso la convicción es baja. Sin etapa de transición: diez años explícitos ya llevan a On de en torno al 2 % a en torno al 4 % del calzado deportivo mundial. Con un terminal del 1,0 % en vez del 2,0 %, el objetivo relativo sería de 33,43 CHF (+26,2 %): la recomendación sigue.</w:t>
      </w:r>
    </w:p>
    <w:p>
      <w:pPr>
        <w:spacing w:after="100"/>
      </w:pPr>
      <w:r>
        <w:rPr>
          <w:b/>
        </w:rPr>
        <w:t xml:space="preserve">Riesgos y catalizadores.</w:t>
      </w:r>
      <w:r>
        <w:t xml:space="preserve"> La marca: el bajista, una pérdida de atractivo como la de Lululemon, vale 18,18 CHF (−31,3 %) [39]. Y el precio del riesgo: por la beta, cada décima de prima son 0,17 puntos de coste de capital, y la regla relativa deja de dar Comprar si la prima implícita pasa del 5,0 % (WACC del 9,2 %). Catalizadores: el 3T26 a mediados de noviembre, la guía de 2027 en marzo y la recompra de hasta 1.000 M USD [21].</w:t>
      </w:r>
    </w:p>
    <w:p>
      <w:pPr>
        <w:spacing w:after="100"/>
      </w:pPr>
      <w:r>
        <w:rPr>
          <w:b/>
        </w:rPr>
        <w:t xml:space="preserve">Qué cambiaría la decisión.</w:t>
      </w:r>
      <w:r>
        <w:t xml:space="preserve"> Con la regla combinada, compramos por debajo de 30,75 CHF (37,03 USD) y venderíamos por encima de 40,69 CHF (48,99 USD); entre ambos, Mantener. Pasaríamos a Mantener con una prima implícita por encima del 5,0 %, y a Vender si la venta directa del 3T26 crece menos del 20 % a divisa constante. Subiríamos la convicción si la guía de 2027 apunta a un crecimiento «high-teens» a divisa constante con un margen bruto del 65 % o más.</w:t>
      </w:r>
    </w:p>
    <w:p>
      <w:r>
        <w:br w:type="page"/>
      </w:r>
    </w:p>
    <w:p>
      <w:pPr>
        <w:pStyle w:val="Heading1"/>
      </w:pPr>
      <w:r>
        <w:t xml:space="preserve">Resumen ejecutivo</w:t>
      </w:r>
    </w:p>
    <w:p>
      <w:pPr>
        <w:pStyle w:val="Confianza"/>
        <w:spacing w:after="100"/>
      </w:pPr>
      <w:r>
        <w:t xml:space="preserve">Confianza: Media</w:t>
      </w:r>
    </w:p>
    <w:p>
      <w:pPr>
        <w:spacing w:after="100"/>
      </w:pPr>
      <w:r>
        <w:rPr>
          <w:b/>
          <w:bCs/>
        </w:rPr>
        <w:t xml:space="preserve">Recomendación: Comprar</w:t>
      </w:r>
      <w:r>
        <w:t xml:space="preserve"> · Convicción: Baja · Horizonte: 12 meses · Valor objetivo: </w:t>
      </w:r>
      <w:r>
        <w:rPr>
          <w:b/>
          <w:bCs/>
        </w:rPr>
        <w:t xml:space="preserve">27,68 CHF (33,33 USD)</w:t>
      </w:r>
      <w:r>
        <w:t xml:space="preserve"> (+4,5 % sobre 26,48; rentabilidad total esperada +4,5 %) · con la prima implícita del mercado: 36,62 (44,09 USD) (+38,3 %)</w:t>
      </w:r>
    </w:p>
    <w:p>
      <w:pPr>
        <w:spacing w:after="100"/>
      </w:pPr>
      <w:r>
        <w:t xml:space="preserve">On ha crecido como pocas marcas deportivas, y con beneficio: ventas de 425 a 3.014 M CHF entre 2020 y 2025 (TCAC del 47,9 %), margen bruto del 64,8 % en el 1S26, el más alto del sector, ROIC del 38,4 % y 643 M CHF de caja neta después de arrendamientos [1, 6, 7]. Su valor está en una marca que vende a precio completo y en una cartera de crecimiento (Asia, ropa, venta directa) que todavía es pequeña.</w:t>
      </w:r>
    </w:p>
    <w:p>
      <w:pPr>
        <w:spacing w:after="100"/>
      </w:pPr>
      <w:r>
        <w:t xml:space="preserve">Al precio de 26,48 CHF (31,88 USD), el DCF inverso descuenta un crecimiento medio del 8,1 % anual en 2027-2035, frente al 10,7 % de nuestro caso base, o un margen EBITDA final del 18,2 % en lugar del 20,0 %; dicho de otro modo, una rentabilidad del 11,1 % anual. Cotiza a 11,2x EV/EBITDA de los próximos 12 meses, con prima sobre los comparables (8,0x) pero por debajo de cualquier cierre anual desde 2022: el mercado castiga la rebaja de la guía, el dólar débil y la cúpula nueva [6, 68].</w:t>
      </w:r>
    </w:p>
    <w:p>
      <w:pPr>
        <w:spacing w:after="100"/>
      </w:pPr>
      <w:r>
        <w:t xml:space="preserve">El mercado acierta en la dirección y exagera la cuantía, pero la conclusión depende de la tasa. Con nuestro WACC del 10,01 %, el valor objetivo es de 27,68 CHF (+4,5 %) y la regla absoluta da Mantener; con la prima implícita del mercado (4,20 % [76]), de 36,62 CHF (+38,3 %), y la relativa, que manda, da Comprar. Para invertir hay que creer que el recorte de los mayoristas es temporal, y aceptar que la prima que hoy pide el mercado no vuelve al 5 %. En dólares (0,8305 CHF por USD [45]): objetivo de 33,33 USD (44,09 USD con la prima del mercado), compra por debajo de 37,03 USD y venta por encima de 48,99 USD.</w:t>
      </w:r>
    </w:p>
    <w:p>
      <w:pPr>
        <w:pStyle w:val="Heading2"/>
      </w:pPr>
      <w:r>
        <w:t xml:space="preserve">La decisión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5"/>
        <w:gridCol w:w="3213"/>
      </w:tblGrid>
      <w:tr>
        <w:trPr>
          <w:cantSplit/>
          <w:tblHeader/>
        </w:trPr>
        <w:tc>
          <w:tcPr>
            <w:tcW w:type="dxa" w:w="64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Elemento de la decisión</w:t>
            </w:r>
          </w:p>
        </w:tc>
        <w:tc>
          <w:tcPr>
            <w:tcW w:type="dxa" w:w="32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objetivo (síntesis ponderada)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27,68 CHF (33,33 USD)</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actual (USD al tipo de 0,8305 CHF por USD)</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26,48 CHF (31,88 USD)</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Potencial sobre el precio actual</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4,5 %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Rentabilidad por dividendo ordinario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Rentabilidad total esperada a 12 meses</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4,5 %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 alcista / bajista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50,0 % / -31,3 %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Asimetría (ganancia alcista / pérdida bajista)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1,60x</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Rentabilidad anual implícita en el precio frente al WACC y al que pide 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11,1 % frente a 10,0 % y 7,9 %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Valor objetivo con la prima implícita del mercado (4,2 %, WACC 7,9 %)</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36,62 CHF (44,09 USD)</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Rentabilidad total esperada con la prima del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38,3 %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Asimetría con la prima del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10,98x</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Regla absoluta (frente a su coste de capital)</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Mantener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Regla relativa (frente a lo que pide 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Comprar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Crecimiento anual implícito en el precio (2027e-2035e) frente al previsto para su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8,1 % frente a 5,0 %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Recomendación según las reglas (manda la relativa salvo contradicción)</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Comprar</w:t>
            </w:r>
          </w:p>
        </w:tc>
      </w:tr>
    </w:tbl>
    <w:p>
      <w:pPr>
        <w:spacing w:after="160" w:before="0"/>
      </w:pPr>
    </w:p>
    <w:p>
      <w:pPr>
        <w:pStyle w:val="Nota"/>
        <w:spacing w:after="100"/>
      </w:pPr>
      <w:r>
        <w:t xml:space="preserve">Regla: Comprar si la rentabilidad total esperada a 12 meses es ≥ 15 % y el alcista gana al menos lo que pierde el bajista; Vender si es ≤ −10 %, o negativa con asimetría &lt; 0,5; Mantener en el resto. Se aplica dos veces: con el WACC del análisis (regla absoluta: ¿rinde más que su coste de capital?) y con el WACC que resulta de la prima de riesgo implícita del mercado (regla relativa: ¿rinde más que lo que hoy pide el mercado, ajustado por su beta?). Manda la relativa, salvo que las dos se contradigan (una Comprar y otra Vender): entonces, Mantener.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Acción</w:t>
            </w:r>
          </w:p>
        </w:tc>
        <w:tc>
          <w:tcPr>
            <w:tcW w:type="dxa" w:w="8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 qué precio</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Comprar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30,75 (37,03 USD) (rentabilidad total esperada ≥ 15 % y el alcista compensa al bajista, con la regla combinada)</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Mantener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Entre 30,75 y 40,69 (37,03 y 48,99 USD)</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Vender o reducir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Por encima de 40,69 (48,99 USD) (rentabilidad total esperada ≤ −10 %, o negativa con un bajista que pesa el doble que el alcista, con la regla combinada)</w:t>
            </w:r>
          </w:p>
        </w:tc>
      </w:tr>
    </w:tbl>
    <w:p>
      <w:pPr>
        <w:spacing w:after="160" w:before="0"/>
      </w:pPr>
    </w:p>
    <w:p>
      <w:pPr>
        <w:pStyle w:val="Heading2"/>
      </w:pPr>
      <w:r>
        <w:t xml:space="preserve">Qué cambiaría la recomendación</w:t>
      </w:r>
    </w:p>
    <w:p>
      <w:pPr>
        <w:pStyle w:val="ListParagraph"/>
        <w:numPr>
          <w:ilvl w:val="0"/>
          <w:numId w:val="2"/>
        </w:numPr>
        <w:spacing w:after="60"/>
      </w:pPr>
      <w:r>
        <w:t xml:space="preserve">Si el precio supera 30,75 CHF (37,03 USD) sin mejora de las previsiones, pasaríamos a Mantener; por encima de 40,69 CHF (48,99 USD), a Vender.</w:t>
      </w:r>
    </w:p>
    <w:p>
      <w:pPr>
        <w:pStyle w:val="ListParagraph"/>
        <w:numPr>
          <w:ilvl w:val="0"/>
          <w:numId w:val="2"/>
        </w:numPr>
        <w:spacing w:after="60"/>
      </w:pPr>
      <w:r>
        <w:t xml:space="preserve">Si la prima implícita del mercado de Damodaran sube por encima del 5,0 % (WACC relativo del 9,2 %), la regla relativa daría Mantener sin que cambie nada de On [76].</w:t>
      </w:r>
    </w:p>
    <w:p>
      <w:pPr>
        <w:pStyle w:val="ListParagraph"/>
        <w:numPr>
          <w:ilvl w:val="0"/>
          <w:numId w:val="2"/>
        </w:numPr>
        <w:spacing w:after="60"/>
      </w:pPr>
      <w:r>
        <w:t xml:space="preserve">Si la venta directa del 3T26 crece menos del 20 % a divisa constante, llevaríamos el caso base hacia el bajista (18,18 CHF) y pasaríamos a Vender.</w:t>
      </w:r>
    </w:p>
    <w:p>
      <w:pPr>
        <w:pStyle w:val="ListParagraph"/>
        <w:numPr>
          <w:ilvl w:val="0"/>
          <w:numId w:val="2"/>
        </w:numPr>
        <w:spacing w:after="60"/>
      </w:pPr>
      <w:r>
        <w:t xml:space="preserve">Si la guía de 2027 apunta a un crecimiento «high-teens» a divisa constante con margen bruto ≥ 65 %, subiríamos el caso base y la convicción a media.</w:t>
      </w:r>
    </w:p>
    <w:p>
      <w:pPr>
        <w:pStyle w:val="ListParagraph"/>
        <w:numPr>
          <w:ilvl w:val="0"/>
          <w:numId w:val="2"/>
        </w:numPr>
        <w:spacing w:after="60"/>
      </w:pPr>
      <w:r>
        <w:t xml:space="preserve">Si el margen bruto de 2026 sin aranceles devueltos queda por debajo del 63 %, revisaríamos a la baja el caso base.</w:t>
      </w:r>
    </w:p>
    <w:p>
      <w:pPr>
        <w:pStyle w:val="Heading2"/>
      </w:pPr>
      <w:r>
        <w:t xml:space="preserve">Dónde discrepamos del mercado</w:t>
      </w:r>
    </w:p>
    <w:p>
      <w:pPr>
        <w:keepNext/>
        <w:spacing w:after="100"/>
      </w:pPr>
      <w:r>
        <w:rPr>
          <w:b/>
          <w:bCs/>
        </w:rPr>
        <w:t xml:space="preserve">Lo que descuenta el precio.</w:t>
      </w:r>
    </w:p>
    <w:p>
      <w:pPr>
        <w:spacing w:after="100"/>
      </w:pPr>
      <w:r>
        <w:t xml:space="preserve">Que On se ha convertido en una marca deportiva más: crecimiento medio del 8 % anual desde 2027, sin llegar al margen del plan, y un riesgo de gobierno por la salida de dos primeros ejecutivos en 24 meses y el control de los fundadores. Con 11,2x EBITDA de los próximos 12 meses, el precio queda a medio camino entre Asics (11,8x) y las marcas en reestructuración.</w:t>
      </w:r>
    </w:p>
    <w:p>
      <w:pPr>
        <w:keepNext/>
        <w:spacing w:after="100"/>
      </w:pPr>
      <w:r>
        <w:rPr>
          <w:b/>
          <w:bCs/>
        </w:rPr>
        <w:t xml:space="preserve">Lo que creemos nosotros.</w:t>
      </w:r>
    </w:p>
    <w:p>
      <w:pPr>
        <w:spacing w:after="100"/>
      </w:pPr>
      <w:r>
        <w:t xml:space="preserve">El negocio está mejor de lo que dice la cotización: el margen bruto sube (64,8 %), la venta directa crece al 34 % a divisa constante y Asia ya es el 20 % de las ventas [6]. Lo que frena el crecimiento en CHF es sobre todo la divisa y una decisión voluntaria sobre los mayoristas. Con nuestro WACC del 10,01 %, el caso base solo está un 13,6 % por encima del precio; con el 7,91 % que resulta de la prima del mercado, el DCF da 41,36 CHF. La diferencia con el precio es más de tasa que de cifras.</w:t>
      </w:r>
    </w:p>
    <w:p>
      <w:pPr>
        <w:keepNext/>
        <w:spacing w:after="100"/>
      </w:pPr>
      <w:r>
        <w:rPr>
          <w:b/>
          <w:bCs/>
        </w:rPr>
        <w:t xml:space="preserve">Por qué podemos tener razón.</w:t>
      </w:r>
    </w:p>
    <w:p>
      <w:pPr>
        <w:spacing w:after="100"/>
      </w:pPr>
      <w:r>
        <w:t xml:space="preserve">La diferencia entre el crecimiento a divisa constante (+21,6 %) y en CHF (+13,5 %) del 2T26 es de 8 puntos, y el mercado la está tratando como pérdida de demanda [6]. Si la guía de 2027 confirma un «high-teens» a divisa constante, el DCF inverso del 8 % se queda corto. No tengo una visión muy distinta del mercado en el plazo de doce meses: la diferencia está a tres o cinco años.</w:t>
      </w:r>
    </w:p>
    <w:p>
      <w:pPr>
        <w:keepNext w:val="false"/>
        <w:spacing w:after="160" w:before="120"/>
        <w:jc w:val="center"/>
      </w:pPr>
      <w:r>
        <w:drawing>
          <wp:inline xmlns:wp="http://schemas.openxmlformats.org/drawingml/2006/wordprocessingDrawing" distT="0" distB="0" distL="0" distR="0">
            <wp:extent cx="5760000" cy="2880000"/>
            <wp:effectExtent l="0" t="0" r="0" b="0"/>
            <wp:docPr id="1001" name="Gráfico 1" descr="Valor por acción según cada método (CHF) · precio actual 26,48"/>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30,07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+13,6 %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(mediana EV/EBITDA y PER)</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18,98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-28,3 %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Escenarios ponderados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29,51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+11,4 %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30 %</w:t>
            </w:r>
          </w:p>
        </w:tc>
      </w:tr>
    </w:tbl>
    <w:p>
      <w:pPr>
        <w:spacing w:after="160" w:before="0"/>
      </w:pPr>
    </w:p>
    <w:p>
      <w:pPr>
        <w:pStyle w:val="Heading2"/>
      </w:pPr>
      <w:r>
        <w:t xml:space="preserve">A favor</w:t>
      </w:r>
    </w:p>
    <w:p>
      <w:pPr>
        <w:pStyle w:val="ListParagraph"/>
        <w:numPr>
          <w:ilvl w:val="0"/>
          <w:numId w:val="2"/>
        </w:numPr>
        <w:spacing w:after="60"/>
      </w:pPr>
      <w:r>
        <w:rPr>
          <w:b/>
        </w:rPr>
        <w:t xml:space="preserve">Margen bruto líder y creciente</w:t>
      </w:r>
      <w:r>
        <w:t xml:space="preserve">: 64,8 % en el 1S26, 680 pb más que en 2022, frente al 42,9 % de Nike [6, 39].</w:t>
      </w:r>
    </w:p>
    <w:p>
      <w:pPr>
        <w:pStyle w:val="ListParagraph"/>
        <w:numPr>
          <w:ilvl w:val="0"/>
          <w:numId w:val="2"/>
        </w:numPr>
        <w:spacing w:after="60"/>
      </w:pPr>
      <w:r>
        <w:rPr>
          <w:b/>
        </w:rPr>
        <w:t xml:space="preserve">Crecimiento todavía alto en divisa constante</w:t>
      </w:r>
      <w:r>
        <w:t xml:space="preserve">: +24,0 % en el 1S26, con la venta directa al +31,6 % [6].</w:t>
      </w:r>
    </w:p>
    <w:p>
      <w:pPr>
        <w:pStyle w:val="ListParagraph"/>
        <w:numPr>
          <w:ilvl w:val="0"/>
          <w:numId w:val="2"/>
        </w:numPr>
        <w:spacing w:after="60"/>
      </w:pPr>
      <w:r>
        <w:rPr>
          <w:b/>
        </w:rPr>
        <w:t xml:space="preserve">Balance sin deuda</w:t>
      </w:r>
      <w:r>
        <w:t xml:space="preserve">: 1.205,6 M CHF de caja y recompra de hasta 1.000 M USD aprobada [7, 21].</w:t>
      </w:r>
    </w:p>
    <w:p>
      <w:pPr>
        <w:pStyle w:val="ListParagraph"/>
        <w:numPr>
          <w:ilvl w:val="0"/>
          <w:numId w:val="2"/>
        </w:numPr>
        <w:spacing w:after="60"/>
      </w:pPr>
      <w:r>
        <w:rPr>
          <w:b/>
        </w:rPr>
        <w:t xml:space="preserve">Rentabilidad del capital</w:t>
      </w:r>
      <w:r>
        <w:t xml:space="preserve">: ROIC del 38,4 % en 2025 e incremental del 48,6 % en cinco años.</w:t>
      </w:r>
    </w:p>
    <w:p>
      <w:pPr>
        <w:pStyle w:val="ListParagraph"/>
        <w:numPr>
          <w:ilvl w:val="0"/>
          <w:numId w:val="2"/>
        </w:numPr>
        <w:spacing w:after="60"/>
      </w:pPr>
      <w:r>
        <w:rPr>
          <w:b/>
        </w:rPr>
        <w:t xml:space="preserve">Valoración por debajo de su historia</w:t>
      </w:r>
      <w:r>
        <w:t xml:space="preserve">: 14,2x EBITDA de los últimos 12 meses frente a 23,4-49,7x en los cierres de 2022-2025, y un DCF inverso que solo exige un 8,1 % de crecimiento anual.</w:t>
      </w:r>
    </w:p>
    <w:p>
      <w:pPr>
        <w:pStyle w:val="Heading2"/>
      </w:pPr>
      <w:r>
        <w:t xml:space="preserve">En contra</w:t>
      </w:r>
    </w:p>
    <w:p>
      <w:pPr>
        <w:pStyle w:val="ListParagraph"/>
        <w:numPr>
          <w:ilvl w:val="0"/>
          <w:numId w:val="2"/>
        </w:numPr>
        <w:spacing w:after="60"/>
      </w:pPr>
      <w:r>
        <w:rPr>
          <w:b/>
        </w:rPr>
        <w:t xml:space="preserve">Primera rebaja de la guía de ventas</w:t>
      </w:r>
      <w:r>
        <w:t xml:space="preserve"> desde la OPV: los mayoristas crecen solo un 4,8 % en CHF en el 2T26 [6].</w:t>
      </w:r>
    </w:p>
    <w:p>
      <w:pPr>
        <w:pStyle w:val="ListParagraph"/>
        <w:numPr>
          <w:ilvl w:val="0"/>
          <w:numId w:val="2"/>
        </w:numPr>
        <w:spacing w:after="60"/>
      </w:pPr>
      <w:r>
        <w:rPr>
          <w:b/>
        </w:rPr>
        <w:t xml:space="preserve">Prima sobre los comparables</w:t>
      </w:r>
      <w:r>
        <w:t xml:space="preserve">: 11,2x EV/EBITDA NTM frente a 8,0x de mediana; con los múltiplos del sector valdría 18,98 CHF.</w:t>
      </w:r>
    </w:p>
    <w:p>
      <w:pPr>
        <w:pStyle w:val="ListParagraph"/>
        <w:numPr>
          <w:ilvl w:val="0"/>
          <w:numId w:val="2"/>
        </w:numPr>
        <w:spacing w:after="60"/>
      </w:pPr>
      <w:r>
        <w:rPr>
          <w:b/>
        </w:rPr>
        <w:t xml:space="preserve">Gobierno</w:t>
      </w:r>
      <w:r>
        <w:t xml:space="preserve">: dos cambios de primer ejecutivo en 24 meses, fundadores con el ~54 % del voto y el 13 % del capital, y un variable ligado a ventas y EBITDA ajustado, sin ROIC ni caja, que en 2025 superó en 1,33 M CHF el máximo aprobado [1, 26, 47].</w:t>
      </w:r>
    </w:p>
    <w:p>
      <w:pPr>
        <w:pStyle w:val="ListParagraph"/>
        <w:numPr>
          <w:ilvl w:val="0"/>
          <w:numId w:val="2"/>
        </w:numPr>
        <w:spacing w:after="60"/>
      </w:pPr>
      <w:r>
        <w:rPr>
          <w:b/>
        </w:rPr>
        <w:t xml:space="preserve">Divisa</w:t>
      </w:r>
      <w:r>
        <w:t xml:space="preserve">: el dólar débil restó 8,1 puntos al crecimiento del 2T26 y el 51 % de las ventas es en EE. UU. [1, 6].</w:t>
      </w:r>
    </w:p>
    <w:p>
      <w:pPr>
        <w:pStyle w:val="ListParagraph"/>
        <w:numPr>
          <w:ilvl w:val="0"/>
          <w:numId w:val="2"/>
        </w:numPr>
        <w:spacing w:after="60"/>
      </w:pPr>
      <w:r>
        <w:rPr>
          <w:b/>
        </w:rPr>
        <w:t xml:space="preserve">Riesgo de moda y de concentración</w:t>
      </w:r>
      <w:r>
        <w:t xml:space="preserve">: 90 % del calzado fabricado en Vietnam y el mayor cliente pesa el 11,6 % [1, 7].</w:t>
      </w:r>
    </w:p>
    <w:p>
      <w:pPr>
        <w:pStyle w:val="Heading2"/>
      </w:pPr>
      <w:r>
        <w:t xml:space="preserve">Qué tiene que pasar para que la tesis funcione</w:t>
      </w:r>
    </w:p>
    <w:p>
      <w:pPr>
        <w:spacing w:after="100"/>
      </w:pPr>
      <w:r>
        <w:t xml:space="preserve">La tesis depende de que la desaceleración sea de canal y de divisa, no de marca. La señal está en dos cifras de los resultados del 3T26 (noviembre) y de la guía de 2027 (marzo): el crecimiento de la venta directa a divisa constante, que debe seguir por encima del 25 %, y el de los mayoristas, que debe volver a dos dígitos en 2027. Si la venta directa baja del 20 % con mayoristas planos, el problema es la marca y el escenario bajista (18,18 CHF) pasa a ser el central.</w:t>
      </w:r>
    </w:p>
    <w:p>
      <w:pPr>
        <w:pStyle w:val="Heading2"/>
      </w:pPr>
      <w:r>
        <w:t xml:space="preserve">Indicadores de seguimiento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482"/>
        <w:gridCol w:w="1482"/>
        <w:gridCol w:w="4203"/>
      </w:tblGrid>
      <w:tr>
        <w:trPr>
          <w:cantSplit/>
          <w:tblHeader/>
        </w:trPr>
        <w:tc>
          <w:tcPr>
            <w:tcW w:type="dxa" w:w="24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Nivel actual</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Umbral de alerta</w:t>
            </w:r>
          </w:p>
        </w:tc>
        <w:tc>
          <w:tcPr>
            <w:tcW w:type="dxa" w:w="42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Por qué importa</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de la venta directa a divisa constante</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+34,3 % (2T26)</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&lt; 20 %</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 la medida más limpia de la demanda de la marca [6].</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de los mayoristas a divisa constante</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+12,7 % (2T26)</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&lt; 5 % dos trimestres seguidos</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Dice si el recorte es temporal [6].</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Margen bruto (sin aranceles devueltos)</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65,4 % (2T26)</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&lt; 63 %</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Precio completo y mezcla de canal [6].</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Existencias sobre ventas LTM</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14,7 % (472,9 M CHF a jun-26)</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&gt; 18 %</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 2022 el exceso de existencias hundió el flujo libre [7].</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 del mayor cliente en las ventas</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11,6 % (1S26)</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&gt; 13 %</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Concentración creciente en el canal más débil [7].</w:t>
            </w:r>
          </w:p>
        </w:tc>
      </w:tr>
    </w:tbl>
    <w:p>
      <w:pPr>
        <w:spacing w:after="160" w:before="0"/>
      </w:pPr>
    </w:p>
    <w:p>
      <w:pPr>
        <w:pStyle w:val="Heading2"/>
      </w:pPr>
      <w:r>
        <w:t xml:space="preserve">Datos clave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EV/EBITDA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14,2x / 11,2x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PER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22,4x / 18,5x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18,6x</w:t>
            </w:r>
          </w:p>
        </w:tc>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EV/Ventas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2,57x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por FCF</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3,8 %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por dividendo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0,0 %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anual de ingresos (2020-2025)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47,9 %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Margen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18,1 %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ROIC último ejercicio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38,4 %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WACC</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10,0 %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 EBITDA (contable ·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-1,1x · -1,1x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 (criterios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 de 13</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r>
        <w:br w:type="page"/>
      </w:r>
    </w:p>
    <w:p>
      <w:pPr>
        <w:pStyle w:val="Parte"/>
      </w:pPr>
      <w:r>
        <w:t xml:space="preserve">Parte I — Negocio y sector</w:t>
      </w:r>
    </w:p>
    <w:p>
      <w:pPr>
        <w:pStyle w:val="Heading1"/>
      </w:pPr>
      <w:r>
        <w:t xml:space="preserve">1. Historia e hitos</w:t>
      </w:r>
    </w:p>
    <w:p>
      <w:pPr>
        <w:pStyle w:val="Confianza"/>
        <w:spacing w:after="100"/>
      </w:pPr>
      <w:r>
        <w:t xml:space="preserve">Confianza: Alta</w:t>
      </w:r>
    </w:p>
    <w:p>
      <w:pPr>
        <w:spacing w:after="100"/>
      </w:pPr>
      <w:r>
        <w:t xml:space="preserve">On nació en Zúrich en 2010 de la mano de Olivier Bernhard, ex triatleta profesional, y de David Allemann y Caspar Coppetti, que venían de la consultoría y la publicidad, con la suela CloudTec como invento de partida [1]. En 2012 se creó On Holding AG como sociedad cabecera [1]. Creció a través de tiendas especializadas de running y después de grandes minoristas. Roger Federer se sumó como socio de la marca, y en septiembre de 2021 salió a bolsa en la NYSE con una estructura de doble clase que deja el voto en manos de los fundadores [1, 5]. Desde entonces ha multiplicado las ventas por cuatro (de 725 M CHF en 2021 a 3.014 M CHF en 2025) y ha pasado de la zapatilla de running a la ropa, el tenis, el outdoor, la fábrica propia de LightSpray en Zúrich y, en 2026, el fútbol y el golf [1, 6, 11]. En 2025-2026 la dirección volvió a los fundadores: el CEO y CFO Martin Hoffmann salió en mayo de 2026 y Allemann y Coppetti son ahora copresidentes y co-CEO [26].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3"/>
        <w:gridCol w:w="8505"/>
      </w:tblGrid>
      <w:tr>
        <w:trPr>
          <w:cantSplit/>
          <w:tblHeader/>
        </w:trPr>
        <w:tc>
          <w:tcPr>
            <w:tcW w:type="dxa" w:w="11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8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Hito</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2010</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Fundación de On AG en Zúrich por Bernhard, Allemann y Coppetti; primera zapatilla con CloudTec [1].</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2012</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Constitución de On Holding AG como sociedad cabecera del grupo [1].</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2021</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Salida a bolsa en la NYSE (sep-2021) a 24 USD por acción, con acciones de Clase A cotizadas y de Clase B de los fundadores; Roger Federer figura como socio («co-entrepreneur») y la línea THE ROGER se explota bajo licencia [5].</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2023</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Primer Investor Day: objetivo de duplicar las ventas a 2026 (≥ 3.550 M CHF) y llegar a un margen EBITDA ajustado del 18 % [22].</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Apertura de la primera fábrica de LightSpray en Zúrich; ventas por encima de 3.000 M CHF y Asia-Pacífico por encima de 500 M CHF [1, 11].</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Aranceles recíprocos de EE. UU. del 20 % sobre Vietnam (ago-2025), de donde sale el 90 % del calzado [1].</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2026</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Tribunal Supremo de EE. UU. anula los aranceles IEEPA (feb-2026); On pide la devolución de 55,6 M CHF [6].</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2026</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Los fundadores Allemann y Coppetti asumen como co-CEO tras la salida de Martin Hoffmann (1-may-2026) [26].</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2026</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Investor Day (22-sep): objetivos a 2029, entrada en fútbol y golf y primera recompra de acciones de hasta 1.000 M USD [21].</w:t>
            </w:r>
          </w:p>
        </w:tc>
      </w:tr>
    </w:tbl>
    <w:p>
      <w:pPr>
        <w:spacing w:after="160" w:before="0"/>
      </w:pPr>
    </w:p>
    <w:p>
      <w:pPr>
        <w:pStyle w:val="Heading1"/>
      </w:pPr>
      <w:r>
        <w:t xml:space="preserve">2. Modelo de negocio</w:t>
      </w:r>
    </w:p>
    <w:p>
      <w:pPr>
        <w:pStyle w:val="Confianza"/>
        <w:spacing w:after="100"/>
      </w:pPr>
      <w:r>
        <w:t xml:space="preserve">Confianza: Alta</w:t>
      </w:r>
    </w:p>
    <w:p>
      <w:pPr>
        <w:spacing w:after="100"/>
      </w:pPr>
      <w:r>
        <w:t xml:space="preserve">On diseña y vende calzado deportivo premium (el 93 % de las ventas de 2025), ropa y accesorios bajo una sola marca [1, 11]. Nació en el running y se ha extendido al outdoor, el entrenamiento, el tenis, el uso diario y, desde 2026, el fútbol y el golf [1, 21]. Vende en más de 90 países por dos canales: mayoristas (58,2 % de las ventas de 2025), es decir, tiendas especializadas de running, grandes cadenas deportivas y grandes almacenes, y venta directa (41,8 %), con la web propia y 67 tiendas propias al cierre de 2025 [1, 11]. No fabrica: menos de 30 proveedores externos, seis de los cuales hacen el 70 % de la producción; el 90 % del calzado sale de Vietnam y el 10 % de Indonesia [1]. La excepción es LightSpray, una tecnología de pala pulverizada que On fabrica en Zúrich [1]. EE. UU. es el 51 % de las ventas, EMEA el 25 % y Asia-Pacífico el 17 % [1].</w:t>
      </w:r>
    </w:p>
    <w:p>
      <w:pPr>
        <w:pStyle w:val="Heading2"/>
      </w:pPr>
      <w:r>
        <w:t xml:space="preserve">Cómo gana dinero</w:t>
      </w:r>
    </w:p>
    <w:p>
      <w:pPr>
        <w:spacing w:after="100"/>
      </w:pPr>
      <w:r>
        <w:t xml:space="preserve">Es una marca de margen bruto alto: 62,8 % en 2025 y 64,8 % en el 1S26, frente al 42,9 % de Nike o el 51,6 % de adidas [6, 11, 38, 39]. El margen depende de tres cosas. La primera es el precio completo: On evita las rebajas y frena las entregas a mayoristas cuando el mercado está promocional, como en el 2T26 [6]. La segunda es la mezcla de canal: cada punto de venta directa sube el margen bruto, porque se queda el margen del minorista. La tercera son los costes de producto y de aduanas en EE. UU. y la divisa, porque factura en USD, EUR y otras monedas y presenta en CHF [1, 6]. Los gastos generales (50 % de las ventas en 2025, con 2 % de remuneración en acciones) dan el apalancamiento operativo: marketing, tiendas y tecnología crecen menos que las ventas [11]. No hay ingresos recurrentes por contrato; la repetición viene de la marca. Hay estacionalidad moderada: el 2T y el 3T son los trimestres más fuertes en ventas y márgenes [6].</w:t>
      </w:r>
    </w:p>
    <w:p>
      <w:pPr>
        <w:pStyle w:val="Heading2"/>
      </w:pPr>
      <w:r>
        <w:t xml:space="preserve">Segmentos (2025)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78"/>
        <w:gridCol w:w="1320"/>
        <w:gridCol w:w="1320"/>
        <w:gridCol w:w="1320"/>
      </w:tblGrid>
      <w:tr>
        <w:trPr>
          <w:cantSplit/>
          <w:tblHeader/>
        </w:trPr>
        <w:tc>
          <w:tcPr>
            <w:tcW w:type="dxa" w:w="316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Segmento</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del total</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Crecimiento</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Mayorista (Wholesale)</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1.753</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58,2 %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+27,5 %</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Venta directa (DTC)</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1.261</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41,8 %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+33,7 %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02" name="Gráfico 2" descr="Ingresos por segmento (CHF,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
              </a:graphicData>
            </a:graphic>
          </wp:inline>
        </w:drawing>
      </w:r>
    </w:p>
    <w:p>
      <w:pPr>
        <w:keepNext w:val="false"/>
        <w:spacing w:after="160" w:before="120"/>
        <w:jc w:val="center"/>
      </w:pPr>
      <w:r>
        <w:drawing>
          <wp:inline xmlns:wp="http://schemas.openxmlformats.org/drawingml/2006/wordprocessingDrawing" distT="0" distB="0" distL="0" distR="0">
            <wp:extent cx="5760000" cy="2340000"/>
            <wp:effectExtent l="0" t="0" r="0" b="0"/>
            <wp:docPr id="1003" name="Gráfico 3" descr="Peso de cada segmento en los ingresos (2025)"/>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3"/>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25"/>
        <w:gridCol w:w="1302"/>
        <w:gridCol w:w="1302"/>
        <w:gridCol w:w="1302"/>
        <w:gridCol w:w="1302"/>
        <w:gridCol w:w="1305"/>
      </w:tblGrid>
      <w:tr>
        <w:trPr>
          <w:cantSplit/>
          <w:tblHeader/>
        </w:trPr>
        <w:tc>
          <w:tcPr>
            <w:tcW w:type="dxa" w:w="31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Ingresos por segmento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2021</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2022</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2023</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2024</w:t>
            </w:r>
          </w:p>
        </w:tc>
        <w:tc>
          <w:tcPr>
            <w:tcW w:type="dxa" w:w="13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2025</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Mayorista (Wholesale)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777</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1.376</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1.753</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Venta directa (DTC)</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276</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445</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672</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943</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1.261</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04" name="Gráfico 4" descr="Ingresos por geografía, según destino (% del total)"/>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4"/>
              </a:graphicData>
            </a:graphic>
          </wp:inline>
        </w:drawing>
      </w:r>
    </w:p>
    <w:p>
      <w:pPr>
        <w:pStyle w:val="Heading2"/>
      </w:pPr>
      <w:r>
        <w:t xml:space="preserve">Clientes, recurrencia y poder de precios</w:t>
      </w:r>
    </w:p>
    <w:p>
      <w:pPr>
        <w:spacing w:after="100"/>
      </w:pPr>
      <w:r>
        <w:t xml:space="preserve">La concentración ha subido: el mayor cliente fue el 11,0 % de las ventas de 2025 y el 11,6 % en el 1S26, cuando antes de 2025 ninguno pasaba del 10 %; dos clientes superaban cada uno el 10 % de los saldos de clientes a dic-2025 [1, 6]. Los mayoristas, que son el 58 % de las ventas, compran con crédito comercial sin garantía y con pedidos anticipados [1]. El riesgo está en la salud de las grandes cadenas de EE. UU. y en que dediquen el espacio a otras marcas [1]. El poder de precios se ve en el margen bruto: subió de 56,0 % en 2022 a 64,8 % en el 1S26 pese al arancel recíproco del 20 % sobre Vietnam desde agosto de 2025, que On absorbió con precio y mezcla sin perder crecimiento (+21,6 % a divisa constante en el 2T26) [1, 6, 11]. La dirección dice haber subido precios selectivamente para mantener el posicionamiento, sin dar cifras [40]. La señal contraria es la del canal: en el 2T26 los mayoristas crecieron solo un 4,8 % (12,7 % a divisa constante) porque On recortó entregas para no alimentar rebajas [6].</w:t>
      </w:r>
    </w:p>
    <w:p>
      <w:pPr>
        <w:pStyle w:val="Heading2"/>
      </w:pPr>
      <w:r>
        <w:t xml:space="preserve">Indicadores operativos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0"/>
        <w:gridCol w:w="1220"/>
        <w:gridCol w:w="1220"/>
        <w:gridCol w:w="1098"/>
        <w:gridCol w:w="3660"/>
      </w:tblGrid>
      <w:tr>
        <w:trPr>
          <w:cantSplit/>
          <w:tblHeader/>
        </w:trPr>
        <w:tc>
          <w:tcPr>
            <w:tcW w:type="dxa" w:w="24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Anterior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Variación</w:t>
            </w:r>
          </w:p>
        </w:tc>
        <w:tc>
          <w:tcPr>
            <w:tcW w:type="dxa" w:w="366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Lectura</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Peso de la venta directa (DTC) en ventas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40,7 % (2024)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41,8 % (2025); 45,7 % en 2T26</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 p.p.</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2021 38,1 %; 2022 36,4 %; 2023 37,5 % (cálculo sobre ventas por canal) [1, 3, 6]</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Tiendas propias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(2024)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 (2025)</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2025: 38 en China (incl. Hong Kong), 14 en América, 10 en Europa, 5 en Asia-Pacífico sin China. 2021: 9; 2022: 18; 2023: 32 [1, 2, 3, 4, 5]</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Empleados (equivalentes a tiempo completo)</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3.254 (2024)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3.963 (2025)</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+21,8 %</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2020: 744; 2021: 1.158; 2022: 1.701; 2023: 2.353 [1, 2, 3, 4, 5]</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Ropa y accesorios sobre ventas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5,1 % (2024)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7,0 % (2025); 8,1 % en 1S26</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 p.p.</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Ropa 169,9 M y accesorios 39,6 M en 2025 [1, 7, 11]</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Asia-Pacífico sobre ventas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11,2 % (2024)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17,0 % (2025); 20,5 % en 1S26</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 p.p.</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Crecimiento a divisa constante de APAC: 106,7 % en 2025, 58,1 % en 1S26 [1, 6]</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Margen bruto</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60,6 % (2024)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62,8 % (2025); 64,8 % en 1S26</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 p.p.</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2021 59,4 %; 2022 56,0 %; 2023 59,6 % [1, 4]</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Países con presencia</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más de 90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más de 90 (2025)</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6]</w:t>
            </w:r>
          </w:p>
        </w:tc>
      </w:tr>
    </w:tbl>
    <w:p>
      <w:pPr>
        <w:spacing w:after="160" w:before="0"/>
      </w:pPr>
    </w:p>
    <w:p>
      <w:pPr>
        <w:pStyle w:val="Heading1"/>
      </w:pPr>
      <w:r>
        <w:t xml:space="preserve">3. Sector y mercado</w:t>
      </w:r>
    </w:p>
    <w:p>
      <w:pPr>
        <w:pStyle w:val="Confianza"/>
        <w:spacing w:after="100"/>
      </w:pPr>
      <w:r>
        <w:t xml:space="preserve">Confianza: Media</w:t>
      </w:r>
    </w:p>
    <w:p>
      <w:pPr>
        <w:spacing w:after="100"/>
      </w:pPr>
      <w:r>
        <w:t xml:space="preserve">El mercado relevante es el de calzado y ropa deportiva de marca en el mundo, y dentro de él el calzado de rendimiento premium (running sobre todo), donde compiten On, HOKA, Asics y las líneas de running de Nike y adidas. Uso dos fuentes. Grand View Research mide el calzado deportivo mundial: 146.700 M USD en 2023, con previsión de 205.800 M USD en 2030 (TCAC del 5,0 %) [41]. McKinsey y la WFSGI miden toda la industria de artículos deportivos (calzado, ropa y equipamiento): creció un 7 % anual en 2021-2024 y esperan un 6 % anual hasta 2029 [42]. Tomo la serie de Grand View porque es la más cercana a lo que vende On (93 % calzado), y la de McKinsey como contraste de crecimiento.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Tamaño del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 153.900 M USD en 2024 (calzado deportivo mundial) [41]; previsión de 205.800 M USD en 2030 [41]</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Posición en el ciclo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Contracción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histórico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6,5 %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previsto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5,0 %</w:t>
            </w:r>
          </w:p>
        </w:tc>
      </w:tr>
      <w:tr>
        <w:trPr>
          <w:cantSplit/>
        </w:trPr>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Estructura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Moderadamente concentrada</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05" name="Gráfico 5" descr="Tamaño del mercado (miles de millones de USD (calzado deportivo mundial, Grand View Research)) · «e» = previsión"/>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5"/>
              </a:graphicData>
            </a:graphic>
          </wp:inline>
        </w:drawing>
      </w:r>
    </w:p>
    <w:p>
      <w:pPr>
        <w:pStyle w:val="Heading2"/>
      </w:pPr>
      <w:r>
        <w:t xml:space="preserve">Motores de la demanda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3"/>
        <w:gridCol w:w="876"/>
        <w:gridCol w:w="1251"/>
        <w:gridCol w:w="5008"/>
      </w:tblGrid>
      <w:tr>
        <w:trPr>
          <w:cantSplit/>
          <w:tblHeader/>
        </w:trPr>
        <w:tc>
          <w:tcPr>
            <w:tcW w:type="dxa" w:w="25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Motor</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Efecto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Horizonte</w:t>
            </w:r>
          </w:p>
        </w:tc>
        <w:tc>
          <w:tcPr>
            <w:tcW w:type="dxa" w:w="50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Evidencia</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Participación deportiva, running y salud</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adidas y Puma citan en sus informes de 2025 la mayor participación deportiva y la conciencia de salud como motores de fondo [38, 43]; la industria creció un 7 % anual en 2021-2024 [42].</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Deporte como prenda diaria (athleisure)</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Puma describe la fusión de ropa deportiva y de calle como motor material de la demanda [43]; On dice que los menores de 34 años son ya más de un tercio de sus clientes [6].</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Marcas insurgentes frente a las establecidas</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HOKA creció un 15,9 % en su ejercicio a mar-2026 y Asics un 19,5 % en 2025, mientras Nike quedó plana (+0 %) [39, 44].</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Aranceles de EE. UU. sobre Asia</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Arancel recíproco del 20 % sobre Vietnam desde ago-2025 sobre el 20 % previo; los IEEPA se anularon en feb-2026 y On reclama 55,6 M CHF [1, 6].</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Promociones y exceso de inventario en el canal</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Puma habla de un entorno «intensamente promocional» en 2025 [43]; On frenó entregas a mayoristas en el 2T26 por el mismo motivo [6].</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Divisa (USD débil frente al CHF)</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 USD/CHF pasó de 0,906 a cierre de 2024 a 0,793 a cierre de 2025 [45]; en el 1S26 las ventas de On crecieron un 14,0 % en CHF y un 24,0 % a divisa constante [6].</w:t>
            </w:r>
          </w:p>
        </w:tc>
      </w:tr>
    </w:tbl>
    <w:p>
      <w:pPr>
        <w:spacing w:after="160" w:before="0"/>
      </w:pPr>
    </w:p>
    <w:p>
      <w:pPr>
        <w:pStyle w:val="Heading2"/>
      </w:pPr>
      <w:r>
        <w:t xml:space="preserve">Las cinco fuerzas</w:t>
      </w:r>
    </w:p>
    <w:p>
      <w:pPr>
        <w:keepNext w:val="false"/>
        <w:spacing w:after="160" w:before="120"/>
        <w:jc w:val="center"/>
      </w:pPr>
      <w:r>
        <w:drawing>
          <wp:inline xmlns:wp="http://schemas.openxmlformats.org/drawingml/2006/wordprocessingDrawing" distT="0" distB="0" distL="0" distR="0">
            <wp:extent cx="5760000" cy="2700000"/>
            <wp:effectExtent l="0" t="0" r="0" b="0"/>
            <wp:docPr id="1006" name="Gráfico 6" descr="Cinco fuerzas: intensidad (1 = favorable, 5 = desfavorable)"/>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6"/>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1204"/>
        <w:gridCol w:w="6025"/>
      </w:tblGrid>
      <w:tr>
        <w:trPr>
          <w:cantSplit/>
          <w:tblHeader/>
        </w:trPr>
        <w:tc>
          <w:tcPr>
            <w:tcW w:type="dxa" w:w="24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Fuerza</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Intensidad (1-5)</w:t>
            </w:r>
          </w:p>
        </w:tc>
        <w:tc>
          <w:tcPr>
            <w:tcW w:type="dxa" w:w="6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Justificación</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Rivalidad</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Nike y adidas defienden cuota con marketing y rebajas; Puma perdió dinero en 2025 (margen EBIT de −4,9 %) en un mercado promocional [43].</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Poder de los clientes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Los mayoristas son el 58 % de las ventas de On y reparten espacio entre marcas; el consumidor final paga precio completo por las marcas con demanda [1, 6].</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Poder de los proveedores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Fabricación concentrada: seis proveedores hacen el 70 % de la producción de On y el 90 % del calzado viene de Vietnam; algunos tejidos tienen un solo proveedor [1].</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Amenaza de entrada</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 fabricación externalizada abarata entrar (On y HOKA lo demuestran), pero escalar una marca global exige años de inversión en atletas y distribución [1, 39].</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Amenaza de sustitutos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 calzado de calle no deportivo compite por el gasto, pero la tendencia de los últimos años va hacia el deporte como prenda diaria [43].</w:t>
            </w:r>
          </w:p>
        </w:tc>
      </w:tr>
    </w:tbl>
    <w:p>
      <w:pPr>
        <w:spacing w:after="160" w:before="0"/>
      </w:pPr>
    </w:p>
    <w:p>
      <w:pPr>
        <w:pStyle w:val="Heading2"/>
      </w:pPr>
      <w:r>
        <w:t xml:space="preserve">Ciclo</w:t>
      </w:r>
    </w:p>
    <w:p>
      <w:pPr>
        <w:spacing w:after="100"/>
      </w:pPr>
      <w:r>
        <w:t xml:space="preserve">El sector está en una fase de digestión: Nike encadena dos años sin crecer (46.309 y 46.398 M USD en sus ejercicios a may-2025 y may-2026), Lululemon y Puma esperan menos ventas en 2026 y el mercado es promocional [39, 43]. Los indicadores son el inventario del canal, el nivel de rebajas y el crecimiento de los mayoristas. En 2008-09 y 2020 el sector cayó con el consumo y se recuperó en uno o dos años; en 2022-23 el exceso de inventario tras la pandemia hundió los márgenes de las marcas grandes. Las insurgentes (On, HOKA, Asics) siguen creciendo a doble dígito, pero también ellas frenan [6, 39, 44].</w:t>
      </w:r>
    </w:p>
    <w:p>
      <w:pPr>
        <w:pStyle w:val="Heading2"/>
      </w:pPr>
      <w:r>
        <w:t xml:space="preserve">Regulación</w:t>
      </w:r>
    </w:p>
    <w:p>
      <w:pPr>
        <w:spacing w:after="100"/>
      </w:pPr>
      <w:r>
        <w:t xml:space="preserve">Lo que más pesa en las cifras es la política comercial de EE. UU., adonde va el 51 % de las ventas de On [11]. En ago-2025 entró en vigor un arancel recíproco del 20 % sobre Vietnam, que se suma al 20 % previo [1]. El 20-feb-2026 el Tribunal Supremo anuló los aranceles aprobados con la IEEPA; On ha pagado 55,6 M CHF y espera recuperar hasta 65 M USD en el 3T26, aunque no lo reconoce hasta que el cobro sea prácticamente seguro [6, 21]. Las normas contra el trabajo forzoso (retenciones de la CBP) y los objetivos de emisiones validados por la SBTi son el otro frente regulatorio que declara la empresa [1].</w:t>
      </w:r>
    </w:p>
    <w:p>
      <w:pPr>
        <w:pStyle w:val="Heading2"/>
      </w:pPr>
      <w:r>
        <w:t xml:space="preserve">Tendencias y disrupción</w:t>
      </w:r>
    </w:p>
    <w:p>
      <w:pPr>
        <w:spacing w:after="100"/>
      </w:pPr>
      <w:r>
        <w:t xml:space="preserve">Tres tendencias favorecen a On. El running y el deporte como identidad de una generación (más de un tercio de sus clientes tiene menos de 34 años) [6]; el paso de la cuota de Nike y adidas a marcas especializadas y premium, como HOKA, Asics u On [39, 44]; y la venta directa, que On ha llevado del 36 % de las ventas en 2022 al 45,7 % en el 2T26 [6, 11]. En contra juegan la madurez del canal mayorista en EE. UU., la vuelta de Nike al running con más inversión y la competencia china en Asia (Anta, Li Ning), donde On crece más deprisa [6]. La innovación de producto (espumas, LightSpray) es la barrera que On intenta levantar [1].</w:t>
      </w:r>
    </w:p>
    <w:p>
      <w:pPr>
        <w:pStyle w:val="Heading1"/>
      </w:pPr>
      <w:r>
        <w:t xml:space="preserve">4. Posición competitiva y foso</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Cuota de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Marca insurgente premium; cuota estimada del 2,1 % del calzado deportivo mundial en 2025 (estimación propia: 2.804 M CHF de calzado de On [11] sobre ~162.000 M USD de mercado, extrapolando la serie de Grand View al 5 % anual [41])</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Estrecho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Tendencia del 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Estable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847"/>
        <w:gridCol w:w="953"/>
        <w:gridCol w:w="1059"/>
        <w:gridCol w:w="847"/>
        <w:gridCol w:w="3179"/>
      </w:tblGrid>
      <w:tr>
        <w:trPr>
          <w:cantSplit/>
          <w:tblHeader/>
        </w:trPr>
        <w:tc>
          <w:tcPr>
            <w:tcW w:type="dxa" w:w="19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Competidor</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País</w:t>
            </w:r>
          </w:p>
        </w:tc>
        <w:tc>
          <w:tcPr>
            <w:tcW w:type="dxa" w:w="9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Cotiza</w:t>
            </w:r>
          </w:p>
        </w:tc>
        <w:tc>
          <w:tcPr>
            <w:tcW w:type="dxa" w:w="105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(M)</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w:t>
            </w:r>
          </w:p>
        </w:tc>
        <w:tc>
          <w:tcPr>
            <w:tcW w:type="dxa" w:w="3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Cómo compite</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Nike</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EE. UU.</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NKE</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38.534</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Líder mundial; ventas planas (46.398 M USD en el ejercicio a may-2026) y margen operativo del 8,2 % (beneficio bruto menos gastos de venta y administración) [39].</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adidas</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Alemania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ADS</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23.221</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8,3 %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Recupera margen tras Yeezy: ventas de 24.811 M EUR (+4,8 %) y margen operativo del 8,3 % en 2025 [38].</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Lululemon</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Canadá / EE. UU.</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LULU</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9.221</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19,9 %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Ropa premium con calzado incipiente; ventas de 11.103 M USD y margen operativo del 19,9 % (23,7 % un año antes) en el ejercicio a feb-2026 [39].</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Puma</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Alemania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PUM</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6.828</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 reestructuración: ventas de 7.296 M EUR (−13,1 %) y EBIT de −357 M EUR en 2025 [43].</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Amer Sports (Salomon, Arc'teryx)</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Finlandia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AS</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5.453</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Outdoor premium; ventas de 6.566 M USD (+26,7 %) y beneficio operativo de 702 M USD en 2025 [39].</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Deckers (HOKA, UGG)</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EE. UU.</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DECK</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4.545</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23,1 %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rival más parecido: HOKA vendió 2.587 M USD (+15,9 %) en el ejercicio a mar-2026; el grupo, 5.472 M USD con margen operativo del 23,1 % [39].</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Asics</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Japón</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7936</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4.260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17,6 %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Running de rendimiento y moda (Onitsuka Tiger); ventas de 810.900 M JPY (+19,5 %) y beneficio operativo de 142.500 M JPY en 2025 [44].</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07" name="Gráfico 7" descr="Margen EBIT: la empresa frente a sus competidores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7"/>
              </a:graphicData>
            </a:graphic>
          </wp:inline>
        </w:drawing>
      </w:r>
    </w:p>
    <w:p>
      <w:pPr>
        <w:pStyle w:val="Heading2"/>
      </w:pPr>
      <w:r>
        <w:t xml:space="preserve">Fuentes de ventaja competitiva</w:t>
      </w:r>
    </w:p>
    <w:p>
      <w:pPr>
        <w:keepNext w:val="false"/>
        <w:spacing w:after="160" w:before="120"/>
        <w:jc w:val="center"/>
      </w:pPr>
      <w:r>
        <w:drawing>
          <wp:inline xmlns:wp="http://schemas.openxmlformats.org/drawingml/2006/wordprocessingDrawing" distT="0" distB="0" distL="0" distR="0">
            <wp:extent cx="5760000" cy="1980000"/>
            <wp:effectExtent l="0" t="0" r="0" b="0"/>
            <wp:docPr id="1008" name="Gráfico 8" descr="Fuentes de ventaja competitiva (0 = inexistente, 5 = muy fuerte)"/>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1235"/>
        <w:gridCol w:w="6179"/>
      </w:tblGrid>
      <w:tr>
        <w:trPr>
          <w:cantSplit/>
          <w:tblHeader/>
        </w:trPr>
        <w:tc>
          <w:tcPr>
            <w:tcW w:type="dxa" w:w="22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Fuente</w:t>
            </w:r>
          </w:p>
        </w:tc>
        <w:tc>
          <w:tcPr>
            <w:tcW w:type="dxa" w:w="12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Puntuación (0-5)</w:t>
            </w:r>
          </w:p>
        </w:tc>
        <w:tc>
          <w:tcPr>
            <w:tcW w:type="dxa" w:w="6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Evidencia</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Efectos de red</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Comunidad de corredores y atletas, pero sin efecto de red económico: un cliente más no hace el producto mejor para otro [1].</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Costes de cambio</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Cambiar de zapatilla no cuesta nada; la fidelidad viene del ajuste y de la costumbre, no de un coste [1].</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Intangibles (marca, patentes, licencias)</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Margen bruto del 62,8 % en 2025 y del 64,8 % en el 1S26 frente al 42,9 % de Nike y el 51,6 % de adidas; crecimiento a precio completo y conocimiento de marca del 30 % [3, 4, 8, 9].</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Ventaja en costes</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Sin ventaja: fabrica con los mismos proveedores asiáticos que el resto y con menos volumen que Nike o adidas; LightSpray podría cambiarlo a largo plazo [1].</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Escala eficiente</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 3.014 M CHF de ventas en 2025 es menos de una décima parte de Nike (38.534 M CHF) y algo más de la mitad de Amer Sports; la escala le permite financiar atletas y tiendas, pero no es una barrera para otros [3, 9, 18].</w:t>
            </w:r>
          </w:p>
        </w:tc>
      </w:tr>
    </w:tbl>
    <w:p>
      <w:pPr>
        <w:spacing w:after="160" w:before="0"/>
      </w:pPr>
    </w:p>
    <w:p>
      <w:pPr>
        <w:pStyle w:val="Heading2"/>
      </w:pPr>
      <w:r>
        <w:t xml:space="preserve">Amenazas</w:t>
      </w:r>
    </w:p>
    <w:p>
      <w:pPr>
        <w:spacing w:after="100"/>
      </w:pPr>
      <w:r>
        <w:t xml:space="preserve">El foso es la marca, y las marcas de moda deportiva se desgastan. Le pasó a Under Armour y le está pasando a Lululemon, cuyo margen operativo cayó del 23,7 % al 19,9 % en un año [39]. Las amenazas concretas son tres. La primera, que Nike recupere el running con producto e inversión. La segunda, que HOKA, Asics u otra marca nueva ocupen el sitio de «la zapatilla que hay que tener» [39, 44]. La tercera, que la expansión a ropa, fútbol y golf diluya la autenticidad de corredor [21]. Probabilidad media a cinco años. La señal temprana sería el crecimiento de la venta directa a divisa constante por debajo del 20 % o más rebajas en las propias tiendas de On.</w:t>
      </w:r>
    </w:p>
    <w:p>
      <w:r>
        <w:br w:type="page"/>
      </w:r>
    </w:p>
    <w:p>
      <w:pPr>
        <w:pStyle w:val="Parte"/>
      </w:pPr>
      <w:r>
        <w:t xml:space="preserve">Parte II — Finanzas</w:t>
      </w:r>
    </w:p>
    <w:p>
      <w:pPr>
        <w:pStyle w:val="Heading1"/>
      </w:pPr>
      <w:r>
        <w:t xml:space="preserve">5. Cuenta de resultados</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973"/>
        <w:gridCol w:w="778"/>
        <w:gridCol w:w="778"/>
        <w:gridCol w:w="876"/>
        <w:gridCol w:w="827"/>
        <w:gridCol w:w="827"/>
        <w:gridCol w:w="778"/>
        <w:gridCol w:w="827"/>
        <w:gridCol w:w="681"/>
        <w:gridCol w:w="681"/>
        <w:gridCol w:w="736"/>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9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bruto</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 neto</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DPA</w:t>
            </w:r>
          </w:p>
        </w:tc>
        <w:tc>
          <w:tcPr>
            <w:tcW w:type="dxa" w:w="7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Tipo imp.</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54,3 %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-0,10</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0,00</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+70,4 %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59,4 %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-19,5 %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-170</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-0,59</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0,00</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1.222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+68,7 %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56,0 %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0,18</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0,00</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+46,6 %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59,6 %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245</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13,7 %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0,00</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2.318</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+29,4 %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60,6 %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316</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0,00</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3.014</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+30,0 %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62,8 %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504</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16,7 %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377</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12,5 %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0,61</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0,00</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1 %</w:t>
            </w:r>
          </w:p>
        </w:tc>
      </w:tr>
    </w:tbl>
    <w:p>
      <w:pPr>
        <w:spacing w:after="160" w:before="0"/>
      </w:pPr>
    </w:p>
    <w:p>
      <w:pPr>
        <w:spacing w:after="100"/>
      </w:pPr>
      <w:r>
        <w:t xml:space="preserve">Crecimiento anual compuesto 2020-2025: ingresos </w:t>
      </w:r>
      <w:r>
        <w:rPr>
          <w:b/>
          <w:bCs/>
        </w:rPr>
        <w:t xml:space="preserve">47,9 %</w:t>
      </w:r>
      <w:r>
        <w:t xml:space="preserve">, EBITDA </w:t>
      </w:r>
      <w:r>
        <w:rPr>
          <w:b/>
          <w:bCs/>
        </w:rPr>
        <w:t xml:space="preserve">n.d.</w:t>
      </w:r>
      <w:r>
        <w:t xml:space="preserve">, BPA </w:t>
      </w:r>
      <w:r>
        <w:rPr>
          <w:b/>
          <w:bCs/>
        </w:rPr>
        <w:t xml:space="preserve">n.d.</w:t>
      </w:r>
      <w:r>
        <w:t xml:space="preserve">.</w:t>
      </w:r>
    </w:p>
    <w:p>
      <w:pPr>
        <w:keepNext w:val="false"/>
        <w:spacing w:after="160" w:before="120"/>
        <w:jc w:val="center"/>
      </w:pPr>
      <w:r>
        <w:drawing>
          <wp:inline xmlns:wp="http://schemas.openxmlformats.org/drawingml/2006/wordprocessingDrawing" distT="0" distB="0" distL="0" distR="0">
            <wp:extent cx="5760000" cy="2700000"/>
            <wp:effectExtent l="0" t="0" r="0" b="0"/>
            <wp:docPr id="1009" name="Gráfico 9" descr="Ingresos y EBITDA (CHF, millones) · «e» = proyección propia del DCF"/>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9"/>
              </a:graphicData>
            </a:graphic>
          </wp:inline>
        </w:drawing>
      </w:r>
    </w:p>
    <w:p>
      <w:pPr>
        <w:keepNext w:val="false"/>
        <w:spacing w:after="160" w:before="120"/>
        <w:jc w:val="center"/>
      </w:pPr>
      <w:r>
        <w:drawing>
          <wp:inline xmlns:wp="http://schemas.openxmlformats.org/drawingml/2006/wordprocessingDrawing" distT="0" distB="0" distL="0" distR="0">
            <wp:extent cx="5760000" cy="2700000"/>
            <wp:effectExtent l="0" t="0" r="0" b="0"/>
            <wp:docPr id="1010" name="Gráfico 10" descr="Márgenes (% de ingreso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0"/>
              </a:graphicData>
            </a:graphic>
          </wp:inline>
        </w:drawing>
      </w:r>
    </w:p>
    <w:p>
      <w:pPr>
        <w:spacing w:after="100"/>
      </w:pPr>
      <w:r>
        <w:t xml:space="preserve">Todo el crecimiento es orgánico: la única compra de la historia de On costó 0,3 M CHF en 2019 [1]. Las ventas pasaron de 425 M CHF en 2020 a 3.014 M CHF en 2025, una TCAC del 47,9 %, y se frenan: +29,4 % en 2024, +30,0 % en 2025 y +14,0 % en el 1S26 (+24,0 % a divisa constante) [6, 11]. El margen bruto subió 680 pb entre 2022 y 2025 (del 56,0 % al 62,8 %) por más venta directa, precio completo y fletes normalizados, y llegó al 64,8 % en el 1S26 pese al arancel sobre Vietnam [1, 6]. El margen EBITDA NIIF pasó del 10,8 % en 2022 al 16,7 % en 2025, porque los gastos generales crecieron menos que las ventas. 2021 no es comparable (198,5 M CHF de pagos en acciones por la OPV), y el beneficio neto se mueve al revés que el EBIT por las diferencias de cambio: −173,2 M CHF en 2025 frente a +67,7 M CHF en 2024 [1]. En el LTM a junio de 2026 el beneficio neto ya es de 396,2 M CHF.</w:t>
      </w:r>
    </w:p>
    <w:p>
      <w:pPr>
        <w:pStyle w:val="Heading2"/>
      </w:pPr>
      <w:r>
        <w:t xml:space="preserve">Ajustes y partidas no recurrentes</w:t>
      </w:r>
    </w:p>
    <w:p>
      <w:pPr>
        <w:spacing w:after="100"/>
      </w:pPr>
      <w:r>
        <w:t xml:space="preserve">On publica EBITDA, beneficio neto y BPA «ajustados» que excluyen la remuneración en acciones y sus cargas sociales (y, en 2021, 7,6 M CHF de costes de la OPV) [1, 5]. La diferencia no es pequeña ni puntual: 62,6 M CHF en 2025 (2,1 % de las ventas y el 30,7 % del beneficio neto) y 71,5 M CHF en 2024 [1]. Es un gasto recurrente y aquí se trata como tal: la cuenta, el DCF y los múltiplos usan el EBITDA NIIF (504,4 M CHF en 2025 frente a 567,0 M CHF ajustado). Las diferencias de cambio (−173,2 M CHF en 2025, +67,7 M CHF en 2024 y −111,4 M CHF en 2023) van al resultado financiero y no se repiten con el mismo tamaño desde que la moneda funcional es el USD (+2,9 M CHF en el 1S26) [1, 7]. La devolución de aranceles (hasta 53 M CHF en el 3T26) será un extraordinario positivo [21].</w:t>
      </w:r>
    </w:p>
    <w:p>
      <w:pPr>
        <w:pStyle w:val="Heading1"/>
      </w:pPr>
      <w:r>
        <w:t xml:space="preserve">6. Resultados recientes</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62"/>
        <w:gridCol w:w="1220"/>
        <w:gridCol w:w="1220"/>
        <w:gridCol w:w="1220"/>
        <w:gridCol w:w="1220"/>
        <w:gridCol w:w="1220"/>
        <w:gridCol w:w="976"/>
      </w:tblGrid>
      <w:tr>
        <w:trPr>
          <w:cantSplit/>
          <w:tblHeader/>
        </w:trPr>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interanual</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orgánico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3T24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+32,3 %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0,09</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4T24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607</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+35,7 %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13,5 %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0,27</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727</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14,5 %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0,17</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749</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-0,12</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794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+24,9 %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+34,5 %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19,8 %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0,36</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4T25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117</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0,21</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1T26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832</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+14,5 %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+26,4 %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153</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18,4 %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0,31</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2T26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850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+13,5 %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18,3 %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0,31</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11" name="Gráfico 11" descr="Crecimiento interanual por trimestre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1"/>
              </a:graphicData>
            </a:graphic>
          </wp:inline>
        </w:drawing>
      </w:r>
    </w:p>
    <w:p>
      <w:pPr>
        <w:pStyle w:val="Heading2"/>
      </w:pPr>
      <w:r>
        <w:t xml:space="preserve">Lo que dijo la dirección en las últimas presentaciones</w:t>
      </w:r>
    </w:p>
    <w:p>
      <w:pPr>
        <w:spacing w:after="100"/>
      </w:pPr>
      <w:r>
        <w:t xml:space="preserve">No hay transcripciones gratuitas; el resumen sale de las notas de prensa, el MD&amp;A y el Investor Day. En mayo (1T26) el mensaje era de aceleración: ventas por encima de 800 M CHF por primera vez, +26,4 % a divisa constante, margen bruto del 64,2 % y guía subida a ≥ 64,5 % de margen bruto con ventas de al menos +23 % a divisa constante [9]. En agosto (2T26) cambia el discurso: +21,6 % a divisa constante, venta directa +34,3 %, pero mayoristas solo +12,7 % porque On «gestiona deliberadamente» las entregas en un mercado promocional, sobre todo en América, y la guía de ventas baja a un crecimiento «low-20%» (3.470-3.560 M CHF) mientras el margen bruto sube a ≥ 65,0 % [6, 8]. Es la primera rebaja de la guía de ventas desde la OPV [6]. En el Investor Day (22-sep) la dirección anticipa un 3T de ~17 % a divisa constante, fija los objetivos a 2029 y anuncia la recompra [21]. Lo que no se ha cuantificado: cuánto inventario hay en el canal mayorista de EE. UU., cuánto pesa el mayor cliente (11,6 % de las ventas del 1S26) en el recorte y qué margen tendrán fútbol y golf [1, 7].</w:t>
      </w:r>
    </w:p>
    <w:p>
      <w:pPr>
        <w:pStyle w:val="Heading1"/>
      </w:pPr>
      <w:r>
        <w:t xml:space="preserve">7. Balance y capital circulante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8"/>
        <w:gridCol w:w="1064"/>
        <w:gridCol w:w="1171"/>
        <w:gridCol w:w="958"/>
        <w:gridCol w:w="851"/>
        <w:gridCol w:w="958"/>
        <w:gridCol w:w="851"/>
        <w:gridCol w:w="958"/>
        <w:gridCol w:w="958"/>
        <w:gridCol w:w="911"/>
      </w:tblGrid>
      <w:tr>
        <w:trPr>
          <w:cantSplit/>
          <w:tblHeader/>
        </w:trPr>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0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Activo total</w:t>
            </w:r>
          </w:p>
        </w:tc>
        <w:tc>
          <w:tcPr>
            <w:tcW w:type="dxa" w:w="1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Fondo com. + intang.</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Circulante</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Caja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Deuda fin.</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Arrend.</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Deuda neta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Patrimonio</w:t>
            </w:r>
          </w:p>
        </w:tc>
        <w:tc>
          <w:tcPr>
            <w:tcW w:type="dxa" w:w="91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DN/EBITDA</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383</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245</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13,4x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1.237</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188</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653</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848</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1.382</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459</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970</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1.593</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496</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495</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1.075</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2.377</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499</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1.392</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2.835</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570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1.020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522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-498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1.632</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-1,0x</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1472"/>
        <w:gridCol w:w="1338"/>
        <w:gridCol w:w="1338"/>
        <w:gridCol w:w="1338"/>
        <w:gridCol w:w="1472"/>
        <w:gridCol w:w="1342"/>
      </w:tblGrid>
      <w:tr>
        <w:trPr>
          <w:cantSplit/>
          <w:tblHeader/>
        </w:trPr>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Circulante / ventas</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cobro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inventario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pago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Ciclo de caja (días)</w:t>
            </w:r>
          </w:p>
        </w:tc>
        <w:tc>
          <w:tcPr>
            <w:tcW w:type="dxa" w:w="1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Liquidez corriente</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26,6 %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193</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159</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25,9 %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159</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37,6 %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269</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246</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27,7 %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180</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189</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21,5 %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18,9 %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124</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2,7x</w:t>
            </w:r>
          </w:p>
        </w:tc>
      </w:tr>
    </w:tbl>
    <w:p>
      <w:pPr>
        <w:spacing w:after="160" w:before="0"/>
      </w:pPr>
    </w:p>
    <w:p>
      <w:pPr>
        <w:pStyle w:val="Nota"/>
        <w:spacing w:after="100"/>
      </w:pPr>
      <w:r>
        <w:t xml:space="preserve">Días de inventario y de pago calculados sobre el coste de ventas.</w:t>
      </w:r>
    </w:p>
    <w:p>
      <w:pPr>
        <w:pStyle w:val="Nota"/>
        <w:spacing w:after="100"/>
      </w:pPr>
      <w:r>
        <w:t xml:space="preserve">Cambio de perímetro (2021: Sin compras: el activo total se triplica por la salida a bolsa (612 M CHF de emisión de acciones) y no por un cambio de perímetro. 2021 tampoco es comparable en márgenes: 198,5 M CHF de remuneración en acciones por la OPV.). Los ratios de balance de ese año (días, circulante, deuda neta / EBITDA, ROIC) y los indicadores de calidad contable no son comparables con los anteriores.</w:t>
      </w:r>
    </w:p>
    <w:p>
      <w:pPr>
        <w:keepNext w:val="false"/>
        <w:spacing w:after="160" w:before="120"/>
        <w:jc w:val="center"/>
      </w:pPr>
      <w:r>
        <w:drawing>
          <wp:inline xmlns:wp="http://schemas.openxmlformats.org/drawingml/2006/wordprocessingDrawing" distT="0" distB="0" distL="0" distR="0">
            <wp:extent cx="5760000" cy="2340000"/>
            <wp:effectExtent l="0" t="0" r="0" b="0"/>
            <wp:docPr id="1012" name="Gráfico 12" descr="Capital circulante en día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2"/>
              </a:graphicData>
            </a:graphic>
          </wp:inline>
        </w:drawing>
      </w:r>
    </w:p>
    <w:p>
      <w:pPr>
        <w:spacing w:after="100"/>
      </w:pPr>
      <w:r>
        <w:t xml:space="preserve">El balance no tiene deuda financiera: 1.205,6 M CHF de caja a junio de 2026 frente a 562,5 M CHF de arrendamientos, una caja neta de 643 M CHF después de arrendamientos [7]. El circulante comercial ha mejorado mucho: del 37,6 % de las ventas en 2022, cuando On acumuló existencias (269 días), al 18,9 % en 2025 (137 días) [1]. En junio de 2026 sube al 19,7 % de las ventas de los últimos 12 meses (635,9 M CHF), con las existencias en 472,9 M CHF, un 12,7 % más que un año antes y por debajo del crecimiento de las ventas [6, 8]. Los arrendamientos crecen deprisa (de 347,5 a 521,5 M CHF en 2025, y 230,3 M CHF más firmados sin empezar) porque On abre tiendas y almacenes automatizados en Atlanta y Beringen: es la «deuda» que de verdad crece [1, 7].</w:t>
      </w:r>
    </w:p>
    <w:p>
      <w:pPr>
        <w:pStyle w:val="Heading1"/>
      </w:pPr>
      <w:r>
        <w:t xml:space="preserve">8. Flujos de caja</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97"/>
        <w:gridCol w:w="1107"/>
        <w:gridCol w:w="886"/>
        <w:gridCol w:w="886"/>
        <w:gridCol w:w="886"/>
        <w:gridCol w:w="886"/>
        <w:gridCol w:w="997"/>
        <w:gridCol w:w="997"/>
        <w:gridCol w:w="997"/>
        <w:gridCol w:w="999"/>
      </w:tblGrid>
      <w:tr>
        <w:trPr>
          <w:cantSplit/>
          <w:tblHeader/>
        </w:trPr>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Flujo operativo</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Arrend.</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 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 / ventas</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 / amort.</w:t>
            </w:r>
          </w:p>
        </w:tc>
        <w:tc>
          <w:tcPr>
            <w:tcW w:type="dxa" w:w="9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por acción</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136 %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-0,14</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-170</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-0,12</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83</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-572 %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153</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192 %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0,47</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511</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0,6x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1,16</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360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204</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93 %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0,6x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0,57</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3" name="Gráfico 13" descr="Flujo de caja libre frente a beneficio neto (CHF,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3"/>
              </a:graphicData>
            </a:graphic>
          </wp:inline>
        </w:drawing>
      </w:r>
    </w:p>
    <w:p>
      <w:pPr>
        <w:spacing w:after="100"/>
      </w:pPr>
      <w:r>
        <w:t xml:space="preserve">Acumulado 2020-2025: FCF </w:t>
      </w:r>
      <w:r>
        <w:rPr>
          <w:b/>
          <w:bCs/>
        </w:rPr>
        <w:t xml:space="preserve">319</w:t>
      </w:r>
      <w:r>
        <w:t xml:space="preserve">, conversión </w:t>
      </w:r>
      <w:r>
        <w:rPr>
          <w:b/>
          <w:bCs/>
        </w:rPr>
        <w:t xml:space="preserve">83 %</w:t>
      </w:r>
      <w:r>
        <w:t xml:space="preserve"> del beneficio neto; adquisiciones 0, dividendos 0, recompras 0.</w:t>
      </w:r>
    </w:p>
    <w:p>
      <w:pPr>
        <w:spacing w:after="100"/>
      </w:pPr>
      <w:r>
        <w:t xml:space="preserve">La conversión de beneficio en caja es buena pero irregular. El flujo libre (después de capex, arrendamientos e intereses) fue de −330 M CHF en 2022, por la acumulación de existencias, y de 153, 379 y 190 M CHF en 2023-2025; 319 M CHF acumulados en 2020-2025, con una conversión del 83 % del beneficio neto [1]. En 2025 bajó por más circulante (clientes +59 M CHF) y por más arrendamientos pagados (69,9 M CHF) [1]. En el LTM a junio de 2026 se recupera hasta 334 M CHF (estimación propia sobre los estados intermedios) [7]. El capex es ligero (2,6 % de las ventas en 2025) y la empresa no separa mantenimiento y crecimiento; estimación propia: con unas amortizaciones de inmovilizado propio de ~1,5 % de las ventas, casi todo el capex es de crecimiento (tiendas, almacenes, tecnología y la fábrica de LightSpray). Las altas de arrendamientos, que no pasan por caja, son tan grandes como el capex.</w:t>
      </w:r>
    </w:p>
    <w:p>
      <w:pPr>
        <w:pStyle w:val="Heading1"/>
      </w:pPr>
      <w:r>
        <w:t xml:space="preserve">9. Calidad contable</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PricewaterhouseCoopers AG (Zúrich)</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Años como 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13</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Opinión del último informe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Favorable (sin salvedades) en 2020-2025</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Ejercicio analizado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2025</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1147"/>
        <w:gridCol w:w="5738"/>
      </w:tblGrid>
      <w:tr>
        <w:trPr>
          <w:cantSplit/>
          <w:tblHeader/>
        </w:trPr>
        <w:tc>
          <w:tcPr>
            <w:tcW w:type="dxa" w:w="27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c>
          <w:tcPr>
            <w:tcW w:type="dxa" w:w="57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Lectura</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Altman Z</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6,65</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Zona segura (&gt; 2,99 seguro; &lt; 1,81 riesgo). No aplica a bancos ni aseguradoras, y subestima la solvencia de empresas con grandes anticipos de clientes o prefinanciación pública (contratistas, construcción), que inflan el pasivo.</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Piotroski F</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 / 9</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Fortaleza financiera alta (7-9).</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Beneish M</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-2,44</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−1,78: sin señal de manipulación.</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Flujo operativo / beneficio neto (acumulado)</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2,28x</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 beneficio se cobra.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0"/>
        <w:gridCol w:w="1928"/>
      </w:tblGrid>
      <w:tr>
        <w:trPr>
          <w:cantSplit/>
          <w:tblHeader/>
        </w:trPr>
        <w:tc>
          <w:tcPr>
            <w:tcW w:type="dxa" w:w="77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Criterio Piotroski</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Cumple</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Beneficio neto positivo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Flujo operativo positivo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ROA mejora</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Flujo operativo &gt; beneficio neto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Baja el endeudamiento (deuda / activo)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Mejora la liquidez corriente</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No emite acciones</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Mejora el margen bruto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Mejora la rotación del activo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Sí</w:t>
            </w:r>
          </w:p>
        </w:tc>
      </w:tr>
    </w:tbl>
    <w:p>
      <w:pPr>
        <w:spacing w:after="160" w:before="0"/>
      </w:pPr>
    </w:p>
    <w:p>
      <w:pPr>
        <w:pStyle w:val="Heading2"/>
      </w:pPr>
      <w:r>
        <w:t xml:space="preserve">Ajustes, criterios contables y remuneración en acciones</w:t>
      </w:r>
    </w:p>
    <w:p>
      <w:pPr>
        <w:spacing w:after="100"/>
      </w:pPr>
      <w:r>
        <w:t xml:space="preserve">PwC firma sin salvedades todos los ejercicios desde 2020, pero hubo una debilidad material de control interno (segregación de funciones en el ERP) detectada en 2020, con opinión desfavorable sobre el control a 31-dic-2022 y remediada en 2023 [1, 4]. Tres asuntos piden lectura atenta. La remuneración en acciones, 2,1 % de las ventas y el 30,7 % del beneficio neto de 2025, que las métricas ajustadas eliminan [1]. El tipo impositivo, anómalo y no proyectable: −15,2 % en 2023 y 0,7 % en 2025, por el impuesto diferido de los márgenes intragrupo en existencias y por incentivos fiscales; el normalizado está más cerca del 17-19 % (13,9 % en el 1S26) [1, 7]. Y las diferencias de cambio, que en 2025 restaron 173,2 M CHF al beneficio [1]. Los indicadores del motor son tranquilizadores: Altman Z de 6,65 (zona segura), Piotroski F de 7 sobre 9 y Beneish M de −2,44, por debajo del umbral de −1,78. La devolución de aranceles del 3T26 inflará el margen bruto de ese trimestre [21].</w:t>
      </w:r>
    </w:p>
    <w:p>
      <w:pPr>
        <w:pStyle w:val="Heading2"/>
      </w:pPr>
      <w:r>
        <w:t xml:space="preserve">Señales de alerta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71"/>
        <w:gridCol w:w="976"/>
        <w:gridCol w:w="5491"/>
      </w:tblGrid>
      <w:tr>
        <w:trPr>
          <w:cantSplit/>
          <w:tblHeader/>
        </w:trPr>
        <w:tc>
          <w:tcPr>
            <w:tcW w:type="dxa" w:w="3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Señal</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Nivel</w:t>
            </w:r>
          </w:p>
        </w:tc>
        <w:tc>
          <w:tcPr>
            <w:tcW w:type="dxa" w:w="549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Explicación</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Debilidad material de control interno 2020-2022</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Identificada al preparar las cuentas de 2020: segregación de funciones en el ERP antiguo (asientos sin revisión obligatoria) y conciliaciones sin revisión formal [5]. PwC emitió opinión desfavorable sobre el control interno a 31-dic-2022 [4]. Remediada a 31-dic-2023 [3]; no hubo ajustes materiales en las cuentas [5].</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Diferencias de cambio enormes en el resultado financiero</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−173,2 M en 2025 (116,0 M no realizadas), +67,7 M en 2024, −111,4 M en 2023 y −139,9 M solo en 2T25, sobre todo por la revaluación de saldos monetarios en USD (caja e intragrupo) por el cruce CHF/USD [1, 7]. Hacen que el beneficio neto (−15,9 % en 2025) se mueva al revés que el EBIT (+78 %). Desde el 1-ene-2026 On Holding AG y On AG pasan a moneda funcional USD (presentación sigue en CHF), lo que reduce este efecto: +2,9 M en 1S26 [1, 7].</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Tipo impositivo efectivo anormalmente bajo y volátil</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0,7 % en 2025, 13,4 % en 2024 y −15,1 % en 2023, frente a un tipo esperado del 19,6 %; en 2025 por impuesto diferido de la eliminación de márgenes intragrupo en existencias (127,2 M de activo diferido neto por existencias), incentivos fiscales (−35,2 M) y partidas de años anteriores (−11,9 M) [1]. Activos por impuesto diferido: 175,9 M (dic-25) y 187,8 M (jun-26) [1, 7]. 1S26: 13,9 % [7].</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Métricas ajustadas excluyen la remuneración en acciones</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Remuneración en acciones en SG&amp;A: 62,6 M en 2025 (2,1 % de ventas; 30,7 % del beneficio neto, cálculo), 71,5 M en 2024 (3,1 %; 29,5 %), 198,5 M en 2021 (27,4 % de ventas, por la OPV) [1, 5]. El EBITDA ajustado y el BPA ajustado la excluyen y son base de la retribución variable [1].</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Margen bruto del 3T25 con un extraordinario de ~2 puntos</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65,7 % del 3T25 incluye un efecto favorable puntual de aproximadamente el 2 % por fletes y otros costes inferiores a lo previsto [13].</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Devoluciones de aranceles IEEPA inflarán el margen bruto del 3T26</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Aranceles IEEPA pagados: 55,6 M (52,7 M en trámite de devolución), no reconocidos a 30-jun-2026 [7]. A 11-ago-2026 se habían cobrado unos 27,9 M, que se reconocerán en el 3T26 como menor coste de ventas [7, 8]; el Investor Day estima hasta 65 M USD (hasta 53 M CHF) en el 3T26, que beneficiarán el beneficio bruto reportado; la guía de 2026 los excluye [21].</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Concentración de clientes</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mayor cliente fue el 11,0 % de las ventas de 2025 y el 11,6 % en 1S26 (ninguno superaba el 10 % antes de 2025); dos clientes superaban cada uno el 10 % de los saldos de clientes a dic-25 [1, 7].</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Cambios de criterio y de presentación</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2023: nueva desagregación geográfica (EMEA, Americas, APAC; 'Rest of World' repartido), sin efecto en totales [3]. 2024: pasivos por arrendamiento en línea propia del balance [2]. Mar-2025: cambio del calendario de devengo de RSU y PSU del LTIP 2021 [1]. 2026: moneda funcional USD para la matriz y la principal sociedad operativa [1]. 2027: NIIF 18 llevará parte de las diferencias de cambio al resultado operativo y los intereses cobrados a inversión [1, 7].</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Pignoración de activos circulantes</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Clientes y existencias pignorados a favor de la línea de crédito (655,1 M a jun-26) aunque la línea no está dispuesta: se usa para avales [7].</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Arrendamientos como asunto clave de auditoría</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Baja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PwC señala como asunto clave el plazo de los arrendamientos con opciones de prórroga (derechos de uso 494,1 M; pasivos 521,5 M a dic-25) [1].</w:t>
            </w:r>
          </w:p>
        </w:tc>
      </w:tr>
    </w:tbl>
    <w:p>
      <w:pPr>
        <w:spacing w:after="160" w:before="0"/>
      </w:pPr>
    </w:p>
    <w:p>
      <w:pPr>
        <w:pStyle w:val="Heading1"/>
      </w:pPr>
      <w:r>
        <w:t xml:space="preserve">10. Rentabilidad sobre el capital</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126"/>
        <w:gridCol w:w="1126"/>
        <w:gridCol w:w="1251"/>
        <w:gridCol w:w="1251"/>
        <w:gridCol w:w="1251"/>
        <w:gridCol w:w="138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ROE</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ROA</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 neto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Rotación del activo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Apalancamiento</w:t>
            </w:r>
          </w:p>
        </w:tc>
        <w:tc>
          <w:tcPr>
            <w:tcW w:type="dxa" w:w="1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Capital invertido</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1,11x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178</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-38,2 %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-31,1 %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-23,5 %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0,90x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1,48x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277</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11,1 %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0,93x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568</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23,0 %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1,46x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784</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22,6 %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19,6 %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12,2 %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1,17x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1,61x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812</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38,4 %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13,5 %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7,8 %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6,8 %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1,16x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1,72x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975</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4" name="Gráfico 14" descr="ROIC y ROE frente al coste del capital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4"/>
              </a:graphicData>
            </a:graphic>
          </wp:inline>
        </w:drawing>
      </w:r>
    </w:p>
    <w:p>
      <w:pPr>
        <w:spacing w:after="100"/>
      </w:pPr>
      <w:r>
        <w:rPr>
          <w:b/>
          <w:bCs/>
        </w:rPr>
        <w:t xml:space="preserve">ROIC incremental</w:t>
      </w:r>
      <w:r>
        <w:t xml:space="preserve"> (variación del NOPAT sobre variación del capital invertido en el periodo): 48,6 % · </w:t>
      </w:r>
      <w:r>
        <w:rPr>
          <w:b/>
          <w:bCs/>
        </w:rPr>
        <w:t xml:space="preserve">WACC</w:t>
      </w:r>
      <w:r>
        <w:t xml:space="preserve">: 10,0 %.</w:t>
      </w:r>
    </w:p>
    <w:p>
      <w:pPr>
        <w:spacing w:after="100"/>
      </w:pPr>
      <w:r>
        <w:t xml:space="preserve">On crea valor desde 2023: el ROIC (beneficio operativo después de impuestos sobre capital invertido medio, con los arrendamientos en el capital) fue del 23,0 % en 2023, del 22,6 % en 2024 y del 38,4 % en 2025, frente a un WACC del 10,01 %. El salto de 2025 es en parte fiscal: con un tipo del 0,7 % el NOPAT casi iguala al EBIT; con un tipo normal del 18 % el ROIC rondaría el 32 % (estimación propia). Lo mueve el margen, no la rotación: la rotación del activo es estable (1,16-1,20 veces en 2023-2025) y el margen EBIT pasó del 7,0 % de 2022 al 12,5 % de 2025. El ROIC incremental de 2020-2025 es del 48,6 %: el crecimiento ha sido rentable. El ROE (13,5 % en 2025) es menor porque el patrimonio incluye 1.020 M CHF de caja y porque las diferencias de cambio redujeron el beneficio. Frente a los competidores, el ROIC de On queda por encima del de adidas (14,8 %), Nike (18,9 %) y Amer (9,5 %) y por debajo del de Deckers (90,6 %) y Asics (41,8 %) [72].</w:t>
      </w:r>
    </w:p>
    <w:p>
      <w:pPr>
        <w:pStyle w:val="Heading1"/>
      </w:pPr>
      <w:r>
        <w:t xml:space="preserve">11. Deuda y solvencia</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 30 jun 2026</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-643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Pasivos asimilables a deuda (pensiones y otros)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-635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ajustada / 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Liquidez disponible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A 30-jun-2026: caja y equivalentes 1.205,6 M (de ellos 799,8 M en depósitos a plazo de hasta tres meses) sin deuda financiera, más la línea sindicada multidivisa de 700 M sin disponer (con 163,2 M usados para avales y cartas de crédito) y una opción de ampliación (acordeón) de hasta 200 M; vence el 7-jul-2028 [7].</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Rating</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Sin rating: ningún documento de la empresa (20-F 2021-2025, 6-K) menciona una calificación crediticia; On no tiene bonos emitidos [1].</w:t>
            </w:r>
          </w:p>
        </w:tc>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r>
      <w:tr>
        <w:trPr>
          <w:cantSplit/>
        </w:trPr>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15" name="Gráfico 15" descr="Deuda neta / EBITDA al cierre de cada ejercicio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5"/>
              </a:graphicData>
            </a:graphic>
          </wp:inline>
        </w:drawing>
      </w:r>
    </w:p>
    <w:p>
      <w:pPr>
        <w:pStyle w:val="Heading2"/>
      </w:pPr>
      <w:r>
        <w:t xml:space="preserve">Covenants, pasivos fuera de la deuda y contingencias</w:t>
      </w:r>
    </w:p>
    <w:p>
      <w:pPr>
        <w:spacing w:after="100"/>
      </w:pPr>
      <w:r>
        <w:t xml:space="preserve">Línea de crédito de 700 M (firmada el 7-jul-2023, ampliada dos años hasta el 7-jul-2028), sin disponer a 31-dic-2025 ni a 30-jun-2026; margen de 1,40 % a 2,30 % sobre el tipo de referencia según el apalancamiento (+0,10 % en USD) [23]. Covenants: patrimonio consolidado de al menos 800 M y ratio deuda neta senior / EBITDA ajustado por derechos de uso no superior a 3,50x [24]; cumplidos en 2024, 2025 y 1S26 [1, 7]. Activos pignorados por la línea: clientes 312,8 M y existencias 342,2 M (655,1 M a 30-jun-2026) [7]. Avales y cartas de crédito a favor de terceros: 163,2 M (jun-26), sobre todo para los almacenes automatizados de Atlanta (105,5 M a dic-25) y Beringen (27,9 M) [1, 7]. Compromisos de arrendamiento firmados y no iniciados: 230,3 M (jun-26), sobre todo el almacén de Beringen (104,3 M) [7]. Pensiones (plan suizo de prestación definida): obligación neta 5,5 M (dic-25) [1]. Provisiones 39,6 M (jun-26): cargas sociales de planes en acciones 8,7, premios de antigüedad 13,8, otras (desmantelamiento y litigios) 17,0 [7]. Responsabilidad solidaria por el grupo de IVA suizo y por el cash pooling (322,8 M de saldos compensados) [7]. Aranceles IEEPA pagados en EE. UU.: 55,6 M, de los que 52,7 M están en trámite de devolución; no reconocidos a 30-jun [7].</w:t>
      </w:r>
    </w:p>
    <w:p>
      <w:pPr>
        <w:pStyle w:val="Heading1"/>
      </w:pPr>
      <w:r>
        <w:t xml:space="preserve">12. Asignación de capital</w:t>
      </w:r>
    </w:p>
    <w:p>
      <w:pPr>
        <w:pStyle w:val="Confianza"/>
        <w:spacing w:after="100"/>
      </w:pPr>
      <w:r>
        <w:t xml:space="preserve">Confianza: Alta</w:t>
      </w:r>
    </w:p>
    <w:p>
      <w:pPr>
        <w:spacing w:after="100"/>
      </w:pPr>
      <w:r>
        <w:t xml:space="preserve">On nunca ha declarado ni pagado dividendos y no prevé hacerlo en el futuro previsible: retiene los fondos para crecer [1]. En septiembre de 2026 el consejo autorizó la primera recompra de acciones: hasta 1.000 M USD de acciones de Clase A hasta el 31-dic-2029 [21]. Capital autorizado (capital band) hasta el 25-may-2028: emitir o amortizar hasta 25.000.000 acciones A, y emitir hasta 9.487.500 acciones B [27]. Capital condicional: hasta 10.042.461 acciones A para consejeros, consultores y socios de servicio [37]. No ha habido recompras con salida de caja hasta jun-26 [1, 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251"/>
        <w:gridCol w:w="1251"/>
        <w:gridCol w:w="1251"/>
        <w:gridCol w:w="1251"/>
        <w:gridCol w:w="1251"/>
        <w:gridCol w:w="113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Adquisiciones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Dividendos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Recompras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Ampliaciones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Retorno / B. neto</w:t>
            </w:r>
          </w:p>
        </w:tc>
        <w:tc>
          <w:tcPr>
            <w:tcW w:type="dxa" w:w="11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Acciones (M)</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265,7</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288,3</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319,8</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153</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323,3</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379</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328,1</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189</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333,9</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6" name="Gráfico 16" descr="Usos de la caja (CHF,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6"/>
              </a:graphicData>
            </a:graphic>
          </wp:inline>
        </w:drawing>
      </w:r>
    </w:p>
    <w:p>
      <w:pPr>
        <w:pStyle w:val="Heading2"/>
      </w:pPr>
      <w:r>
        <w:t xml:space="preserve">Historial de adquisiciones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64"/>
        <w:gridCol w:w="2141"/>
        <w:gridCol w:w="951"/>
        <w:gridCol w:w="1308"/>
        <w:gridCol w:w="3574"/>
      </w:tblGrid>
      <w:tr>
        <w:trPr>
          <w:cantSplit/>
          <w:tblHeader/>
        </w:trPr>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21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Objetivo</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w:t>
            </w:r>
          </w:p>
        </w:tc>
        <w:tc>
          <w:tcPr>
            <w:tcW w:type="dxa" w:w="13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Financiación</w:t>
            </w:r>
          </w:p>
        </w:tc>
        <w:tc>
          <w:tcPr>
            <w:tcW w:type="dxa" w:w="357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Resultado</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2019</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Brunner Mettler GmbH (Zúrich), 100 %</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Caja</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Única combinación de negocios de la historia de On. Pago neto de caja adquirida de 0,3 M en 2019 más 0,2 M de pagos contingentes (2020-2021); generó 1,8 M de fondo de comercio, sin deterioro en ningún año [1, 5]. La empresa no detalla su actividad ni su contribución.</w:t>
            </w:r>
          </w:p>
        </w:tc>
      </w:tr>
    </w:tbl>
    <w:p>
      <w:pPr>
        <w:spacing w:after="160" w:before="0"/>
      </w:pPr>
    </w:p>
    <w:p>
      <w:pPr>
        <w:spacing w:after="100"/>
      </w:pPr>
      <w:r>
        <w:t xml:space="preserve">La dirección ha asignado el capital casi entero al crecimiento orgánico: ni dividendos, ni recompras, ni compras relevantes en 2020-2025, y 319 M CHF de flujo libre acumulado que se han quedado en caja [1]. El resultado es bueno: ROIC incremental del 48,6 % y crecimiento de las ventas por siete en cinco años. El coste ha sido la dilución, entre el 0,7 % y el 2,2 % anual por los planes de acciones [1, 7]. La recompra de hasta 1.000 M USD hasta 2029 (unos 830 M CHF, el 9 % de la capitalización) cambia la política. Es razonable con 1.205,6 M CHF de caja y un flujo libre esperado de más de 400 M CHF al año [7, 69]. Pero llega cuando la acción ha caído un 31,4 % en el año y parece servir también para absorber la dilución de los planes y las ventas de los exdirectivos [63, 68].</w:t>
      </w:r>
    </w:p>
    <w:p>
      <w:r>
        <w:br w:type="page"/>
      </w:r>
    </w:p>
    <w:p>
      <w:pPr>
        <w:pStyle w:val="Parte"/>
      </w:pPr>
      <w:r>
        <w:t xml:space="preserve">Parte III — Equipo y gobierno</w:t>
      </w:r>
    </w:p>
    <w:p>
      <w:pPr>
        <w:pStyle w:val="Heading1"/>
      </w:pPr>
      <w:r>
        <w:t xml:space="preserve">13. Equipo directivo</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3"/>
        <w:gridCol w:w="1527"/>
        <w:gridCol w:w="705"/>
        <w:gridCol w:w="940"/>
        <w:gridCol w:w="4703"/>
      </w:tblGrid>
      <w:tr>
        <w:trPr>
          <w:cantSplit/>
          <w:tblHeader/>
        </w:trPr>
        <w:tc>
          <w:tcPr>
            <w:tcW w:type="dxa" w:w="17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Nombre</w:t>
            </w:r>
          </w:p>
        </w:tc>
        <w:tc>
          <w:tcPr>
            <w:tcW w:type="dxa" w:w="15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Cargo</w:t>
            </w:r>
          </w:p>
        </w:tc>
        <w:tc>
          <w:tcPr>
            <w:tcW w:type="dxa" w:w="7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Desde</w:t>
            </w:r>
          </w:p>
        </w:tc>
        <w:tc>
          <w:tcPr>
            <w:tcW w:type="dxa" w:w="9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capital</w:t>
            </w:r>
          </w:p>
        </w:tc>
        <w:tc>
          <w:tcPr>
            <w:tcW w:type="dxa" w:w="47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Trayectoria y resultados</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David Allemann</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Cofundador, copresidente ejecutivo del consejo y co-CEO (co-CEO desde el 1-may-2026)</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2010</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3,90 %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Cofundador en 2010; montó la producción y la cadena de suministro en Asia y la identidad de marca, y es copresidente ejecutivo desde abril de 2021 [1]. Antes, director de marketing de Vitra (2006-2010), director general de Young &amp; Rubicam Suiza y consultor de McKinsey [1]. Con los fundadores al frente, las ventas pasaron de CHF 724,6 M en 2021 a CHF 3.014,0 M en 2025 y el margen de EBITDA ajustado del 13,3 % al 18,8 % [11, 29]. Participación a 31-dic-2025: 3,9 % económico y 16,5 % del voto (2.538.011 acciones A y 103.162.500 B) [1].</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Caspar Coppetti</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Cofundador, copresidente ejecutivo del consejo y co-CEO (co-CEO desde el 1-may-2026)</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2010</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3,90 %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Cofundador; presidente y director global de ventas desde 2010 y copresidente ejecutivo desde abril de 2021; construyó la red comercial y de distribución y ha dirigido la industrialización de LightSpray [1]. Antes, socio director y director de estrategia de Young &amp; Rubicam (2004-2010) y consultor de McKinsey [1]. Participación a 31-dic-2025: 3,9 % económico y 17,5 % del voto (2.072.758 acciones A y 109.370.840 B) [1].</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Olivier Bernhard</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Cofundador y consejero ejecutivo (producto de rendimiento y atletas)</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2010</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5,00 %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Ex triatleta profesional (tres títulos mundiales), autor del concepto CloudTec; consejero ejecutivo desde la fundación en 2010 y responsable de prototipos y del programa de atletas [1, 26]. Es el mayor accionista individual: 5,0 % económico y 18,9 % del voto a 31-dic-2025 (4.860.086 acciones A y 115.620.840 B) [1].</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Frank Sluis</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Director financiero (CFO)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2026</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Fichaje externo; CFO desde el 1-may-2026, cuando Martin Hoffmann dejó la doble función de CEO y CFO [26]. Viene de ser CFO de Europa e Indonesia en Ahold Delhaize, con puestos financieros anteriores en Reckitt Benckiser y Unilever [54]. Todavía no tiene resultados medibles en On; presentó los objetivos a 2029 en el Investor Day del 22-sep-2026 [21].</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Scott Maguire</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Presidente y director de operaciones (COO)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2025</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Llegó el 31-mar-2025 como director de innovación desde Specialized, donde era CEO, y antes fue COO del grupo Dyson [53]. Ascendió a presidente y COO el 1-may-2026, con toda la cadena de valor a su cargo (I+D, fabricación, marketing, operaciones comerciales y tecnología) [26]. Según la empresa, dirigió el escalado de LightSpray [26].</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Martin Hoffmann</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Ex CEO y CFO (CFO 2013-2026, co-CEO 2021-2025, CEO único 2025-abr-2026); asesor hasta mar-2027</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2013</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1,00 %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 CFO desde 2013 y llevó la salida a bolsa de 2021 [1]. Fue CEO y CFO a la vez desde abril/julio de 2025 hasta su salida el 1-may-2026 [1, 26]. En su etapa las guías anuales de 2022-2025 se cumplieron todas y se superaron. Al salir convirtió sus 16.250.000 acciones B en 1.625.000 A, aprobadas en la junta de 2026, con una obligación de venta ordenada [48, 49]. Ha vendido unos CHF 17,3 M en 12 meses [39, 63, 64, 65].</w:t>
            </w:r>
          </w:p>
        </w:tc>
      </w:tr>
    </w:tbl>
    <w:p>
      <w:pPr>
        <w:spacing w:after="160" w:before="0"/>
      </w:pPr>
    </w:p>
    <w:p>
      <w:pPr>
        <w:pStyle w:val="Heading2"/>
      </w:pPr>
      <w:r>
        <w:t xml:space="preserve">¿Cumple lo que promete?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3796"/>
        <w:gridCol w:w="3796"/>
        <w:gridCol w:w="1170"/>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Lo que prometió</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Lo que logró</w:t>
            </w:r>
          </w:p>
        </w:tc>
        <w:tc>
          <w:tcPr>
            <w:tcW w:type="dxa" w:w="117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Cumplió</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2022</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Inicial (nov-2021): ventas de al menos CHF 960 M y EBITDA ajustado de CHF 125 M [28]. Revisada al alza cuatro veces: ≥ CHF 990 M y margen del 13,1 % (mar-2022), ≥ CHF 1.040 M y 13,2 % (may), ≥ CHF 1.100 M (ago) y CHF 1.125 M con EBITDA ajustado de CHF 148 M y margen del 13,2 % (nov) [29, 30, 31, 32].</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Ventas de CHF 1.222,1 M (+68,7 %), margen bruto del 56,0 % y margen de EBITDA ajustado del 13,5 % [33].</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2023</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Inicial (mar-2023): ventas ≥ CHF 1.700 M, margen bruto de ~58,5 % y margen de EBITDA ajustado del 15,0 % [33]. Revisada a ≥ CHF 1.740 M (may), ≥ CHF 1.760 M (ago) y CHF 1.790 M con margen bruto ≥ 59,0 % (nov) [34, 35, 36].</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Ventas de CHF 1.792,1 M (+46,6 %; más del 55 % a tipo constante), margen bruto del 59,6 % y margen de EBITDA ajustado del 15,5 % [20].</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2024</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Inicial (mar-2024): crecimiento a tipo constante ≥ 30 % (≥ CHF 2.250 M), margen bruto de ~60 % y margen de EBITDA ajustado del 16,0-16,5 % [20]. Se mantuvo en may y ago [18, 19]. En nov subió a ≥ 32 % a tipo constante (≥ CHF 2.290 M), margen bruto de ~60,5 % y EBITDA en la parte alta del rango [17].</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Ventas de CHF 2.318,3 M (+29,4 %; +33,2 % a tipo constante), margen bruto del 60,6 % y margen de EBITDA ajustado del 16,7 % [16].</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2025</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Inicial (mar-2025): crecimiento a tipo constante ≥ 27 % (≥ CHF 2.940 M), margen bruto de ~60,5 % y margen de EBITDA ajustado del 17,0-17,5 % [16]. En may, por los aranceles, subió las ventas a ≥ 28 % pero bajó los márgenes a 60,0-60,5 % y 16,5-17,5 % [15]. En ago subió a ≥ 31 %, 60,5-61,0 % y 17,0-17,5 % [14], y en nov a 34 % (CHF 2.980 M), ~62,5 % y más del 18,0 % [12].</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Ventas de CHF 3.014,0 M (+30,0 %; +35,6 % a tipo constante), margen bruto del 62,8 % y margen de EBITDA ajustado del 18,8 % [11].</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2026 (en curso)</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Inicial (mar-2026): crecimiento a tipo constante ≥ 23 % (≥ CHF 3.440 M), margen bruto ≥ 63,0 % y margen de EBITDA ajustado del 18,5-19,0 % [11]. En may mantuvo las ventas (≥ CHF 3.510 M) y subió los márgenes a ≥ 64,5 % y 19,5-20,0 % [9]. En ago rebajó las ventas a un crecimiento «low-20%» a tipo constante (CHF 3.470-3.560 M) al frenar las entregas a mayoristas, con margen bruto ≥ 65,0 % [6]. Lo reiteró el 22-sep, con una previsión de ~17 % a tipo constante para el 3T [21].</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Primer semestre: ventas de CHF 1.682,2 M (+14,0 %; +24,0 % a tipo constante), margen bruto del 64,8 % y margen de EBITDA ajustado del 20,3 % [6]. Es la primera rebaja de la guía de ventas desde la salida a bolsa; la de márgenes se ha subido.</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Parcial</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2026 (objetivos del Investor Day 2023)</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Duplicar las ventas de 2023 hasta al menos CHF 3.550 M (TCAC de más del 26 %), margen bruto superior al 60 % y margen de EBITDA ajustado del 18 % o más en 2026 [22].</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Guía vigente para 2026: ventas de CHF 3.470-3.560 M a tipos de contado, margen bruto ≥ 65,0 % y margen de EBITDA ajustado del 19,5-20,0 % [6, 21]. Los márgenes superan con holgura los objetivos. Las ventas en CHF quedan en torno al objetivo, por debajo en el extremo bajo del rango, por la fuerza del franco; a tipo constante el crecimiento supera el plan. La empresa dice que superará «significativamente» los objetivos de 2023 [21].</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Parcial</w:t>
            </w:r>
          </w:p>
        </w:tc>
      </w:tr>
    </w:tbl>
    <w:p>
      <w:pPr>
        <w:spacing w:after="160" w:before="0"/>
      </w:pPr>
    </w:p>
    <w:p>
      <w:pPr>
        <w:spacing w:after="100"/>
      </w:pPr>
      <w:r>
        <w:t xml:space="preserve">Credibilidad alta en cifras: las guías anuales de 2022 a 2025 se revisaron al alza casi cada trimestre y se superaron en ventas y márgenes [11, 12, 14, 15, 16, 17, 18, 19, 20, 22, 28, 29, 30, 31, 32, 33, 34, 35, 36]. La primera rebaja de ventas llega en agosto de 2026 y coincide con el cambio de cúpula [6]. La estabilidad es baja. En trece meses salieron los dos co-CEO no fundadores: Marc Maurer (anunciado en abr-2025) y Martin Hoffmann, que fue CEO y CFO a la vez casi un año y se fue en may-2026 [26, 53]. Ahora los copresidentes Allemann y Coppetti son también co-CEO, con un CFO externo recién llegado (Frank Sluis) y un presidente y COO con año y medio en la casa [26]. No se ha publicado ningún plan de sucesión. El poder ejecutivo, el voto y la presidencia quedan concentrados en los tres fundadores [1, 26].</w:t>
      </w:r>
    </w:p>
    <w:p>
      <w:pPr>
        <w:pStyle w:val="Heading1"/>
      </w:pPr>
      <w:r>
        <w:t xml:space="preserve">14. Gobierno corporativo</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Consejeros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Independientes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50 %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Antigüedad media en el consejo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7,4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Criterios de buen gobierno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 de 13</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Cambios de presidente o primer ejecutivo (24 meses)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17" name="Gráfico 17" descr="Composición del consejo (número de consejero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7"/>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3"/>
        <w:gridCol w:w="1900"/>
        <w:gridCol w:w="1493"/>
        <w:gridCol w:w="814"/>
        <w:gridCol w:w="2988"/>
      </w:tblGrid>
      <w:tr>
        <w:trPr>
          <w:cantSplit/>
          <w:tblHeader/>
        </w:trPr>
        <w:tc>
          <w:tcPr>
            <w:tcW w:type="dxa" w:w="244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Consejero</w:t>
            </w:r>
          </w:p>
        </w:tc>
        <w:tc>
          <w:tcPr>
            <w:tcW w:type="dxa" w:w="190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Cargo</w:t>
            </w:r>
          </w:p>
        </w:tc>
        <w:tc>
          <w:tcPr>
            <w:tcW w:type="dxa" w:w="14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81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Desde</w:t>
            </w:r>
          </w:p>
        </w:tc>
        <w:tc>
          <w:tcPr>
            <w:tcW w:type="dxa" w:w="29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Comisiones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David Allemann</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Copresidente ejecutivo y co-CEO</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Ejecutivo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2021</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Ninguna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Caspar Coppetti</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Copresidente ejecutivo y co-CEO</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Ejecutivo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2010</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Ninguna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Olivier Bernhard</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Consejero ejecutivo (cofundador)</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Ejecutivo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2010</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Ninguna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Alex Pérez</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Consejero y representante de los accionistas de clase A; la empresa lo declara independiente</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Dominical</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2016</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Preside la de Nombramientos y Remuneración; vocal de Auditoría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Amy Banse</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2021</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Nombramientos y Remuneración</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Dennis Durkin</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Consejero</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2022</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Preside la de Auditoría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Laura Miele</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 independiente coordinadora (desde el 21-sep-2026)</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2024</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Auditoría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Helena Helmersson</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Consejera</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2025</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Nombramientos y Remuneración</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36"/>
        <w:gridCol w:w="1984"/>
        <w:gridCol w:w="1418"/>
      </w:tblGrid>
      <w:tr>
        <w:trPr>
          <w:cantSplit/>
          <w:tblHeader/>
        </w:trPr>
        <w:tc>
          <w:tcPr>
            <w:tcW w:type="dxa" w:w="62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Criterio</w:t>
            </w:r>
          </w:p>
        </w:tc>
        <w:tc>
          <w:tcPr>
            <w:tcW w:type="dxa" w:w="19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Dato</w:t>
            </w:r>
          </w:p>
        </w:tc>
        <w:tc>
          <w:tcPr>
            <w:tcW w:type="dxa" w:w="141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Resultado</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Consejeros independientes ≥ 50 % (≥ 33 % si hay accionista de control)</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50 % (con control)</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Presidencia sin vínculo familiar ni profesional con el accionista de control</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Vinculada</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Presidente no ejecutivo, o consejero coordinador independiente</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Coordinador</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Comisión de auditoría con mayoría de independientes y presidida por uno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Ningún consejero «otro externo» con más de 12 años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Ninguno</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Estabilidad de la cúpula: como mucho un cambio de presidente o primer ejecutivo en 24 meses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 cambios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Peor voto en contra sobre remuneración (3 juntas) ≤ 20 %</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12,9 % en contra</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Variable a largo plazo ligado a rentabilidad (ROIC, TSR, FCF)</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Una acción, un voto, sin blindajes ni límites de voto estatutarios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Sin operaciones vinculadas relevantes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hay</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Auditor con 10 años o menos en el cargo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13 años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Opinión de auditoría sin salvedades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Favorable (sin salvedades) en 2020-2025</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Directivos compradores netos en 12 meses (o sin ventas relevantes)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Compras 0,00 / ventas 65,99 M</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No cumple</w:t>
            </w:r>
          </w:p>
        </w:tc>
      </w:tr>
    </w:tbl>
    <w:p>
      <w:pPr>
        <w:spacing w:after="160" w:before="0"/>
      </w:pPr>
    </w:p>
    <w:p>
      <w:pPr>
        <w:pStyle w:val="Heading2"/>
      </w:pPr>
      <w:r>
        <w:t xml:space="preserve">Accionariado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41"/>
        <w:gridCol w:w="1156"/>
        <w:gridCol w:w="1799"/>
        <w:gridCol w:w="3342"/>
      </w:tblGrid>
      <w:tr>
        <w:trPr>
          <w:cantSplit/>
          <w:tblHeader/>
        </w:trPr>
        <w:tc>
          <w:tcPr>
            <w:tcW w:type="dxa" w:w="33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Accionista</w:t>
            </w:r>
          </w:p>
        </w:tc>
        <w:tc>
          <w:tcPr>
            <w:tcW w:type="dxa" w:w="11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capital</w:t>
            </w:r>
          </w:p>
        </w:tc>
        <w:tc>
          <w:tcPr>
            <w:tcW w:type="dxa" w:w="17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3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Movimientos recientes</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Olivier Bernhard (cofundador)</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Fundador, pacto de accionistas; 18,9 % del voto (acciones A y B)</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Acciones B: de 113,7 M (2024) a 115,6 M (2025), por compras dentro del pacto y opciones; acciones A: de 5,45 M a 4,86 M y 5,16 M en jun-2026 [47, 55]</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Caspar Coppetti (cofundador)</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Fundador, pacto de accionistas; 17,5 % del voto</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Acciones B: de 107,5 M a 109,4 M; acciones A: de 3,12 M a 2,07 M (dic-2025) y 2,38 M (jun-2026) [47, 55]</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David Allemann (cofundador)</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Fundador, pacto de accionistas; 16,5 % del voto</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Acciones B: de 101,2 M a 103,2 M (incluye 3,16 M en opciones B); acciones A: de 3,70 M a 2,54 M y 2,84 M en jun-2026 [47, 55]</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Los tres fundadores en conjunto (pacto)</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Grupo de control; ~57 % del voto a dic-2025 con Hoffmann y ~54 % tras su salida (estimación propia)</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13,8 % (jun-2025) → 12,9 % (jun-2026), según el 13G/A; salieron del pacto Maurer (2025) y Hoffmann (2026) [55, 56]</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Carlos Alberto Sicupira (CHL Investment Fund)</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Inversor privado (3G); 6,7 % de las acciones A y 3,1 % del voto</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Sin cambios relevantes desde el 13G/A de oct-2024 [1, 62]</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Morgan Stanley (MSIM)</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Institucional; 6,5 % de las acciones A y 3,0 % del voto</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Último 13G a 31-dic-2025 [60]</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Marc Lemann (MAAI Ltd.)</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Inversor privado; 6,1 % de las acciones A y 2,8 % del voto</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Sin actualizar desde el 13G de dic-2021 [1]</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Baron Capital</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Institucional; 5,65 % de las acciones A</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Nueva posición declarada por encima del 5 % a 30-jun-2026 [57]</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FMR (Fidelity)</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Institucional; 5,4 % de las acciones A</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Bajando: 10,0 % de las acciones A (jun-2025), 8,1 % (mar-2026) y 5,4 % (jun-2026) [58, 59]</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Alex Pérez (consejero)</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Consejero; 9,77 M acciones A y 1,5 % del voto</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 10,01 M (dic-2024) a 9,77 M (dic-2025) [47]</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Martin Hoffmann (ex CEO y CFO)</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Ex directivo; 3,24 M acciones A tras convertir sus acciones B</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Convirtió 16,25 M acciones B en 1,625 M A (may-2026) y vende de forma continuada [49, 56, 63]</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AllianceBernstein</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Institucional (% de las acciones A)</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Bajó del 5,9 % (sep-2024) al 3,3 % (sep-2025) [61]</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Autocartera</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9.973.771 acciones A a 31-dic-2025</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Bajó desde 13,16 M (dic-2024) por entregas a planes; recompra de hasta USD 1.000 M aprobada en sep-2026 hasta 2029 [1, 21]</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18" name="Gráfico 18" descr="Accionistas significativos (% del capital)"/>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8"/>
              </a:graphicData>
            </a:graphic>
          </wp:inline>
        </w:drawing>
      </w:r>
    </w:p>
    <w:p>
      <w:pPr>
        <w:pStyle w:val="Heading2"/>
      </w:pPr>
      <w:r>
        <w:t xml:space="preserve">Compras y ventas de consejeros y directivos (12 meses)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1"/>
        <w:gridCol w:w="3381"/>
        <w:gridCol w:w="1521"/>
        <w:gridCol w:w="1690"/>
        <w:gridCol w:w="1525"/>
      </w:tblGrid>
      <w:tr>
        <w:trPr>
          <w:cantSplit/>
          <w:tblHeader/>
        </w:trPr>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3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Persona</w:t>
            </w:r>
          </w:p>
        </w:tc>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Operación</w:t>
            </w:r>
          </w:p>
        </w:tc>
        <w:tc>
          <w:tcPr>
            <w:tcW w:type="dxa" w:w="16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Acciones</w:t>
            </w:r>
          </w:p>
        </w:tc>
        <w:tc>
          <w:tcPr>
            <w:tcW w:type="dxa" w:w="15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 (M)</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27 oct 2025</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Marc Maurer (ex co-CEO)</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Venta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25.000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0,84</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27 oct 2025</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Martin Hoffmann (CEO y CFO)</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Venta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16.600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0,56</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24 nov 2025</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Marc Maurer (ex co-CEO)</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Venta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275.000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9,18</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28 nov 2025</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Martin Hoffmann (CEO y CFO)</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Venta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66.600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2,23</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29 dic 2025</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Martin Hoffmann (CEO y CFO)</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Venta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60.750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2,31</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29 dic 2025</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Marc Maurer (ex co-CEO)</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Venta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112.500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4,14</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26 ene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Marc Maurer (ex co-CEO)</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Venta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50.000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1,88</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26 ene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Martin Hoffmann (CEO y CFO)</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Venta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16.600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0,62</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23 feb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Marc Maurer (ex co-CEO)</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Venta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43.750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1,55</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23 feb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Martin Hoffmann (CEO y CFO)</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Venta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16.600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0,59</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6 mar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David Allemann (aviso Form 144, venta para pagar impuestos de PSU; ejecución no verificada)</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Venta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14.062</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0,46</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6 mar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Caspar Coppetti (aviso Form 144, venta para pagar impuestos de PSU; ejecución no verificada)</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Venta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14.062</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0,46</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6 mar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Olivier Bernhard (aviso Form 144, venta para pagar impuestos de PSU; ejecución no verificada)</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Venta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14.061</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0,46</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30 mar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Marc Maurer (ex co-CEO)</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Venta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151.562</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5,07</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30 mar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Martin Hoffmann (CEO y CFO)</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Venta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34.811</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1,11</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8 abr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Marc Maurer (ex co-CEO)</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Venta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171.508</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4,67</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27 abr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Martin Hoffmann (CEO y CFO)</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Venta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16.600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0,46</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27 may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Martin Hoffmann (ex CEO y CFO desde el 1-may)</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Venta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266.600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8,07</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29 may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Marc Maurer (ex co-CEO)</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Venta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519.598</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15,54</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29 jun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Martin Hoffmann (ex CEO y CFO)</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Venta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20.750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0,62</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27 jul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Martin Hoffmann (ex CEO y CFO)</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Venta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16.600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0,50</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10 ago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Martin Hoffmann (ex CEO y CFO)</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Venta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8.300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0,26</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1 oct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Martin Hoffmann (ex CEO y CFO; aviso Form 144 de venta prevista)</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Venta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175.000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4,41</w:t>
            </w:r>
          </w:p>
        </w:tc>
      </w:tr>
    </w:tbl>
    <w:p>
      <w:pPr>
        <w:spacing w:after="160" w:before="0"/>
      </w:pPr>
    </w:p>
    <w:p>
      <w:pPr>
        <w:pStyle w:val="Heading2"/>
      </w:pPr>
      <w:r>
        <w:t xml:space="preserve">Remuneración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Remuneración total del primer ejecutivo (2025)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9,82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Fijo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0,57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Variable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0,84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Variable a largo plazo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7,90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Peor voto a favor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87,1 %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Peor voto en contra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12,9 %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Ratio sobre salario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94x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spacing w:after="100"/>
      </w:pPr>
      <w:r>
        <w:t xml:space="preserve">El bono anual del CEO se reparte a partes iguales entre ventas y EBITDA ajustado. Paga como máximo el 125 % y llega al 150 % con un modificador individual de ±25 %; en 2025 salió al 125 % [47]. El variable a largo plazo son PSU ligadas a la TCAC de ventas y de EBITDA ajustado, con un multiplicador de TSR relativo (0,75-1,25×) y un tope del 250 %. No hay ROIC ni flujo de caja; los tramos 2023 y 2024 pagaron el 247 % y el 235 % [47]. Desde 2025 los fundadores cobran el 100 % en PSU, CHF 2,9 M cada uno [47]. Antes de la salida a bolsa recibieron opciones sobre acciones B, ya consolidadas y sin condiciones de rendimiento, a USD 0,77; aún quedan 6.325.000 [1, 39]. Hoffmann recibió un pago único de CHF 5 M en RSU [47]. Lo pagado en 2025 superó en CHF 1,33 M el máximo aprobado de CHF 26 M, y la junta lo ratificó [47, 50]. El reembolso de variable (clawback) solo cubre las reexpresiones [1]. No hay indemnizaciones; el preaviso es de doce meses y la no competencia se paga [47]. El informe de 2023 sacó el 87,1 % a favor; sin las acciones B, en torno al 65 % [52].</w:t>
      </w:r>
    </w:p>
    <w:p>
      <w:pPr>
        <w:pStyle w:val="Heading2"/>
      </w:pPr>
      <w:r>
        <w:t xml:space="preserve">Operaciones vinculadas, estructura de control y defensas</w:t>
      </w:r>
    </w:p>
    <w:p>
      <w:pPr>
        <w:spacing w:after="100"/>
      </w:pPr>
      <w:r>
        <w:t xml:space="preserve">Los tres fundadores controlan la sociedad con dos clases de acciones. Las B tienen nominal de CHF 0,01 frente a 0,10 de las A, y una acción, un voto: diez veces más voto por franco [1]. Con unas 325 M de acciones B tienen el 54-57 % del voto y el 13 % del capital [1, 55]. Un pacto de accionistas les obliga a votar en bloque, les da tanteo sobre las B y les asegura un puesto en el consejo [1, 48]. Las B solo se convierten si cae la tenencia por debajo del 65 % [1]. Transmitir B exige aprobación del consejo, que hasta mayo de 2028 puede emitir 9,49 M más sin la junta [49]. Hay contrapesos. Las decisiones de dos tercios necesitan además mayoría del nominal, que está en las A [1]. Las A eligen su propio consejero, Pérez [50]. El régimen suizo de OPA no se aplica [1]. Vinculadas: la empresa pagó el registro de las acciones convertidas de Hoffmann [48].</w:t>
      </w:r>
    </w:p>
    <w:p>
      <w:pPr>
        <w:pStyle w:val="Heading2"/>
      </w:pPr>
      <w:r>
        <w:t xml:space="preserve">Señales de alerta</w:t>
      </w:r>
    </w:p>
    <w:p>
      <w:pPr>
        <w:pStyle w:val="ListParagraph"/>
        <w:numPr>
          <w:ilvl w:val="0"/>
          <w:numId w:val="2"/>
        </w:numPr>
        <w:spacing w:after="60"/>
      </w:pPr>
      <w:r>
        <w:t xml:space="preserve">Rotación de la cúpula: el co-CEO Marc Maurer salió en 2025 [53]. Martin Hoffmann fue CEO y CFO a la vez desde abril/julio de 2025 y se fue el 1-may-2026 [1, 26]. El CFO es externo y nuevo, y el presidente y COO llegó en mar-2025 [26, 53].</w:t>
      </w:r>
    </w:p>
    <w:p>
      <w:pPr>
        <w:pStyle w:val="ListParagraph"/>
        <w:numPr>
          <w:ilvl w:val="0"/>
          <w:numId w:val="2"/>
        </w:numPr>
        <w:spacing w:after="60"/>
      </w:pPr>
      <w:r>
        <w:t xml:space="preserve">Desde el 1-may-2026 los copresidentes son también co-CEO: no hay separación entre presidencia y dirección, y los mismos fundadores tienen el control de voto [26, 49].</w:t>
      </w:r>
    </w:p>
    <w:p>
      <w:pPr>
        <w:pStyle w:val="ListParagraph"/>
        <w:numPr>
          <w:ilvl w:val="0"/>
          <w:numId w:val="2"/>
        </w:numPr>
        <w:spacing w:after="60"/>
      </w:pPr>
      <w:r>
        <w:t xml:space="preserve">Ventas de exdirectivos en 12 meses (Form 144): Maurer, 1,35 M de acciones por unos CHF 42,9 M; Hoffmann, 0,54 M por unos CHF 17,3 M. Hoffmann avisó el 1-oct-2026 de la venta de otras 175.000 acciones y vende las 1,625 M que salieron de convertir sus B bajo un límite del 5 % del volumen medio diario [39, 48, 63, 64, 65].</w:t>
      </w:r>
    </w:p>
    <w:p>
      <w:pPr>
        <w:pStyle w:val="ListParagraph"/>
        <w:numPr>
          <w:ilvl w:val="0"/>
          <w:numId w:val="2"/>
        </w:numPr>
        <w:spacing w:after="60"/>
      </w:pPr>
      <w:r>
        <w:t xml:space="preserve">Lo pagado a la dirección en 2025 (CHF 27,33 M) superó el máximo aprobado de CHF 26 M, y se pidió a la junta un importe suplementario [47, 50]. Hoffmann recibió CHF 5 M en RSU en abr-2025 y dejó el cargo un año después; no se ha publicado si las perdió [26, 47].</w:t>
      </w:r>
    </w:p>
    <w:p>
      <w:pPr>
        <w:pStyle w:val="ListParagraph"/>
        <w:numPr>
          <w:ilvl w:val="0"/>
          <w:numId w:val="2"/>
        </w:numPr>
        <w:spacing w:after="60"/>
      </w:pPr>
      <w:r>
        <w:t xml:space="preserve">El capital libre vota contra: en 2024-2026 el informe de remuneración tuvo entre 47 y 70 millones de votos en contra (9-13 % del total). Sin las acciones B, el apoyo de las A ronda el 65-75 % (estimación propia) [50, 51, 52].</w:t>
      </w:r>
    </w:p>
    <w:p>
      <w:pPr>
        <w:pStyle w:val="ListParagraph"/>
        <w:numPr>
          <w:ilvl w:val="0"/>
          <w:numId w:val="2"/>
        </w:numPr>
        <w:spacing w:after="60"/>
      </w:pPr>
      <w:r>
        <w:t xml:space="preserve">Alex Pérez, consejero desde 2016 y declarado independiente, tiene el 3,0 % del capital y viene de 3G Capital, como Sicupira y Lemann (11,4 % económico entre ambos). Preside la comisión de remuneraciones [1, 47]. En 2026 su reelección como representante de las A tuvo un 12,2 % en contra entre los votos de las A [50].</w:t>
      </w:r>
    </w:p>
    <w:p>
      <w:pPr>
        <w:pStyle w:val="ListParagraph"/>
        <w:numPr>
          <w:ilvl w:val="0"/>
          <w:numId w:val="2"/>
        </w:numPr>
        <w:spacing w:after="60"/>
      </w:pPr>
      <w:r>
        <w:t xml:space="preserve">Como emisor extranjero no le aplican las normas de gobierno de la NYSE ni la protección suiza de OPA: no está obligada a tener mayoría de independientes ni comisiones independientes, emite acciones sin aprobación de la junta y no hay OPA obligatoria [1].</w:t>
      </w:r>
    </w:p>
    <w:p>
      <w:pPr>
        <w:pStyle w:val="ListParagraph"/>
        <w:numPr>
          <w:ilvl w:val="0"/>
          <w:numId w:val="2"/>
        </w:numPr>
        <w:spacing w:after="60"/>
      </w:pPr>
      <w:r>
        <w:t xml:space="preserve">Debilidad material en el control interno detectada en 2020 y dada por remediada a cierre de 2023; el control de 2025 es efectivo, con dictamen de PwC [1, 3, 39].</w:t>
      </w:r>
    </w:p>
    <w:p>
      <w:pPr>
        <w:pStyle w:val="ListParagraph"/>
        <w:numPr>
          <w:ilvl w:val="0"/>
          <w:numId w:val="2"/>
        </w:numPr>
        <w:spacing w:after="60"/>
      </w:pPr>
      <w:r>
        <w:t xml:space="preserve">No se han encontrado demandas colectivas de valores contra On Holding. Hay una demanda colectiva de consumo, Norberg v. On Inc. (Oregón, may-2026), cuyo objeto no está verificado, y el pleito aduanero On Inc. v. United States por los aranceles [1, 46].</w:t>
      </w:r>
    </w:p>
    <w:p>
      <w:r>
        <w:br w:type="page"/>
      </w:r>
    </w:p>
    <w:p>
      <w:pPr>
        <w:pStyle w:val="Parte"/>
      </w:pPr>
      <w:r>
        <w:t xml:space="preserve">Parte IV — Mercado y valoración</w:t>
      </w:r>
    </w:p>
    <w:p>
      <w:pPr>
        <w:pStyle w:val="Heading1"/>
      </w:pPr>
      <w:r>
        <w:t xml:space="preserve">15. Previsiones de la compañía y consenso</w:t>
      </w:r>
    </w:p>
    <w:p>
      <w:pPr>
        <w:pStyle w:val="Confianza"/>
        <w:spacing w:after="100"/>
      </w:pPr>
      <w:r>
        <w:t xml:space="preserve">Confianza: Media</w:t>
      </w:r>
    </w:p>
    <w:p>
      <w:pPr>
        <w:spacing w:after="100"/>
      </w:pPr>
      <w:r>
        <w:t xml:space="preserve">Guía de 2026, reiterada el 22-sep-2026: ventas con crecimiento «low-20%» a divisa constante (3.470-3.560 M CHF a tipos de contado), margen bruto de al menos el 65,0 % y margen EBITDA ajustado del 19,5-20,0 %, sin contar la devolución de aranceles (hasta 53 M CHF en el 3T26) [6, 21]. Para el 3T26 espera ~17 % a divisa constante [21]. La guía de ventas inicial (al menos +23 % a divisa constante) se rebajó en agosto; la de márgenes se ha subido dos veces [C46-48]. Objetivos a 2029 (Investor Day del 22-sep-2026): crecimiento de las ventas «high-teens» a divisa constante, ventas de al menos 5.600 M CHF en 2029, margen bruto ≥ 65 % y margen EBITDA ajustado ≥ 22 %, con un EBITDA ajustado que crezca más del 20 % anual en 2026-2029 [21].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41"/>
        <w:gridCol w:w="1302"/>
        <w:gridCol w:w="1302"/>
        <w:gridCol w:w="1302"/>
        <w:gridCol w:w="1041"/>
        <w:gridCol w:w="1041"/>
        <w:gridCol w:w="2609"/>
      </w:tblGrid>
      <w:tr>
        <w:trPr>
          <w:cantSplit/>
          <w:tblHeader/>
        </w:trPr>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DPA</w:t>
            </w:r>
          </w:p>
        </w:tc>
        <w:tc>
          <w:tcPr>
            <w:tcW w:type="dxa" w:w="26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Fuente</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3.514</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636</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490</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0,00</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MarketScreener [69], 31 analistas. EBITDA pasado a base NIIF: EBITDA ajustado publicado (706.1) menos la remuneración en acciones estimada al 1,99 % de las ventas, la proporción del 1S26 (estimación propia); EBIT y BPA, NIIF</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4.180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773</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605</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1,49</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0,00</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MarketScreener [69], 31 analistas. EBITDA pasado a base NIIF: EBITDA ajustado publicado (856.5) menos la remuneración en acciones estimada al 1,99 % de las ventas, la proporción del 1S26 (estimación propia); EBIT y BPA, NIIF</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4.951</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949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762</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1,92</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0,00</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 [69], 31 analistas. EBITDA pasado a base NIIF: EBITDA ajustado publicado (1047) menos la remuneración en acciones estimada al 1,99 % de las ventas, la proporción del 1S26 (estimación propia); EBIT y BPA, NIIF</w:t>
            </w:r>
          </w:p>
        </w:tc>
      </w:tr>
    </w:tbl>
    <w:p>
      <w:pPr>
        <w:spacing w:after="160" w:before="0"/>
      </w:pPr>
    </w:p>
    <w:p>
      <w:pPr>
        <w:pStyle w:val="Heading2"/>
      </w:pPr>
      <w:r>
        <w:t xml:space="preserve">Nuestra proyección frente al consenso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4"/>
        <w:gridCol w:w="1505"/>
        <w:gridCol w:w="1505"/>
        <w:gridCol w:w="1204"/>
        <w:gridCol w:w="1505"/>
        <w:gridCol w:w="1505"/>
        <w:gridCol w:w="1210"/>
      </w:tblGrid>
      <w:tr>
        <w:trPr>
          <w:cantSplit/>
          <w:tblHeader/>
        </w:trPr>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propios</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consenso</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Dif.</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 propio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 consenso</w:t>
            </w:r>
          </w:p>
        </w:tc>
        <w:tc>
          <w:tcPr>
            <w:tcW w:type="dxa" w:w="12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Dif.</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3.514</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3.514</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668</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636</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4.112</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4.180</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781</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773</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4.770</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4.951</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-3,7 %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930</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949</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-2,0 %</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Analistas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31</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Comprar / mantener / vender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25 / 5 / 1</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Precio objetivo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36,11</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de precios objetivo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16,58 – 59,37</w:t>
            </w:r>
          </w:p>
        </w:tc>
      </w:tr>
    </w:tbl>
    <w:p>
      <w:pPr>
        <w:spacing w:after="160" w:before="0"/>
      </w:pPr>
    </w:p>
    <w:p>
      <w:pPr>
        <w:pStyle w:val="Heading2"/>
      </w:pPr>
      <w:r>
        <w:t xml:space="preserve">Revisiones de estimaciones</w:t>
      </w:r>
    </w:p>
    <w:p>
      <w:pPr>
        <w:spacing w:after="100"/>
      </w:pPr>
      <w:r>
        <w:t xml:space="preserve">Las cifras de ventas cuadran entre las dos fuentes: 3.514 M CHF en 2026 en MarketScreener y 3.510 M CHF de media en Stock Analysis (S&amp;P Global), con 30-31 analistas [69, 71]. El BPA difiere por definición: 1,23 CHF NIIF en MarketScreener frente a 1,43 CHF ajustado en Stock Analysis [69, 71]. Los precios objetivo han bajado todo el año. Truist pasó de 65 USD (nov-2025) a 55 (mar-2026), 48 (may) y 40 USD (ago). UBS pasó de 85 a 83 y a 73 USD tras el 2T26 [70]. En sentido contrario, Goldman subió a comprar en enero, Berenberg inició con comprar y 38 USD en septiembre y J.P. Morgan subió de 41 a 44 USD el 1-oct [70, 71]. Las fuentes gratuitas no dan la serie de estimaciones de BPA a 3 y 12 meses.</w:t>
      </w:r>
    </w:p>
    <w:p>
      <w:pPr>
        <w:pStyle w:val="Heading1"/>
      </w:pPr>
      <w:r>
        <w:t xml:space="preserve">16. Comportamiento en bolsa</w:t>
      </w:r>
    </w:p>
    <w:p>
      <w:pPr>
        <w:pStyle w:val="Confianza"/>
        <w:spacing w:after="100"/>
      </w:pPr>
      <w:r>
        <w:t xml:space="preserve">Confianza: Media</w:t>
      </w:r>
    </w:p>
    <w:p>
      <w:pPr>
        <w:pStyle w:val="Nota"/>
        <w:spacing w:after="100"/>
      </w:pPr>
      <w:r>
        <w:t xml:space="preserve">Rentabilidad de precio (sin dividendos).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52"/>
        <w:gridCol w:w="2095"/>
        <w:gridCol w:w="2095"/>
        <w:gridCol w:w="2096"/>
      </w:tblGrid>
      <w:tr>
        <w:trPr>
          <w:cantSplit/>
          <w:tblHeader/>
        </w:trPr>
        <w:tc>
          <w:tcPr>
            <w:tcW w:type="dxa" w:w="335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Acción</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Índice</w:t>
            </w:r>
          </w:p>
        </w:tc>
        <w:tc>
          <w:tcPr>
            <w:tcW w:type="dxa" w:w="20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Sector</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En el año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-31,4 %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+13,6 %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año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-24,3 %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+15,8 %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+9,7 %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+22,2 %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+12,4 %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Desde la OPV, sep-2021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+11,5 %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+4,6 %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520000"/>
            <wp:effectExtent l="0" t="0" r="0" b="0"/>
            <wp:docPr id="1019" name="Gráfico 19" descr="Rentabilidad total por año: acción frente a su índice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9"/>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Beta (5 años, mensual)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2,08</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Volatilidad anualizada (1 año)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49,8 %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Máxima caída (5 años)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-68,9 %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Posiciones cortas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6,9 %</w:t>
            </w:r>
          </w:p>
        </w:tc>
      </w:tr>
    </w:tbl>
    <w:p>
      <w:pPr>
        <w:spacing w:after="160" w:before="0"/>
      </w:pPr>
    </w:p>
    <w:p>
      <w:pPr>
        <w:spacing w:after="100"/>
      </w:pPr>
      <w:r>
        <w:t xml:space="preserve">La acción ha ido muy por detrás del mercado: −31,4 % en el año frente al +13,6 % del S&amp;P 500 y −24,3 % a un año, y está un 8,9 % por debajo del primer cierre tras la OPV de 2021 (35 USD) [68]. Tres hechos lo explican. La desaceleración en CHF, porque el dólar débil se come 8-12 puntos del crecimiento reportado (+13,5 % en el 2T26 frente a +21,6 % a divisa constante) [6]. La rebaja de la guía de ventas de agosto por el recorte de entregas a mayoristas [6]. Y el castigo a todo el sector (el índice de consumo discrecional, −7,0 % en el año), con Nike (−52 % en 52 semanas) y Lululemon (−47 %) [68, 72]. El mínimo de 52 semanas (26,36 USD) se marcó el 17-sep, días antes del Investor Day, que hizo subir la acción [68, 70]. La volatilidad (49,8 %) y la beta (2,08 desde la OPV) son las de un valor de crecimiento muy sensible al ciclo; la posición corta es del 6,9 % de las acciones [71]. Rentabilidades de precio: On no paga dividendos; los índices, sin dividendos.</w:t>
      </w:r>
    </w:p>
    <w:p>
      <w:pPr>
        <w:pStyle w:val="Heading1"/>
      </w:pPr>
      <w:r>
        <w:t xml:space="preserve">17. Múltiplos frente a su historia</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27"/>
        <w:gridCol w:w="1098"/>
        <w:gridCol w:w="1098"/>
        <w:gridCol w:w="1098"/>
        <w:gridCol w:w="1098"/>
        <w:gridCol w:w="1098"/>
        <w:gridCol w:w="1221"/>
      </w:tblGrid>
      <w:tr>
        <w:trPr>
          <w:cantSplit/>
          <w:tblHeader/>
        </w:trPr>
        <w:tc>
          <w:tcPr>
            <w:tcW w:type="dxa" w:w="2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Múltiplo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Mediana</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Mínimo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Máximo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Percentil</w:t>
            </w:r>
          </w:p>
        </w:tc>
        <w:tc>
          <w:tcPr>
            <w:tcW w:type="dxa" w:w="12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Prima / descuento</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últimos 12 meses (cierre de cada año)</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32,8x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23,4x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PER últimos 12 meses (cierre de cada año)</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22,4x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77,6x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60,4x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90,4x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-71 %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20" name="Gráfico 20" descr="EV/EBITDA últimos 12 meses (cierre de cada año): historia y mediana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0"/>
              </a:graphicData>
            </a:graphic>
          </wp:inline>
        </w:drawing>
      </w:r>
    </w:p>
    <w:p>
      <w:pPr>
        <w:spacing w:after="100"/>
      </w:pPr>
      <w:r>
        <w:t xml:space="preserve">Con el precio de cierre de cada año y las cuentas de ese año, el EV/EBITDA de los últimos 12 meses fue de 36,9x en 2022, 28,7x en 2023, 49,7x en 2024 y 23,4x en 2025, y el PER se movió entre 60,4x y 90,4x [68]. Se omiten 2020 y 2021, con EBITDA negativo. Hoy On cotiza a 14,2x EBITDA y 22,4x beneficio: por debajo de cualquier cierre anual desde 2022 (percentil 0), un 59 % y un 71 % por debajo de la media de su corta historia. El cambio es estructural: en 2022-2024 el mercado pagaba un crecimiento del 30-70 % con tipos bajos; hoy el crecimiento en CHF es del 14 %, el bono de EE. UU. a 10 años está en el 5,31 % y el sector entero ha bajado de múltiplo [72, 74]. No hay múltiplos NTM históricos gratuitos.</w:t>
      </w:r>
    </w:p>
    <w:p>
      <w:pPr>
        <w:pStyle w:val="Heading1"/>
      </w:pPr>
      <w:r>
        <w:t xml:space="preserve">18. Comparables cotizados</w:t>
      </w:r>
    </w:p>
    <w:p>
      <w:pPr>
        <w:pStyle w:val="Confianza"/>
        <w:spacing w:after="100"/>
      </w:pPr>
      <w:r>
        <w:t xml:space="preserve">Confianza: Media</w:t>
      </w:r>
    </w:p>
    <w:p>
      <w:pPr>
        <w:spacing w:after="100"/>
      </w:pPr>
      <w:r>
        <w:t xml:space="preserve">Siete marcas deportivas cotizadas con cifras estimadas por el mismo proveedor: Deckers (HOKA, el rival más parecido en running premium), Nike y adidas (las líderes, contra las que On gana cuota), Asics (running de rendimiento, el que más crece de las grandes), Amer Sports (outdoor premium de alto crecimiento), Lululemon (marca premium que vende en directo) y Birkenstock (marca premium de calzado con margen alto). Fuera quedan Puma, porque perdió dinero en 2025 y su EV/EBITDA (25,6x) distorsiona la mediana; Skechers, privatizada en 2025; y Crocs y Steve Madden, de calzado no deportivo [72, 73].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5"/>
        <w:gridCol w:w="504"/>
        <w:gridCol w:w="908"/>
        <w:gridCol w:w="706"/>
        <w:gridCol w:w="807"/>
        <w:gridCol w:w="807"/>
        <w:gridCol w:w="706"/>
        <w:gridCol w:w="706"/>
        <w:gridCol w:w="756"/>
        <w:gridCol w:w="655"/>
        <w:gridCol w:w="655"/>
        <w:gridCol w:w="713"/>
      </w:tblGrid>
      <w:tr>
        <w:trPr>
          <w:cantSplit/>
          <w:tblHeader/>
        </w:trPr>
        <w:tc>
          <w:tcPr>
            <w:tcW w:type="dxa" w:w="171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Empresa</w:t>
            </w:r>
          </w:p>
        </w:tc>
        <w:tc>
          <w:tcPr>
            <w:tcW w:type="dxa" w:w="5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País</w:t>
            </w:r>
          </w:p>
        </w:tc>
        <w:tc>
          <w:tcPr>
            <w:tcW w:type="dxa" w:w="9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Capitaliz.</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EV/Vtas</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LTM</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7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DN/ EBITDA</w:t>
            </w:r>
          </w:p>
        </w:tc>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yield</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On</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CH</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8.900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+19,2 %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38,4 %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Deckers (HOKA, UGG)</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US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9.268</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24,5 %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90,6 %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Nike</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US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42.456</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15,5x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18,9 %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0,6x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adidas</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23.173</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8,7x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14,8 %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Asics</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JP</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15.393</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14,6x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21,1x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20,8 %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41,8 %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Lululemon</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US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8.629</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24,4 %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23,7 %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13,1 %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Amer Sports (Salomon, Arc'teryx)</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FI</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13.413</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18,3x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+18,4 %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17,5 %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Birkenstock</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DE</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5.008</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9,4x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8,0x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12,3x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+13,1 %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31,8 %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10,4 %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5,5 %</w:t>
            </w:r>
          </w:p>
        </w:tc>
      </w:tr>
    </w:tbl>
    <w:p>
      <w:pPr>
        <w:spacing w:after="160" w:before="0"/>
      </w:pPr>
    </w:p>
    <w:p>
      <w:pPr>
        <w:pStyle w:val="Nota"/>
        <w:spacing w:after="100"/>
      </w:pPr>
      <w:r>
        <w:t xml:space="preserve">La primera fila es la empresa analizada (calculada con sus propios datos). Los estadísticos excluyen a la empresa.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8"/>
        <w:gridCol w:w="1056"/>
        <w:gridCol w:w="1188"/>
        <w:gridCol w:w="1188"/>
        <w:gridCol w:w="1056"/>
        <w:gridCol w:w="1056"/>
        <w:gridCol w:w="1188"/>
        <w:gridCol w:w="1058"/>
      </w:tblGrid>
      <w:tr>
        <w:trPr>
          <w:cantSplit/>
          <w:tblHeader/>
        </w:trPr>
        <w:tc>
          <w:tcPr>
            <w:tcW w:type="dxa" w:w="184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Estadístico</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EV/Vtas</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LTM</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10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Mediana</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20,8 %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18,9 %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Media</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9,3x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19,9 %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Percentil 25</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12,6 %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Percentil 75</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10,5x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19,7x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+15,0 %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24,5 %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32,8 %</w:t>
            </w:r>
          </w:p>
        </w:tc>
      </w:tr>
    </w:tbl>
    <w:p>
      <w:pPr>
        <w:spacing w:after="160" w:before="0"/>
      </w:pPr>
    </w:p>
    <w:p>
      <w:pPr>
        <w:pStyle w:val="Heading2"/>
      </w:pPr>
      <w:r>
        <w:t xml:space="preserve">Valor implícito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24"/>
        <w:gridCol w:w="1147"/>
        <w:gridCol w:w="1835"/>
        <w:gridCol w:w="1032"/>
        <w:gridCol w:w="1032"/>
        <w:gridCol w:w="1032"/>
        <w:gridCol w:w="1036"/>
      </w:tblGrid>
      <w:tr>
        <w:trPr>
          <w:cantSplit/>
          <w:tblHeader/>
        </w:trPr>
        <w:tc>
          <w:tcPr>
            <w:tcW w:type="dxa" w:w="25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Múltiplo aplicado</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Métrica de la empresa</w:t>
            </w:r>
          </w:p>
        </w:tc>
        <w:tc>
          <w:tcPr>
            <w:tcW w:type="dxa" w:w="18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Múltiplo p25 / mediana / p75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p25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mediana</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p75</w:t>
            </w:r>
          </w:p>
        </w:tc>
        <w:tc>
          <w:tcPr>
            <w:tcW w:type="dxa" w:w="10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próximos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741</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7,3x / 8,0x / 10,4x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17,87</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19,53</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24,93</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-26,2 %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últimos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583</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8,1x / 9,4x / 13,3x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15,93</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18,19</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24,95</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-31,3 %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 próximos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11,4x / 12,9x / 19,7x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16,29</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18,43</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28,15</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-30,4 %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EV/Ventas últimos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3.220</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1,2x / 1,8x / 2,6x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13,00</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19,14</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26,47</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-27,7 %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21" name="Gráfico 21" descr="EV/EBITDA de los próximos 12 meses: empresa y comparables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1"/>
              </a:graphicData>
            </a:graphic>
          </wp:inline>
        </w:drawing>
      </w:r>
    </w:p>
    <w:p>
      <w:pPr>
        <w:keepNext w:val="false"/>
        <w:spacing w:after="160" w:before="120"/>
        <w:jc w:val="center"/>
      </w:pPr>
      <w:r>
        <w:drawing>
          <wp:inline xmlns:wp="http://schemas.openxmlformats.org/drawingml/2006/wordprocessingDrawing" distT="0" distB="0" distL="0" distR="0">
            <wp:extent cx="5760000" cy="3060000"/>
            <wp:effectExtent l="0" t="0" r="0" b="0"/>
            <wp:docPr id="1022" name="Gráfico 22" descr="Crecimiento esperado frente a múltiplo"/>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2"/>
              </a:graphicData>
            </a:graphic>
          </wp:inline>
        </w:drawing>
      </w:r>
    </w:p>
    <w:p>
      <w:pPr>
        <w:spacing w:after="100"/>
      </w:pPr>
      <w:r>
        <w:rPr>
          <w:b/>
        </w:rPr>
        <w:t xml:space="preserve">Regresión EV/EBITDA NTM sobre crecimiento</w:t>
      </w:r>
      <w:r>
        <w:t xml:space="preserve"> (7 comparables): múltiplo = 9,6 + -0,05 × crecimiento; R² = 0,02. El crecimiento explica poco los múltiplos de estos comparables (R² &lt; 0,3): la regresión no se usa en la valoración.</w:t>
      </w:r>
    </w:p>
    <w:p>
      <w:pPr>
        <w:spacing w:after="100"/>
      </w:pPr>
      <w:r>
        <w:t xml:space="preserve">On cotiza con una prima clara: 11,2x EV/EBITDA de los próximos 12 meses y 18,5x PER, frente a medianas de 8,0x y 12,9x. Con los múltiplos de la mediana, la acción valdría unos 19 CHF por acción (18,98 CHF de media entre EV/EBITDA y PER), un 28 % menos que el precio. La prima se justifica en parte: On crece un 19,2 % anual en los próximos 12 meses frente al 7,7 % de la mediana, tiene caja neta y un ROIC del 38,4 % frente al 18,9 %. Pero la regresión múltiplo-crecimiento no explica nada (R² de 0,02), porque el sector cotiza hoy por la recuperación de los márgenes y no por el crecimiento: Asics y Amer, que crecen al 17-18 %, cotizan a 9-12x EBITDA, mientras Nike cotiza a 15,6x con ventas a la baja. El múltiplo que usaría para On es el de Asics (11,8x NTM), el único par con crecimiento y rentabilidad parecidos: con él la acción valdría unos 27,9 CHF, cerca del precio actual (estimación propia: 11,8 × 741 M CHF de EBITDA NTM más 643 M CHF de caja neta, entre 336,1 M de acciones).</w:t>
      </w:r>
    </w:p>
    <w:p>
      <w:pPr>
        <w:pStyle w:val="Heading1"/>
      </w:pPr>
      <w:r>
        <w:t xml:space="preserve">20. Descuento de flujos de caja (DCF)</w:t>
      </w:r>
    </w:p>
    <w:p>
      <w:pPr>
        <w:pStyle w:val="Confianza"/>
        <w:spacing w:after="100"/>
      </w:pPr>
      <w:r>
        <w:t xml:space="preserve">Confianza: Media</w:t>
      </w:r>
    </w:p>
    <w:p>
      <w:pPr>
        <w:pStyle w:val="Heading2"/>
      </w:pPr>
      <w:r>
        <w:t xml:space="preserve">Supuestos y su justificación</w:t>
      </w:r>
    </w:p>
    <w:p>
      <w:pPr>
        <w:keepNext/>
        <w:spacing w:after="100"/>
      </w:pPr>
      <w:r>
        <w:rPr>
          <w:b/>
          <w:bCs/>
        </w:rPr>
        <w:t xml:space="preserve">Crecimiento de ingresos.</w:t>
      </w:r>
    </w:p>
    <w:p>
      <w:pPr>
        <w:spacing w:after="100"/>
      </w:pPr>
      <w:r>
        <w:t xml:space="preserve">Proyecto diez años porque On sigue lejos de su madurez. 2026 queda fijo en el +16,6 % del consenso (3.514 M CHF, dentro de la guía de 3.470-3.560 M CHF), porque ya hay dos trimestres publicados y la guía es reciente [6, 69]. Después, el 17 % en 2027, el 16 % en 2028 y el 15 % en 2029, ligeramente por debajo del «high-teens» a divisa constante del plan, porque proyecto en CHF y el franco se ha revalorizado de forma persistente frente al dólar; las ventas de 2029 (5.485 M CHF) quedan un 2 % por debajo del objetivo de 5.600 M CHF [21]. Desde 2030 el crecimiento baja dos puntos al año hasta el 3,5 % de 2035, cerca del terminal. Frente al consenso, mis ventas son un 1,6 % menores en 2027 y un 3,7 % menores en 2028 [69].</w:t>
      </w:r>
    </w:p>
    <w:p>
      <w:pPr>
        <w:keepNext/>
        <w:spacing w:after="100"/>
      </w:pPr>
      <w:r>
        <w:rPr>
          <w:b/>
          <w:bCs/>
        </w:rPr>
        <w:t xml:space="preserve">Márgenes.</w:t>
      </w:r>
    </w:p>
    <w:p>
      <w:pPr>
        <w:spacing w:after="100"/>
      </w:pPr>
      <w:r>
        <w:t xml:space="preserve">Margen EBITDA NIIF, con la remuneración en acciones como gasto (≈ 2 % de las ventas). 2026: 19,0 %, el punto medio de la guía ajustada (19,75 %) menos el 2 % de pagos en acciones más 1,5 puntos de la devolución de aranceles del 3T26 (hasta 53 M CHF) [6, 21]. Sube al 19,5 % en 2028 y al 20,0 % desde 2029. El 20,0 % NIIF equivale a ~22 % ajustado, el objetivo de la empresa para 2029 [21]. Es exigente pero tiene precedentes: Deckers tiene un margen operativo del 23,1 % y Asics del 17,6 % [39, 44], y el margen bruto de On (64,8 % en el 1S26) es el más alto del sector. El EBITDA del modelo queda un 5 % por encima del consenso en 2026, por los aranceles, y en línea (+1 % y −2 %) en 2027-2028.</w:t>
      </w:r>
    </w:p>
    <w:p>
      <w:pPr>
        <w:keepNext/>
        <w:spacing w:after="100"/>
      </w:pPr>
      <w:r>
        <w:rPr>
          <w:b/>
          <w:bCs/>
        </w:rPr>
        <w:t xml:space="preserve">Inversión y circulante.</w:t>
      </w:r>
    </w:p>
    <w:p>
      <w:pPr>
        <w:spacing w:after="100"/>
      </w:pPr>
      <w:r>
        <w:t xml:space="preserve">El capex incluye las altas de arrendamientos, porque los pasivos por arrendamiento están en la deuda del puente y su amortización en el EBITDA: si no, el DCF contaría el EBITDA de las tiendas sin pagar sus alquileres. Capex propio del 2,6 % de las ventas en 2025 más altas de arrendamientos de ~2,4 %: 5,0 % al principio, que baja al 4,5 % en 2034-2035, por encima de las amortizaciones (4,3 %, como en 2025, 127,4 M CHF sobre 3.014 M CHF) [1]. El circulante pasa del 19,0 % de las ventas (18,9 % en 2025 y 19,7 % en el LTM) al 18,0 %, sin volver al 37,6 % de 2022 [1, 7]. Impuestos del 17-19 %, frente al 13,9 % del 1S26 y al 19,6 % teórico que publica la empresa; no proyecto el 0,7 % de 2025 [1, 7].</w:t>
      </w:r>
    </w:p>
    <w:p>
      <w:pPr>
        <w:keepNext/>
        <w:spacing w:after="100"/>
      </w:pPr>
      <w:r>
        <w:rPr>
          <w:b/>
          <w:bCs/>
        </w:rPr>
        <w:t xml:space="preserve">Coste del capital.</w:t>
      </w:r>
    </w:p>
    <w:p>
      <w:pPr>
        <w:spacing w:after="100"/>
      </w:pPr>
      <w:r>
        <w:t xml:space="preserve">Todo en CHF. Tasa libre: bono de la Confederación a 10 años, 0,51 % el 6-oct-2026 [75]. Beta: 2,08 en datos mensuales desde la OPV frente al S&amp;P 500, ajustada a 1,72 con la fórmula de Blume [68, 71]. Prima de mercado del 5,5 % más 0,5 puntos por el riesgo de marca, la fabricación en Vietnam y el control de los fundadores. Coste de los fondos propios: 10,47 %; deuda: solo arrendamientos (6 %), al 3,5 %. WACC: 10,01 %. Con la prima implícita del mercado (4,20 % [76]), el coste de los fondos propios sería del 8,23 % y el WACC del 7,91 %: es la referencia de la regla relativa, no la tasa del caso base.</w:t>
      </w:r>
    </w:p>
    <w:p>
      <w:pPr>
        <w:keepNext/>
        <w:spacing w:after="100"/>
      </w:pPr>
      <w:r>
        <w:rPr>
          <w:b/>
          <w:bCs/>
        </w:rPr>
        <w:t xml:space="preserve">Valor terminal.</w:t>
      </w:r>
    </w:p>
    <w:p>
      <w:pPr>
        <w:spacing w:after="100"/>
      </w:pPr>
      <w:r>
        <w:t xml:space="preserve">Gordon con un crecimiento a perpetuidad del 2,0 % en CHF: On vende en todo el mundo y el mercado de calzado deportivo crece un 5 % anual [41]. La regla del prompt (entre la inflación esperada y la tasa libre menos medio punto) no tiene solución en francos: con el bono al 0,51 % [75], el techo sería un 0,0 %. Mantenemos el 2,0 % con su sensibilidad: con un 1,0 %, el DCF baja a 28,12 CHF y el objetivo con la prima del mercado a 33,43 CHF (+26,2 %), sin cambiar la recomendación. El Gordon implica 7,6x el EBITDA de 2035, bajo la mediana de los comparables (8,0x NTM).</w:t>
      </w:r>
    </w:p>
    <w:p>
      <w:pPr>
        <w:pStyle w:val="Heading2"/>
      </w:pPr>
      <w:r>
        <w:t xml:space="preserve">Coste medio ponderado del capital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3"/>
        <w:gridCol w:w="2225"/>
      </w:tblGrid>
      <w:tr>
        <w:trPr>
          <w:cantSplit/>
          <w:tblHeader/>
        </w:trPr>
        <w:tc>
          <w:tcPr>
            <w:tcW w:type="dxa" w:w="74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Componente</w:t>
            </w:r>
          </w:p>
        </w:tc>
        <w:tc>
          <w:tcPr>
            <w:tcW w:type="dxa" w:w="22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Tasa libre de riesgo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0,51 %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Beta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1,72</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de riesgo de mercado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adicional (país, tamaño, específica)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los fondos propios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10,47 %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la deuda antes de impuestos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Tipo impositivo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la deuda después de impuestos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2,87 %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Peso de la deuda (D / (D + E))</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WACC</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10,01 %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de riesgo implícita del mercado (regla relativa)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WACC con la prima implícita del mercado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7,91 %</w:t>
            </w:r>
          </w:p>
        </w:tc>
      </w:tr>
    </w:tbl>
    <w:p>
      <w:pPr>
        <w:spacing w:after="160" w:before="0"/>
      </w:pPr>
    </w:p>
    <w:p>
      <w:pPr>
        <w:pStyle w:val="Heading2"/>
      </w:pPr>
      <w:r>
        <w:t xml:space="preserve">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1"/>
        <w:gridCol w:w="937"/>
        <w:gridCol w:w="729"/>
        <w:gridCol w:w="885"/>
        <w:gridCol w:w="833"/>
        <w:gridCol w:w="781"/>
        <w:gridCol w:w="833"/>
        <w:gridCol w:w="781"/>
        <w:gridCol w:w="729"/>
        <w:gridCol w:w="833"/>
        <w:gridCol w:w="729"/>
        <w:gridCol w:w="787"/>
      </w:tblGrid>
      <w:tr>
        <w:trPr>
          <w:cantSplit/>
          <w:tblHeader/>
        </w:trPr>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Año</w:t>
            </w:r>
          </w:p>
        </w:tc>
        <w:tc>
          <w:tcPr>
            <w:tcW w:type="dxa" w:w="93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Amort.</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Impuestos</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Δ Circ.</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FCFF</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Fracción</w:t>
            </w:r>
          </w:p>
        </w:tc>
        <w:tc>
          <w:tcPr>
            <w:tcW w:type="dxa" w:w="78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3.514</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151</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88</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97</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0,24</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4.112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781</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109</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353</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329</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2028e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4.770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930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19,5 %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130</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378</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2029e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5.485</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1.097</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236</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155</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269</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423</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2030e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6.198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1.240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267</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180</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449</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2031e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6.880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1.376</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296</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323</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741</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471</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2032e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7.499</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224</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345</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833</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482</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2033e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8.024</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239</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369</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474</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2034e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8.425</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251</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379</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469</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2035e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8.720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1.744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20,0 %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375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260</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392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1.038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451</w:t>
            </w:r>
          </w:p>
        </w:tc>
      </w:tr>
    </w:tbl>
    <w:p>
      <w:pPr>
        <w:spacing w:after="160" w:before="0"/>
      </w:pPr>
    </w:p>
    <w:p>
      <w:pPr>
        <w:pStyle w:val="Nota"/>
        <w:spacing w:after="100"/>
      </w:pPr>
      <w:r>
        <w:t xml:space="preserve">FCFF = EBIT × (1 − t) + amortizaciones − capex − variación del circulante. «Fracción» es la parte del ejercicio que queda por delante desde la fecha de valoración; VA, el valor actual.</w:t>
      </w:r>
    </w:p>
    <w:p>
      <w:pPr>
        <w:keepNext w:val="false"/>
        <w:spacing w:after="160" w:before="120"/>
        <w:jc w:val="center"/>
      </w:pPr>
      <w:r>
        <w:drawing>
          <wp:inline xmlns:wp="http://schemas.openxmlformats.org/drawingml/2006/wordprocessingDrawing" distT="0" distB="0" distL="0" distR="0">
            <wp:extent cx="5760000" cy="2160000"/>
            <wp:effectExtent l="0" t="0" r="0" b="0"/>
            <wp:docPr id="1023" name="Gráfico 23" descr="Flujo de caja libre para la empresa proyectado (CHF,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3"/>
              </a:graphicData>
            </a:graphic>
          </wp:inline>
        </w:drawing>
      </w:r>
    </w:p>
    <w:p>
      <w:pPr>
        <w:pStyle w:val="Heading2"/>
      </w:pPr>
      <w:r>
        <w:t xml:space="preserve">Valor terminal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Método principal</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Crecimiento a perpetuidad</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a perpetuidad</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2,0 %</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Múltiplo EV/EBITDA de salida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11,0x</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terminal (Gordon)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13.217</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terminal (múltiplo)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19.184</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Múltiplo de salida implícito en Gordon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7,6x</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implícito en el múltiplo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4,36 %</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 del valor terminal en el valor empresa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58 %</w:t>
            </w:r>
          </w:p>
        </w:tc>
      </w:tr>
    </w:tbl>
    <w:p>
      <w:pPr>
        <w:spacing w:after="160" w:before="0"/>
      </w:pPr>
    </w:p>
    <w:p>
      <w:pPr>
        <w:pStyle w:val="Heading2"/>
      </w:pPr>
      <w:r>
        <w:t xml:space="preserve">Del valor empresa al valor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 los flujos proyectados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3.998</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del valor terminal</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5.475</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empresa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9.472</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 Deuda financiera neta (con arrendamientos)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643</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 Minoritarios, pensiones y otros; + asociadas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de los fondos propios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10.107</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Acciones diluidas (millones)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336,1</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Valor por acción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30,07</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24" name="Gráfico 24" descr="De dónde sale el valor empresa del DCF (CHF,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4"/>
              </a:graphicData>
            </a:graphic>
          </wp:inline>
        </w:drawing>
      </w:r>
    </w:p>
    <w:p>
      <w:pPr>
        <w:pStyle w:val="Heading2"/>
      </w:pPr>
      <w:r>
        <w:t xml:space="preserve">Sensibilidad: WACC × Crecimiento a perpetuidad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WACC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1,0 %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1,5 %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2,5 %</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3,0 %</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9,0 %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31,88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33,14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34,58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36,24</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38,18</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9,5 %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29,89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30,96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32,17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33,56</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35,16</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10,0 %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28,12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29,04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30,07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31,24</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32,58</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10,5 %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26,55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27,34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29,22</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30,35</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11,0 %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25,15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25,83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26,59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27,45</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28,40</w:t>
            </w:r>
          </w:p>
        </w:tc>
      </w:tr>
    </w:tbl>
    <w:p>
      <w:pPr>
        <w:spacing w:after="160" w:before="0"/>
      </w:pPr>
    </w:p>
    <w:p>
      <w:pPr>
        <w:pStyle w:val="Heading2"/>
      </w:pPr>
      <w:r>
        <w:t xml:space="preserve">Sensibilidad: margen EBITDA × crecimiento de ingresos (desplazamiento de toda la 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Margen \ crec.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0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 pp</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 pp</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23,75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24,87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26,06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27,30</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28,60</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25,52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26,76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29,44</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30,89</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0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27,28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28,64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30,07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31,58</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33,17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29,05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30,52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32,08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33,72</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35,46</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30,81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32,41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34,09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35,87</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37,74</w:t>
            </w:r>
          </w:p>
        </w:tc>
      </w:tr>
    </w:tbl>
    <w:p>
      <w:pPr>
        <w:spacing w:after="160" w:before="0"/>
      </w:pPr>
    </w:p>
    <w:p>
      <w:pPr>
        <w:pStyle w:val="Heading2"/>
      </w:pPr>
      <w:r>
        <w:t xml:space="preserve">DCF inverso: qué descuenta el precio actual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anual implícito en el precio (2027e-2035e)</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8,1 % (base: 10,7 %)</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Margen EBITDA final implícito</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18,2 % (base: 20,0 %)</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anual implícita (TIR al precio actual)</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11,1 % (WACC: 10,0 %)</w:t>
            </w:r>
          </w:p>
        </w:tc>
      </w:tr>
    </w:tbl>
    <w:p>
      <w:pPr>
        <w:spacing w:after="160" w:before="0"/>
      </w:pPr>
    </w:p>
    <w:p>
      <w:pPr>
        <w:spacing w:after="100"/>
      </w:pPr>
      <w:r>
        <w:t xml:space="preserve">El DCF da 30,07 CHF por acción (36,21 USD), un 13,6 % por encima del precio de 26,48 CHF. El rango con el WACC y el crecimiento terminal ± 0,5 puntos va de 27,34 a 33,56 CHF, y el valor terminal pesa el 58 %. Con la prima implícita del mercado (4,20 % [76]), el WACC baja al 7,91 % y el DCF sube a 41,36 CHF (37,99-45,37 CHF): la beta de 1,72 convierte 1,3 puntos menos de prima en 2,2 puntos menos de coste de capital. El DCF inverso es lo importante. Al precio actual el mercado descuenta un crecimiento medio de las ventas del 8,1 % anual en 2027-2035, frente al 10,7 % de nuestro caso base, o, con nuestro crecimiento, un margen EBITDA final del 18,2 % en lugar del 20,0 %. La rentabilidad implícita es del 11,1 % anual en CHF, algo por encima de nuestro WACC (10,01 %) y muy por encima del 7,9 % que hoy pide el mercado a una acción de esta beta. No es exigente para una empresa que crece un 24 % a divisa constante en el 1S26: el mercado ya no paga el plan de 2029.</w:t>
      </w:r>
    </w:p>
    <w:p>
      <w:pPr>
        <w:pStyle w:val="Heading1"/>
      </w:pPr>
      <w:r>
        <w:t xml:space="preserve">21. Escenarios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2"/>
        <w:gridCol w:w="649"/>
        <w:gridCol w:w="866"/>
        <w:gridCol w:w="866"/>
        <w:gridCol w:w="758"/>
        <w:gridCol w:w="866"/>
        <w:gridCol w:w="866"/>
        <w:gridCol w:w="3685"/>
      </w:tblGrid>
      <w:tr>
        <w:trPr>
          <w:cantSplit/>
          <w:tblHeader/>
        </w:trPr>
        <w:tc>
          <w:tcPr>
            <w:tcW w:type="dxa" w:w="10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Escenario</w:t>
            </w:r>
          </w:p>
        </w:tc>
        <w:tc>
          <w:tcPr>
            <w:tcW w:type="dxa" w:w="64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Prob.</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medio</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 final</w:t>
            </w:r>
          </w:p>
        </w:tc>
        <w:tc>
          <w:tcPr>
            <w:tcW w:type="dxa" w:w="7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WACC</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36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tiene que ocurrir</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Bajista</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17,0 %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18,18</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-31,3 %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On pierde el sitio de «la zapatilla que hay que tener», como le pasó a Under Armour y le está pasando a Lululemon: los mayoristas de EE. UU. siguen recortando pedidos, Nike recupera el running y el crecimiento cae a un dígito desde 2027. Para defender volumen, On hace rebajas y el margen EBITDA se queda tres puntos por debajo del plan (17 % NIIF).</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Base</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30,07</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+13,6 %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On cumple casi entero el plan de 2029 en divisa constante, pero el franco fuerte deja las ventas en CHF un 2 % por debajo del objetivo; la venta directa y Asia compensan a los mayoristas y el margen EBITDA NIIF llega al 20 % (≈ 22 % ajustado).</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Alcista</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13,7 %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22,0 %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10,0 %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39,72</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+50,0 %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Ropa, Asia y las nuevas categorías (fútbol, golf) suman crecimiento como hizo HOKA en 2021-2024; el dólar deja de restar y On supera el objetivo de 5.600 M CHF en 2029, con un margen EBITDA NIIF del 22 % gracias a la venta directa y a LightSpray.</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25" name="Gráfico 25" descr="Valor por acción por escenario (CHF) · precio actual 26,48"/>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5"/>
              </a:graphicData>
            </a:graphic>
          </wp:inline>
        </w:drawing>
      </w:r>
    </w:p>
    <w:p>
      <w:pPr>
        <w:spacing w:after="100"/>
      </w:pPr>
      <w:r>
        <w:rPr>
          <w:b/>
          <w:bCs/>
        </w:rPr>
        <w:t xml:space="preserve">Valor ponderado por probabilidad:</w:t>
      </w:r>
      <w:r>
        <w:t xml:space="preserve"> 29,51 CHF (+11,4 %).</w:t>
      </w:r>
    </w:p>
    <w:p>
      <w:pPr>
        <w:spacing w:after="100"/>
      </w:pPr>
      <w:r>
        <w:t xml:space="preserve">La asimetría es favorable pero no amplia: el alcista vale 39,72 CHF (+50,0 %) y el bajista 18,18 CHF (−31,3 %), una relación de 1,60 veces; el valor ponderado es de 29,51 CHF (+11,4 %). El bajista no es cosmético: es lo que han vivido Lululemon (margen operativo del 23,7 % al 19,9 % en un año) y Nike (ventas planas dos años) [39], y su pérdida (−31 %) se parece a la caída de la acción en lo que va de año. Compensa en el plazo de tres a cinco años; a doce meses, el precio depende de que los resultados del 3T y la guía de 2027 confirmen que el recorte de mayoristas es temporal.</w:t>
      </w:r>
    </w:p>
    <w:p>
      <w:pPr>
        <w:pStyle w:val="Heading1"/>
      </w:pPr>
      <w:r>
        <w:t xml:space="preserve">22. Suma de partes</w:t>
      </w:r>
    </w:p>
    <w:p>
      <w:pPr>
        <w:pStyle w:val="Confianza"/>
        <w:spacing w:after="100"/>
      </w:pPr>
      <w:r>
        <w:t xml:space="preserve">Confianza: Alta</w:t>
      </w:r>
    </w:p>
    <w:p>
      <w:pPr>
        <w:spacing w:after="100"/>
      </w:pPr>
      <w:r>
        <w:t xml:space="preserve">No aplica: On es una sola marca con un solo segmento NIIF 8; calzado, ropa y canales comparten producto, marca y costes, y no hay comparables puros por línea.</w:t>
      </w:r>
    </w:p>
    <w:p>
      <w:pPr>
        <w:spacing w:after="160" w:before="0"/>
      </w:pPr>
    </w:p>
    <w:p>
      <w:pPr>
        <w:pStyle w:val="Heading1"/>
      </w:pPr>
      <w:r>
        <w:t xml:space="preserve">23. Síntesis de valoración</w:t>
      </w:r>
    </w:p>
    <w:p>
      <w:pPr>
        <w:pStyle w:val="Confianza"/>
        <w:spacing w:after="100"/>
      </w:pPr>
      <w:r>
        <w:t xml:space="preserve">Confianza: Media</w:t>
      </w:r>
    </w:p>
    <w:p>
      <w:pPr>
        <w:keepNext w:val="false"/>
        <w:spacing w:after="160" w:before="120"/>
        <w:jc w:val="center"/>
      </w:pPr>
      <w:r>
        <w:drawing>
          <wp:inline xmlns:wp="http://schemas.openxmlformats.org/drawingml/2006/wordprocessingDrawing" distT="0" distB="0" distL="0" distR="0">
            <wp:extent cx="5760000" cy="2880000"/>
            <wp:effectExtent l="0" t="0" r="0" b="0"/>
            <wp:docPr id="1026" name="Gráfico 26" descr="Valor por acción según cada método (CHF) · precio actual 26,48"/>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6"/>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606"/>
        <w:gridCol w:w="1606"/>
        <w:gridCol w:w="1607"/>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Mínimo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Central</w:t>
            </w:r>
          </w:p>
        </w:tc>
        <w:tc>
          <w:tcPr>
            <w:tcW w:type="dxa" w:w="16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Máximo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Cotización 52 semanas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21,89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26,48</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42,42</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objetivo de los analistas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16,58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36,11</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59,37</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EV/EBITDA NTM</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17,87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19,53</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24,93</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PER NTM</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18,43</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28,15</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(WACC y g ± 0,5)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27,34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30,07</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33,56</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Escenarios (bajista – alcista)</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18,18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29,51</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39,72</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con la prima del mercado</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37,99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41,36</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45,37</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Precio actual</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26,35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26,48</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26,61</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30,07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+13,6 %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(mediana EV/EBITDA y PER)</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18,98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-28,3 %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Escenarios ponderados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29,51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+11,4 %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30 %</w:t>
            </w:r>
          </w:p>
        </w:tc>
      </w:tr>
    </w:tbl>
    <w:p>
      <w:pPr>
        <w:spacing w:after="160" w:before="0"/>
      </w:pPr>
    </w:p>
    <w:p>
      <w:pPr>
        <w:spacing w:after="100"/>
      </w:pPr>
      <w:r>
        <w:rPr>
          <w:b/>
          <w:bCs/>
        </w:rPr>
        <w:t xml:space="preserve">Valor objetivo ponderado:</w:t>
      </w:r>
      <w:r>
        <w:t xml:space="preserve"> 27,68 CHF (+4,5 % sobre 26,48).</w:t>
      </w:r>
    </w:p>
    <w:p>
      <w:pPr>
        <w:spacing w:after="100"/>
      </w:pPr>
      <w:r>
        <w:t xml:space="preserve">El DCF pesa el 50 % porque On es un crecedor con un plan explícito a 2029 y diez años de proyección captan mejor su valor que un múltiplo de un año. Los escenarios, el 30 %, para incorporar la asimetría; los comparables, solo el 20 %: ningún par combina el crecimiento, el margen bruto y la caja neta de On, y la regresión no explica los múltiplos (R² de 0,02). Sin transacciones verificadas ni suma de partes. La dispersión es grande: comparables 18,98 CHF (−28,3 %) y DCF 30,07 CHF (+13,6 %). El valor objetivo es de 27,68 CHF (33,33 USD), un 4,5 % sobre el precio; con la prima implícita del mercado (4,20 % [76]), 36,62 CHF (44,09 USD), un 38,3 %. El puente usa el balance a 30-jun-2026 (caja 1.205,6 M CHF, arrendamientos 562,5 M CHF, pensiones 8,1 M CHF) [7]; no incluye los aranceles a devolver (hasta 53 M CHF, 0,16 CHF por acción) [21].</w:t>
      </w:r>
    </w:p>
    <w:p>
      <w:r>
        <w:br w:type="page"/>
      </w:r>
    </w:p>
    <w:p>
      <w:pPr>
        <w:pStyle w:val="Parte"/>
      </w:pPr>
      <w:r>
        <w:t xml:space="preserve">Parte V — Tesis, riesgos y seguimiento</w:t>
      </w:r>
    </w:p>
    <w:p>
      <w:pPr>
        <w:pStyle w:val="Heading1"/>
      </w:pPr>
      <w:r>
        <w:t xml:space="preserve">24. Catalizadores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89"/>
        <w:gridCol w:w="3093"/>
        <w:gridCol w:w="3569"/>
        <w:gridCol w:w="832"/>
        <w:gridCol w:w="955"/>
      </w:tblGrid>
      <w:tr>
        <w:trPr>
          <w:cantSplit/>
          <w:tblHeader/>
        </w:trPr>
        <w:tc>
          <w:tcPr>
            <w:tcW w:type="dxa" w:w="11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30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Evento</w:t>
            </w:r>
          </w:p>
        </w:tc>
        <w:tc>
          <w:tcPr>
            <w:tcW w:type="dxa" w:w="356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se sabrá</w:t>
            </w:r>
          </w:p>
        </w:tc>
        <w:tc>
          <w:tcPr>
            <w:tcW w:type="dxa" w:w="8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Prob.</w:t>
            </w:r>
          </w:p>
        </w:tc>
        <w:tc>
          <w:tcPr>
            <w:tcW w:type="dxa" w:w="9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Sentido</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Mediados de nov-2026 (fecha por confirmar)</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Resultados del 3T26</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Primera prueba de la guía rebajada (~17 % a divisa constante) y cobro de la devolución de aranceles (hasta 53 M CHF) en el margen bruto [21].</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Oct-2026 a dic-2029</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Ejecución de la recompra de hasta 1.000 M USD</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Hasta el 9 % de la capitalización; apoyo al precio y compensación de la dilución de los planes [21].</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Principios de mar-2027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Resultados de 2026 y guía de 2027</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Si la guía de 2027 encaja con el «high-teens» del plan, se cierra la duda sobre los mayoristas; si queda por debajo, el plan de 2029 pierde credibilidad [21].</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Lanzamientos de running (SURREAL en el Cloudsurfer 3, Cloudboom Strike 2) y extensión de LightSpray</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Prueba de la innovación como motor de precio completo [6].</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Dic-2026 a 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Política comercial de EE. UU. tras la anulación de los aranceles IEEPA</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Nuevos aranceles sobre Vietnam (90 % del calzado) restarían margen bruto; su ausencia lo sumaría [1, 8].</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May-2027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Junta general de 2027</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Votos sobre la remuneración de los fundadores co-CEO y posible cambio de la moneda de presentación al USD [21, 50].</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r>
    </w:tbl>
    <w:p>
      <w:pPr>
        <w:spacing w:after="160" w:before="0"/>
      </w:pPr>
    </w:p>
    <w:p>
      <w:pPr>
        <w:pStyle w:val="Heading1"/>
      </w:pPr>
      <w:r>
        <w:t xml:space="preserve">25. Riesgos y pre-mortem</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9"/>
        <w:gridCol w:w="2095"/>
        <w:gridCol w:w="942"/>
        <w:gridCol w:w="628"/>
        <w:gridCol w:w="733"/>
        <w:gridCol w:w="1047"/>
        <w:gridCol w:w="1885"/>
        <w:gridCol w:w="1889"/>
      </w:tblGrid>
      <w:tr>
        <w:trPr>
          <w:cantSplit/>
          <w:tblHeader/>
        </w:trPr>
        <w:tc>
          <w:tcPr>
            <w:tcW w:type="dxa" w:w="4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Riesgo</w:t>
            </w:r>
          </w:p>
        </w:tc>
        <w:tc>
          <w:tcPr>
            <w:tcW w:type="dxa" w:w="9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6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Prob.</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Impacto</w:t>
            </w:r>
          </w:p>
        </w:tc>
        <w:tc>
          <w:tcPr>
            <w:tcW w:type="dxa" w:w="10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Efecto en valor</w:t>
            </w:r>
          </w:p>
        </w:tc>
        <w:tc>
          <w:tcPr>
            <w:tcW w:type="dxa" w:w="1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Mitigante</w:t>
            </w:r>
          </w:p>
        </w:tc>
        <w:tc>
          <w:tcPr>
            <w:tcW w:type="dxa" w:w="18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Señal de alerta</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Pérdida de atractivo de la marca (ciclo de moda)</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Negocio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−31 % (escenario bajista)</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Innovación propia (CloudTec, LightSpray), atletas y precio completo; margen bruto del 64,8 %.</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Venta directa a divisa constante por debajo del 20 % o rebajas en las tiendas propias.</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Debilidad del canal mayorista en EE. UU. y concentración de clientes</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Comercial</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−9 % (−2 pp de crecimiento cada año)</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Venta directa ya en el 45,7 % del 2T26; recorte voluntario de entregas para limpiar el canal.</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Mayoristas por debajo del 10 % a divisa constante en el 3T y 4T26; peso del mayor cliente por encima del 12 %.</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Divisa: USD débil frente al CHF</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Financiero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 a −10 % por cada 10 % de caída del USD (estimación propia)</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Moneda funcional USD desde 2026 (menos diferencias de cambio); precios locales.</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USD/CHF por debajo de 0,78.</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Aranceles y concentración de la fabricación en Vietnam</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Regulatorio / suministro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−7 % (−1 pp de margen EBITDA)</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Precio completo; margen bruto ya por encima del 65 % con el 20 % recíproco absorbido; Indonesia como segunda fuente.</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Nuevos aranceles sobre Vietnam tras la anulación de los IEEPA.</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Gobierno: control de voto de los fundadores, cúpula nueva y ventas de exdirectivos</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Gobierno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Prima de riesgo de 0,5 pp en el WACC (≈ −6 %)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 independiente coordinadora desde sep-2026; las A eligen un consejero.</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Rotación del nuevo CFO o del COO; remuneración por encima del máximo aprobado otra vez.</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6</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Ejecución de la expansión (ropa, fútbol, golf, tiendas propias)</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Estrategia</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−7 % (−1 pp de margen)</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Crecimiento de la ropa del 47,7 % en el 2T26; tiendas propias rentables según la empresa.</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Gastos generales sin ganar apalancamiento en 2027; ropa por debajo del 10 % de las ventas en 2028.</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7</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Competencia de Nike y de otras insurgentes (HOKA, Asics) en running</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Competencia</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−9 % (−2 pp de crecimiento)</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Diferenciación de producto y presencia en Asia.</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HOKA o Asics creciendo más que On en EE. UU.; Nike recuperando cuota en running.</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8</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Calidad de las métricas ajustadas e impuestos</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Contable</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Baja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Bajo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−3 %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Auditoría sin salvedades; control interno efectivo desde 2023.</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Tipo impositivo normalizado por encima del 20 %; remuneración en acciones por encima del 3 % de las ventas.</w:t>
            </w:r>
          </w:p>
        </w:tc>
      </w:tr>
    </w:tbl>
    <w:p>
      <w:pPr>
        <w:spacing w:after="160" w:before="0"/>
      </w:pPr>
    </w:p>
    <w:p>
      <w:pPr>
        <w:pStyle w:val="Heading2"/>
      </w:pPr>
      <w:r>
        <w:t xml:space="preserve">Pre-mortem</w:t>
      </w:r>
    </w:p>
    <w:p>
      <w:pPr>
        <w:spacing w:after="100"/>
      </w:pPr>
      <w:r>
        <w:t xml:space="preserve">Octubre de 2029: la acción vale un 40 % menos. Empezó con los mayoristas. El recorte de entregas de 2026, que se vendió como disciplina, escondía una demanda más floja en EE. UU.: el 3T26 creció un 14 % a divisa constante, menos del 17 % previsto, y la guía de 2027 llegó en el «mid-teens». Nike relanzó su running con espumas nuevas y rebajas, y HOKA y Asics llenaron el espacio de las tiendas especializadas. Para no perder volumen, On amplió las rebajas en sus propias tiendas y el margen bruto volvió al 60 %. Mientras, el dólar siguió cayendo frente al franco y el crecimiento en CHF bajó a un dígito. La cúpula nueva tampoco ayudó: el CFO externo salió en 2028 y la remuneración de los fundadores volvió a superar el máximo aprobado. Con el crecimiento en un dígito, el mercado empezó a valorar On como a Lululemon, a 6-8x EBITDA. Las señales estaban a la vista: el crecimiento de la venta directa por debajo del 20 % a divisa constante, el peso del mayor cliente por encima del 12 % y la ropa sin pasar del 10 % de las ventas.</w:t>
      </w:r>
    </w:p>
    <w:p>
      <w:pPr>
        <w:pStyle w:val="Heading1"/>
      </w:pPr>
      <w:r>
        <w:t xml:space="preserve">26. ESG y controversias</w:t>
      </w:r>
    </w:p>
    <w:p>
      <w:pPr>
        <w:pStyle w:val="Confianza"/>
        <w:spacing w:after="100"/>
      </w:pPr>
      <w:r>
        <w:t xml:space="preserve">Confianza: Baja</w:t>
      </w:r>
    </w:p>
    <w:p>
      <w:pPr>
        <w:spacing w:after="160" w:before="0"/>
      </w:pPr>
    </w:p>
    <w:p>
      <w:pPr>
        <w:pStyle w:val="Heading2"/>
      </w:pPr>
      <w:r>
        <w:t xml:space="preserve">Asuntos materiales</w:t>
      </w:r>
    </w:p>
    <w:p>
      <w:pPr>
        <w:spacing w:after="100"/>
      </w:pPr>
      <w:r>
        <w:t xml:space="preserve">Los asuntos que mueven las cifras son tres. El primero es la cadena de suministro: el 90 % del calzado se fabrica en Vietnam y seis proveedores hacen el 70 % de la producción, así que el control de condiciones laborales y el riesgo de retenciones por trabajo forzoso (CBP) afectan a ventas y reputación [1]. El segundo, las emisiones: On tiene objetivos de reducción validados por la SBTi, y casi todas sus emisiones son de alcance 3 (materiales y fabricación de terceros); incumplirlos tendría coste de reputación [1]. El tercero, los materiales: On usa poliéster y poliamida reciclados y de origen biológico, y la volatilidad del petróleo pesa en el coste [1]. No he encontrado cuantificación del coste de cumplimiento en las cuentas.</w:t>
      </w:r>
    </w:p>
    <w:p>
      <w:pPr>
        <w:pStyle w:val="Heading2"/>
      </w:pPr>
      <w:r>
        <w:t xml:space="preserve">Controversias</w:t>
      </w:r>
    </w:p>
    <w:p>
      <w:pPr>
        <w:spacing w:after="100"/>
      </w:pPr>
      <w:r>
        <w:t xml:space="preserve">No hay demandas colectivas de valores contra On Holding AG ni sanciones relevantes en los últimos tres años, según el 20-F 2025 (sin litigios materiales) y la revisión de CourtListener [1, 46]. Hay un pleito aduanero de On Inc. contra EE. UU. por los aranceles IEEPA (CIT, 2026) y una demanda colectiva de consumo en Oregón (Norberg v. On Inc., may-2026), cuyo objeto no he verificado [46].</w:t>
      </w:r>
    </w:p>
    <w:p>
      <w:pPr>
        <w:pStyle w:val="Heading1"/>
      </w:pPr>
      <w:r>
        <w:t xml:space="preserve">27. Preguntas abiertas para la dirección y la due diligence</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8"/>
        <w:gridCol w:w="1585"/>
        <w:gridCol w:w="4392"/>
        <w:gridCol w:w="3173"/>
      </w:tblGrid>
      <w:tr>
        <w:trPr>
          <w:cantSplit/>
          <w:tblHeader/>
        </w:trPr>
        <w:tc>
          <w:tcPr>
            <w:tcW w:type="dxa" w:w="4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w:t>
            </w:r>
          </w:p>
        </w:tc>
        <w:tc>
          <w:tcPr>
            <w:tcW w:type="dxa" w:w="15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Tema</w:t>
            </w:r>
          </w:p>
        </w:tc>
        <w:tc>
          <w:tcPr>
            <w:tcW w:type="dxa" w:w="439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Pregunta</w:t>
            </w:r>
          </w:p>
        </w:tc>
        <w:tc>
          <w:tcPr>
            <w:tcW w:type="dxa" w:w="31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Por qué importa</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Mayoristas</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¿Cuánto inventario de On hay en el canal mayorista de EE. UU. (semanas de cobertura) y cuánto del recorte de entregas del 2T26 corresponde al mayor cliente?</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mayor cliente pesa el 11,6 % de las ventas y la rebaja de la guía viene de ahí: separa un ajuste puntual de una pérdida de demanda.</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Plan 2029</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tipo de cambio USD/CHF supone el objetivo de 5.600 M CHF y cuánto aportan fútbol y golf?</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Mi caso base queda un 2 % por debajo por la divisa; el valor es muy sensible a ese supuesto.</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Margen</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margen bruto y qué margen EBITDA tienen las tiendas propias frente a la web y a los mayoristas?</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paso a la venta directa es la palanca del margen del plan; sin el margen por canal no se puede comprobar.</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Remuneración en acciones</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qué excluir de las métricas, y del variable, un gasto recurrente del 2 % de las ventas? ¿Cuál será la dilución neta con la recompra?</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Explica la diferencia entre el EBITDA ajustado y el NIIF y si la recompra crea valor o solo compensa planes.</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Divisa de presentación</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¿Cuándo y por qué se cambiará la moneda de presentación al USD, y cómo afectará a las coberturas y a los covenants?</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Cambia la comparación histórica y la lectura del crecimiento.</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6</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Gobierno</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plan de sucesión hay para los co-CEO fundadores y qué papel tendrá la consejera independiente coordinadora en la remuneración?</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Dos cambios de primer ejecutivo en 24 meses y control de voto de los fundadores.</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7</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Aranceles</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¿Qué parte de los 55,6 M CHF de aranceles IEEPA está cobrada y qué arancel nuevo sobre Vietnam incorpora la guía de 2027?</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Mueve 1,5 puntos de margen bruto en 2026 y el margen de 2027.</w:t>
            </w:r>
          </w:p>
        </w:tc>
      </w:tr>
    </w:tbl>
    <w:p>
      <w:pPr>
        <w:spacing w:after="160" w:before="0"/>
      </w:pPr>
    </w:p>
    <w:p>
      <w:r>
        <w:br w:type="page"/>
      </w:r>
    </w:p>
    <w:p>
      <w:pPr>
        <w:pStyle w:val="Parte"/>
      </w:pPr>
      <w:r>
        <w:t xml:space="preserve">Anexos</w:t>
      </w:r>
    </w:p>
    <w:p>
      <w:pPr>
        <w:pStyle w:val="Heading1"/>
      </w:pPr>
      <w:r>
        <w:t xml:space="preserve">A. Controles de calidad del análisis</w:t>
      </w:r>
    </w:p>
    <w:p>
      <w:pPr>
        <w:spacing w:after="100"/>
      </w:pPr>
      <w:r>
        <w:t xml:space="preserve">14 de 17 controles correctos. Fuentes: 76 (62 primarias); citas distintas en el texto: 72.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5"/>
        <w:gridCol w:w="1126"/>
        <w:gridCol w:w="4507"/>
      </w:tblGrid>
      <w:tr>
        <w:trPr>
          <w:cantSplit/>
          <w:tblHeader/>
        </w:trPr>
        <w:tc>
          <w:tcPr>
            <w:tcW w:type="dxa" w:w="40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Control</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Resultado</w:t>
            </w:r>
          </w:p>
        </w:tc>
        <w:tc>
          <w:tcPr>
            <w:tcW w:type="dxa" w:w="45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Detalle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Tipo impositivo efectivo razonable (2023)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Revisar</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-15,2 %: explica la causa (créditos fiscales, regularizaciones, mezcla de países) y no lo proyectes en el DCF.</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Tipo impositivo efectivo razonable (2025)</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Revisar</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0,7 %: explica la causa (créditos fiscales, regularizaciones, mezcla de países) y no lo proyectes en el DCF.</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Geografías suman 100 %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DCF inverso calculable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Circulante del primer año de proyección ≈ último real</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Supuesto 19,0 % frente a 18,9 % real: genera una variación de circulante de 97 M en el primer año. Converge de forma gradual.</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 del valor terminal ≤ 80 % del valor empresa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58 %.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Crecimiento a perpetuidad ≤ 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2,00 %.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Probabilidades de los escenarios suman 100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Regresión múltiplo-crecimiento explicativa (R² ≥ 0,3)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Revisar</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R² = 0,02: el crecimiento no explica los múltiplos de estos comparables; no uses el valor de la regresión.</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5 comparables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comparables.</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Pesos de la síntesis suman 100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Recomendación coherente con la regla de decisión</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Capitalización calculada ≈ publicada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25 fuentes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76 fuentes (62 primarias).</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10 fuentes primarias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62.</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Toda cita [n] existe en fuentes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Fuentes sin citar ≤ 15 %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Sin citar: 10, 25, 66, 67.</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28"/>
        <w:gridCol w:w="2410"/>
      </w:tblGrid>
      <w:tr>
        <w:trPr>
          <w:cantSplit/>
          <w:tblHeader/>
        </w:trPr>
        <w:tc>
          <w:tcPr>
            <w:tcW w:type="dxa" w:w="72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 de fuente</w:t>
            </w:r>
          </w:p>
        </w:tc>
        <w:tc>
          <w:tcPr>
            <w:tcW w:type="dxa" w:w="24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Número</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Primaria</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Sectorial</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Datos de mercado</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Prensa</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w:t>
            </w:r>
          </w:p>
        </w:tc>
      </w:tr>
    </w:tbl>
    <w:p>
      <w:pPr>
        <w:spacing w:after="160" w:before="0"/>
      </w:pPr>
    </w:p>
    <w:p>
      <w:pPr>
        <w:pStyle w:val="Heading2"/>
      </w:pPr>
      <w:r>
        <w:t xml:space="preserve">B. Información no disponible</w:t>
      </w:r>
    </w:p>
    <w:p>
      <w:pPr>
        <w:spacing w:after="100"/>
      </w:pPr>
      <w:r>
        <w:t xml:space="preserve">Cuando un dato no aparece tras tres búsquedas distintas, el análisis lo deja fuera en lugar de estimarlo sin base. Las secciones de núcleo que faltan se avisan también en el resumen.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3"/>
        <w:gridCol w:w="2225"/>
      </w:tblGrid>
      <w:tr>
        <w:trPr>
          <w:cantSplit/>
          <w:tblHeader/>
        </w:trPr>
        <w:tc>
          <w:tcPr>
            <w:tcW w:type="dxa" w:w="74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Sección no incluida</w:t>
            </w:r>
          </w:p>
        </w:tc>
        <w:tc>
          <w:tcPr>
            <w:tcW w:type="dxa" w:w="22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Tipo</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19. Transacciones precedentes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50"/>
        <w:gridCol w:w="1994"/>
        <w:gridCol w:w="997"/>
        <w:gridCol w:w="3766"/>
        <w:gridCol w:w="1331"/>
      </w:tblGrid>
      <w:tr>
        <w:trPr>
          <w:cantSplit/>
          <w:tblHeader/>
        </w:trPr>
        <w:tc>
          <w:tcPr>
            <w:tcW w:type="dxa" w:w="15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Sección</w:t>
            </w:r>
          </w:p>
        </w:tc>
        <w:tc>
          <w:tcPr>
            <w:tcW w:type="dxa" w:w="199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Dato que falta</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Tipo</w:t>
            </w:r>
          </w:p>
        </w:tc>
        <w:tc>
          <w:tcPr>
            <w:tcW w:type="dxa" w:w="37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Las tres búsquedas</w:t>
            </w:r>
          </w:p>
        </w:tc>
        <w:tc>
          <w:tcPr>
            <w:tcW w:type="dxa" w:w="13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Decisión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trimestres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vs_consenso (8 trimestres)</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 notas de prensa y MD&amp;A de los 6-K trimestrales: no citan consenso; 2) búsqueda web de prensa económica con la cifra de consenso previa a cada resultado: la herramienta de búsqueda devolvió error de límite de sesión; 3) no hay otro proveedor de consenso abierto accesible desde esta máquina sin servicios de pago</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negocio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kpis: puntos de venta mayoristas (doors)</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 20-F 2021-2025, búsqueda de 'doors', 'points of sale', 'wholesale partners' con cifra: solo frases cualitativas; 2) notas de prensa del Investor Day 2023 y 2026: sin cifra; 3) notas de prensa trimestrales 2021-2026: sin cifra</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flujos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Definición de flujo de caja libre de la empresa</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20-F 2025, sección Non-IFRS Measures: no define FCF; 2) nota de prensa del Investor Day 2026: cita 'Free Cash Flow' como medida no NIIF sin definirla ni cuantificarla; 3) la presentación del Investor Day 2026 no está en EDGAR (el 6-K solo lleva el anexo 99.1) y la búsqueda web no estuvo disponible</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Calculado y marcado como estimación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calidad</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Cambio de divisa de presentación anunciado en el Investor Day 2026</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nota de prensa del Investor Day 2026: solo lo menciona entre las declaraciones prospectivas ('anticipated change and impact of our reporting currency'), sin fecha ni divisa; 2) 20-F 2025, nota 6.6: cambia la moneda FUNCIONAL a USD desde el 1-ene-2026 y dice que la de presentación sigue siendo CHF; 3) estados intermedios de jun-26, nota 1.2: repite que la presentación sigue en CHF</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balance</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coste_deuda_pct, vida_media_anios, vencimientos</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nota 4.3/5.4 del 20-F 2025: sin deuda financiera desde 2021; 2) estados de jun-26, nota 4.3: línea de 700 M sin disponer; 3) no hay bonos ni préstamos de los que derivarlo; solo hay comisiones de disponibilidad (7,6 M en 2025)</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esg</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calificaciones (MSCI, Sustainalytics, CDP, ISS)</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20-F 2025 e informe anual: no publican calificaciones de terceros; 2) páginas públicas de MSCI y Sustainalytics: requieren registro o cargan por JavaScript; 3) el subagente que lo buscaba se cortó por límite de uso sin dejar notas, y no hubo tiempo de repetirlo</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sector</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cr5_pct (cuota de los cinco primeros)</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Grand View Research: mide el mercado de calzado, pero no da cuotas en la parte abierta; 2) McKinsey/WFSGI: no publica cuotas en el resumen público; 3) derivarlo con las ventas de Nike, adidas, Puma, Asics y Skechers sobre la serie de calzado mezclaría ropa y equipamiento con calzado</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competencia</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cuota_pct de cada competidor</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informes anuales de los competidores: no publican cuota; 2) fuentes sectoriales abiertas: sin cuotas por marca; 3) derivarla sobre la serie de calzado mezclaría perímetros (Nike, adidas y Lululemon venden mucha ropa)</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competencia</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New Balance y Brooks (privadas)</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New Balance: no publica cuentas; la cifra de prensa (CNBC, feb-2026) da ventas, no margen; 2) Brooks: el 10-K de Berkshire 2025 no la desglosa del segmento de bienes de consumo; 3) Skechers: privatizada en sep-2025, su último 10-K es de 2024</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directivos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equipo.participacion_pct de Frank Sluis y Scott Maguire</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20-F 2025, Item 7.A: no figuran, porque entraron en la dirección en 2026; 2) EDGAR: no hay 13G/13D ni Form 144 a su nombre; 3) informe de remuneración 2025 y web de relación con inversores: no publican su participación</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accionistas: Roger Federer, Capital Group y Baillie Gifford</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20-F 2025, Item 7.A: no superan el 5 %; 2) los 13G y 13G/A de EDGAR desde 2024: ninguno de ellos presenta; 3) registros 13F y prensa: WebSearch sin servicio en la sesión y 13F no consultado (los agregadores son de pago)</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insiders: ejecución de las ventas avisadas por los tres fundadores el 6-mar-2026 y por Hoffmann el 1-oct-2026</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primary_doc.xml de cada Form 144: solo anuncian la venta prevista; 2) apartado de ventas de los tres meses anteriores en los 144 posteriores: los fundadores no han presentado ninguno después, y los de Hoffmann llegan solo hasta el 10-ago-2026; 3) 13G/A de los fundadores a 30-jun-2026: da tenencias, no operaciones</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Calculado y marcado como estimación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remuneracion: si Hoffmann perdió los CHF 5 M en RSU de 2025 al irse en 2026</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20-F 2025 e informe de remuneración 2025: anteriores a la salida; 2) 6-K del 25-mar-2026 y Enmienda n.º 1 al pacto: no lo tratan; 3) 6-K del 1T y 2T 2026: sin datos individuales</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consejo.desde de David Allemann (fecha de entrada en el consejo)</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20-F 2025, Item 6: solo dice copresidente ejecutivo desde abril de 2021; 2) 20-F 2021: igual, y antes «Global Branding and Marketing Director» desde 2010; 3) web de relación con inversores: no da la fecha</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Calculado y marcado como estimación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transacciones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Sección entera (operaciones con múltiplo publicado)</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Fuente primaria: 8-K de cierre de la compra de Skechers por 3G Capital (12-sep-2025): da el precio por acción y la financiación, no el valor empresa ni los múltiplos; 2) otra vía: proveedores gratuitos (MarketScreener, Stock Analysis) no publican múltiplos de transacciones y el subagente que buscaba las notas de prensa de Amer Sports/Anta, Reebok/ABG y Birkenstock/L Catterton se cortó por límite de uso sin dejar notas; 3) derivarlo: habría que reconstruir el valor empresa de cada operación con balances de la fecha, sin tiempo de verificarlo en dos fuentes</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identificacion</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proximos_resultados (fecha de los resultados del 3T26)</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Web de relación con inversores de On (eventos): no publica aún la fecha; 2) Stock Analysis y MarketScreener: sin fecha confirmada; 3) referencia histórica: el 3T25 se publicó el 12-nov-2025, así que se espera a mediados de noviembre de 2026</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multiplos_historicos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ev_ebitda_ntm y per_ntm históricos</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MarketScreener, página de valoración: solo los múltiplos sobre el ejercicio estimado actual; 2) Stock Analysis: el «forward PE» histórico por año de la página de previsiones usa BPA ajustado y está detrás de la suscripción para 2027-2028; 3) reconstruirlo exigiría el consenso histórico a cada cierre, que no es gratuito</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consenso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revisiones de BPA y EBITDA a 3 y 12 meses</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MarketScreener, revisiones: barras de puntuación relativa sin cifras; 2) Stock Analysis: historial de estimaciones solo con suscripción; 3) titulares de cambios de precio objetivo (MarketScreener y Stock Analysis): usados como aproximación cualitativa</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Calculado y marcado como estimación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trimestres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Transcripciones de las conferencias con analistas (4T25, 1T26, 2T26)</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EDGAR: los 6-K solo incluyen notas de prensa y MD&amp;A, no transcripciones; 2) web de relación con inversores: webcast en vídeo, sin texto; 3) agregadores de transcripciones (Seeking Alpha, Motley Fool): de pago o con registro</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bl>
    <w:p>
      <w:pPr>
        <w:spacing w:after="160" w:before="0"/>
      </w:pPr>
    </w:p>
    <w:p>
      <w:pPr>
        <w:pStyle w:val="Heading1"/>
      </w:pPr>
      <w:r>
        <w:t xml:space="preserve">Fuentes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
        <w:gridCol w:w="3336"/>
        <w:gridCol w:w="1390"/>
        <w:gridCol w:w="926"/>
        <w:gridCol w:w="926"/>
        <w:gridCol w:w="2597"/>
      </w:tblGrid>
      <w:tr>
        <w:trPr>
          <w:cantSplit/>
          <w:tblHeader/>
        </w:trPr>
        <w:tc>
          <w:tcPr>
            <w:tcW w:type="dxa" w:w="4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Ref.</w:t>
            </w:r>
          </w:p>
        </w:tc>
        <w:tc>
          <w:tcPr>
            <w:tcW w:type="dxa" w:w="33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Documento</w:t>
            </w:r>
          </w:p>
        </w:tc>
        <w:tc>
          <w:tcPr>
            <w:tcW w:type="dxa" w:w="13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Editor</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25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Enlace</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Form 20-F 2025 (informe anual con estados financieros auditados)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On Holding AG /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3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https://www.sec.gov/Archives/edgar/data/1858985/000185898526000008/onholdingag-20251231.htm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Form 20-F 2024</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On Holding AG /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4 mar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https://www.sec.gov/Archives/edgar/data/1858985/000185898525000003/onholdingag-20241231.htm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Form 20-F 2023</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On Holding AG /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 mar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https://www.sec.gov/Archives/edgar/data/1858985/000185898524000012/onholdingag-20231231.htm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Form 20-F 2022</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On Holding AG /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21 mar 2023</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https://www.sec.gov/Archives/edgar/data/1858985/000185898523000011/onholdingag-20221231.htm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Form 20-F 2021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On Holding AG /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18 mar 2022</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https://www.sec.gov/Archives/edgar/data/1858985/000185898522000006/onholdingag-20211231.htm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On Reports Results for the Second Quarter and Six-Month Period Ended June 30, 2026 (6-K, ex. 99.3)</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On Holding AG /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11 ago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https://www.sec.gov/Archives/edgar/data/1858985/000185898526000018/a26q2-ex993xpressrelease.htm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Unaudited interim condensed consolidated financial statements, June 30, 2026 (6-K)</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On Holding AG /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11 ago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https://www.sec.gov/Archives/edgar/data/1858985/000185898526000018/onholdingag-20260630_d2.htm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Management's Discussion and Analysis, Q2 2026 (6-K, ex. 99.2)</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On Holding AG /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11 ago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https://www.sec.gov/Archives/edgar/data/1858985/000185898526000018/a26q2-exhibit992xmda.htm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On Reports Results for the First Quarter Ended March 31, 2026 (6-K, ex. 99.1)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On Holding AG /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 may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https://www.sec.gov/Archives/edgar/data/1858985/000185898526000014/a26q1-ex991xpressrelease.htm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Management's Discussion and Analysis, Q1 2026 (6-K, ex. 99.2)</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On Holding AG /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 may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https://www.sec.gov/Archives/edgar/data/1858985/000185898526000014/a26q1-exhibit992xmda.htm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On Announces Fourth Quarter and Full Year Results 2025 (6-K, ex. 99.1)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On Holding AG /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https://www.sec.gov/Archives/edgar/data/1858985/000185898526000010/ex991pressreleasedatedmarc.htm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On Reports Results for the Third Quarter 2025 (6-K, ex. 99.1)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On Holding AG /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 nov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https://www.sec.gov/Archives/edgar/data/1858985/000185898525000015/a25q3-ex991xpressrelease.htm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Management's Discussion and Analysis, Q3 2025 (6-K, ex. 99.2)</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On Holding AG /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 nov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https://www.sec.gov/Archives/edgar/data/1858985/000185898525000015/a25q3-exhibit992xmda.htm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On Reports Results for the Second Quarter 2025 (6-K, ex. 99.3)</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On Holding AG /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 ago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https://www.sec.gov/Archives/edgar/data/1858985/000185898525000012/a25q2-ex993xpressrelease.htm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On Reports Results for the First Quarter 2025 (6-K, ex. 99.1)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On Holding AG /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13 may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https://www.sec.gov/Archives/edgar/data/1858985/000185898525000008/a25q1-ex991xpressrelease.htm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On Announces Fourth Quarter and Full Year Results 2024 (6-K, ex. 99.1)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On Holding AG /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4 mar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https://www.sec.gov/Archives/edgar/data/1858985/000185898525000005/ex991pressreleasedatedmarc.htm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On Reports Results for the Third Quarter 2024 (6-K, ex. 99.1)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On Holding AG /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 nov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https://www.sec.gov/Archives/edgar/data/1858985/000185898524000029/a24q3-ex991xpressrelease.htm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On Reports Results for the Second Quarter 2024 (6-K, ex. 99.3)</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On Holding AG /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13 ago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https://www.sec.gov/Archives/edgar/data/1858985/000185898524000024/a24q2-ex993xpressrelease.htm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On Reports Results for the First Quarter 2024 (6-K, ex. 99.1)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On Holding AG /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14 may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https://www.sec.gov/Archives/edgar/data/1858985/000185898524000020/a24q1-ex991xpressrelease.htm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On Announces Fourth Quarter and Full Year Results 2023 (6-K, ex. 99.1)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On Holding AG /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 mar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https://www.sec.gov/Archives/edgar/data/1858985/000185898524000014/ex991pressreleasedatedmarc.htm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On Enters Next Chapter: Investor Day 2026 and 2029 Financial Targets (6-K, ex. 99.1)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On Holding AG /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22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https://www.sec.gov/Archives/edgar/data/1858985/000185898526000021/exhibit991oninvestorday202.htm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On Investor Day 2023 press release (6-K)</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On Holding AG /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4 oct 2023</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https://www.sec.gov/Archives/edgar/data/1858985/000185898523000045/oninvestorday2023-pressrel.htm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On Enters into Credit Facility Agreement (6-K)</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On Holding AG /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jul 2023</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https://www.sec.gov/Archives/edgar/data/1858985/000185898523000038/form6-kxcreditfalicityagre.htm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CHF 700,000,000 Multicurrency Revolving Facility Agreement (anexo 4.19 del 20-F 2023)</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On Holding AG /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 mar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https://www.sec.gov/Archives/edgar/data/1858985/000185898524000012/exhibit419_chf700000000m.htm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On Announces Appointment of New Chief Financial Officer (6-K)</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On Holding AG /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28 ene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https://www.sec.gov/Archives/edgar/data/1858985/000185898526000003/exhibit991_pressrelease.htm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On Co-Founders to Lead Next Chapter of Growth as Co-CEOs (6-K)</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On Holding AG /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25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https://www.sec.gov/Archives/edgar/data/1858985/000095010326004606/dp244091_ex9901.htm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Invitation to the Annual General Meeting 2026 (6-K, ex. 99.1)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On Holding AG /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17 abr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https://www.sec.gov/Archives/edgar/data/1858985/000095010326005884/dp245359_ex9901.htm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Third Quarter 2021 results press release (6-K)</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On Holding AG /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16 nov 2021</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https://www.sec.gov/Archives/edgar/data/1858985/000185898521000004/a991pressreleasedatednovem.htm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FY 2021 and Q4 results press release (6-K)</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On Holding AG /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18 mar 2022</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https://www.sec.gov/Archives/edgar/data/1858985/000185898522000008/a991pressreleasedatedmarch.htm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Q1 2022 results press release (6-K)</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On Holding AG /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17 may 2022</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https://www.sec.gov/Archives/edgar/data/1858985/000185898522000016/a22q1-pressrelease.htm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Q2 2022 results press release (6-K)</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On Holding AG /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16 ago 2022</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https://www.sec.gov/Archives/edgar/data/1858985/000185898522000020/a22q2-pressrelease.htm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Q3 2022 results press release (6-K)</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On Holding AG /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16 nov 2022</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https://www.sec.gov/Archives/edgar/data/1858985/000185898522000025/a22q3-pressrelease.htm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FY 2022 results press release (6-K)</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On Holding AG /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21 mar 2023</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https://www.sec.gov/Archives/edgar/data/1858985/000185898523000015/a991pressreleasedatedmarch.htm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Q1 2023 results press release (6-K)</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On Holding AG /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16 may 2023</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https://www.sec.gov/Archives/edgar/data/1858985/000185898523000034/a23q1-ex991xpressrelease.htm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Q2 2023 results press release (6-K)</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On Holding AG /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15 ago 2023</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https://www.sec.gov/Archives/edgar/data/1858985/000185898523000042/a23q2-ex993xpressrelease.htm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Q3 2023 results press release (6-K)</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On Holding AG /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14 nov 2023</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https://www.sec.gov/Archives/edgar/data/1858985/000185898523000052/a23q3-ex991xpressrelease.htm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Description of securities (anexo 2.1 del 20-F 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On Holding AG /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https://www.sec.gov/Archives/edgar/data/1858985/000185898526000008/exhibit21_descriptionofsec.htm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adidas Annual Report 2025: income statement and sporting goods industry development</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adidas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4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https://www.adidas-group.com/en/investors/financial-reports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NIKE, Inc. Form 10-K, fiscal 2026 (ejercicio cerrado el 31-may-2026)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NIKE, Inc. /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23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https://www.sec.gov/cgi-bin/browse-edgar?action=getcompany&amp;CIK=0000320187&amp;type=10-K</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On Holding AG, MD&amp;A del primer trimestre de 2025 (6-K, Exhibit 99.2): política de precios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On Holding AG /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13 may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https://www.sec.gov/Archives/edgar/data/1858985/000185898525000008/a25q1-exhibit992xmda.htm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Athletic Footwear Market Size, Share &amp; Trends Analysis Report, 2024-2030</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Grand View Research</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https://www.grandviewresearch.com/industry-analysis/athletic-footwear-market-report</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Sporting goods industry growth to slow, new report finds (McKinsey/WFSGI, Sporting Goods 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SGI News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https://sginews.com/Content/sporting-goods-industry-growth-to-slow-new-report-finds.aspx</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PUMA Annual Report 2025: economic conditions and year-on-year results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PUMA SE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https://annual-report.puma.com/2025/en/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ASICS Corporation: Consolidated financial results FY2025 (summary)</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ASICS Corporation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https://corp.asics.com/en/investor_relations/library/financial_results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Tipos de cambio de referencia del euro (USD y CHF) a los cierres de 2024 y 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Banco Central Europeo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31 dic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https://data.ecb.europa.eu/data/datasets/EXR</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CourtListener (RECAP): expedientes con «On Holding AG» y «On Inc.»</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Free Law Project</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https://www.courtlistener.com/?q=%22On+Holding+AG%22</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Compensation Report 2025 (6-K, anexo 99.2)</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On Holding AG /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https://www.sec.gov/Archives/edgar/data/1858985/000185898526000010/ex992_compensationreport.htm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Amendment No. 1 to the Shareholders' Agreement (6-K, anexo 99.2)</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On Holding AG /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23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https://www.sec.gov/Archives/edgar/data/1858985/000095010326004606/dp244091_ex9902.htm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Annual General Meeting Results y estatutos (6-K)</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On Holding AG /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28 may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https://www.sec.gov/Archives/edgar/data/1858985/000095010326007952/dp246675_6k.htm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Acta de la junta general de accionistas 2026 (AGM Minutes)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On Holding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28 may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https://s21.q4cdn.com/241001792/files/doc_events/2026/May/28/AGM-Minutes-2026-vf-Website-Version.pdf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Acta de la junta general de accionistas 2025 (AGM Minutes)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On Holding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22 may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https://s21.q4cdn.com/241001792/files/doc_events/2025/05/250522-On-Holding-AG-AGM-Minutes.pdf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Acta de la junta general de accionistas 2024 (AGM Minutes)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On Holding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23 may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https://s21.q4cdn.com/241001792/files/doc_events/230423-On-Holding-AG-AGM-Minutes-1.pdf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Nota de prensa: salida del co-CEO Marc Maurer y nombramientos (6-K)</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On Holding AG /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abr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https://www.sec.gov/Archives/edgar/data/1858985/000095010325004152/dp226991_ex9901.htm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Investor Relations: Governance (dirección y consejo)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On Holding AG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https://investors.on-running.com/governance/default.aspx</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Schedule 13G/A: David Allemann, Olivier Bernhard y Caspar Coppetti (a 30-jun-2026)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 ago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https://www.sec.gov/Archives/edgar/data/1858985/000095010326012255/xslSCHEDULE_13G_X02/primary_doc.xml</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Schedule 13G: Martin Hoffmann (a 30-jun-2026)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 ago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https://www.sec.gov/Archives/edgar/data/1858985/000095010326012253/xslSCHEDULE_13G_X02/primary_doc.xml</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Schedule 13G: Baron Capital Group (a 30-jun-2026)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14 ago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https://www.sec.gov/Archives/edgar/data/1858985/000101791826000061/xslSCHEDULE_13G_X02/primary_doc.xml</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Schedule 13G/A: FMR LLC (a 30-jun-2026)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ago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https://www.sec.gov/Archives/edgar/data/1858985/000031506626002100/xslSCHEDULE_13G_X02/primary_doc.xml</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Schedule 13G/A: FMR LLC (a 31-mar-2026)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may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https://www.sec.gov/Archives/edgar/data/1858985/000031506626001250/xslSCHEDULE_13G_X02/primary_doc.xml</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Schedule 13G: Morgan Stanley (a 31-dic-2025)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https://www.sec.gov/Archives/edgar/data/1858985/000089542126000054/xslSCHEDULE_13G_X01/primary_doc.xml</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Schedule 13G/A: AllianceBernstein (a 30-sep-2025)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14 nov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https://www.sec.gov/Archives/edgar/data/1858985/000110944825000142/xslSCHEDULE_13G_X01/primary_doc.xml</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Schedule 13G/A: Carlos Alberto Sicupira / CHL Investment Fund (a 30-sep-2024)</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31 oct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https://www.sec.gov/Archives/edgar/data/1858985/000155249024000002/xslSCHEDULE_13G_X01/primary_doc.xml</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Form 144: Martin Hoffmann (aviso de 175.000 acciones; ventas de jul-ago 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https://www.sec.gov/Archives/edgar/data/1858985/000195824426000633/xsl144X01/primary_doc.xml</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Form 144: Martin Hoffmann (ventas de abr-jun 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https://www.sec.gov/Archives/edgar/data/1858985/000195824426000434/xsl144X01/primary_doc.xml</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Form 144: Marc Maurer (ventas de mar-may 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9 jun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https://www.sec.gov/Archives/edgar/data/1858985/000195824426000356/xsl144X01/primary_doc.xml</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Form 144: David Allemann (venta por consolidación de PSU)</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https://www.sec.gov/Archives/edgar/data/1858985/000195917326002036/xsl144X01/primary_doc.xml</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Tipos de cambio de referencia del BCE (USD/EUR y CHF/EUR, diarios)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Banco Central Europeo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https://data-api.ecb.europa.eu/service/data/EXR/D.USD+CHF.EUR.SP00.A?startPeriod=2025-09-01&amp;endPeriod=2026-10-06&amp;format=csvdata</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On Holding AG (ONON): cotizaciones diarias desde la OPV, índices S&amp;P 500 (^GSPC) y Consumer Discretionary Select Sector SPDR (XLY); cálculo de rentabilidades, beta, volatilidad y caída máxima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Yahoo Finance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https://finance.yahoo.com/quote/ONON/history/</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On Holding AG: datos financieros y estimaciones 2026-2028, consenso y valoración sectorial</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https://www.marketscreener.com/quote/stock/ON-HOLDING-AG-126877786/finances/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On Holding AG: consenso, precios objetivo y titulares de recomendaciones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https://www.marketscreener.com/quote/stock/ON-HOLDING-AG-126877786/consensus/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On Holding AG (ONON): previsiones, precios objetivo (S&amp;P Global) y estadísticas (acciones, flotante, posición corta, beta)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https://stockanalysis.com/stocks/onon/forecast/</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Comparables: estadísticas (capitalización, valor empresa, ROIC, FCF yield) de Deckers, Nike, adidas, Asics, Lululemon, Amer Sports y Birkenstock</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https://stockanalysis.com/stocks/deck/statistics/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Comparables: ventas, EBITDA, BPA y deuda neta reales y estimados (páginas /finances/ de cada empresa)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https://www.marketscreener.com/quote/stock/DECKERS-OUTDOOR-CORPORATI-16402770/finances/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Daily Treasury Par Yield Curve Rates 2026 (10 años: 5,31 % el 5-oct-2026)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U.S. Department of the Treasury</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https://home.treasury.gov/resource-center/data-chart-center/interest-rates/TextView?type=daily_treasury_yield_curve&amp;field_tdr_date_value=2026</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Switzerland 10-Year Government Bond Yield (0,51 % el 6-oct-2026)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Trading Economics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https://tradingeconomics.com/switzerland/government-bond-yield</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Implied Equity Risk Premium by month (ERPbymonth.xlsx), octubre de 2026: 4,20 % (T12m with sustainable payout)</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Aswath Damodaran (NYU Stern)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https://pages.stern.nyu.edu/~adamodar/pc/implprem/ERPbymonth.xlsx</w:t>
            </w:r>
          </w:p>
        </w:tc>
      </w:tr>
    </w:tbl>
    <w:p>
      <w:pPr>
        <w:spacing w:after="200" w:before="0"/>
      </w:pPr>
    </w:p>
    <w:p>
      <w:pPr>
        <w:pStyle w:val="Heading2"/>
      </w:pPr>
      <w:r>
        <w:t xml:space="preserve">Control de calidad del informe</w:t>
      </w:r>
    </w:p>
    <w:p>
      <w:pPr>
        <w:pStyle w:val="Nota"/>
        <w:spacing w:after="100"/>
      </w:pPr>
      <w:r>
        <w:t xml:space="preserve">Campos con dato: </w:t>
      </w:r>
      <w:r>
        <w:rPr>
          <w:b/>
          <w:bCs/>
        </w:rPr>
        <w:t xml:space="preserve">86,9 %</w:t>
      </w:r>
      <w:r>
        <w:t xml:space="preserve"> · Secciones con menos del 60 % de campos cubiertos: </w:t>
      </w:r>
      <w:r>
        <w:rPr>
          <w:b/>
          <w:bCs/>
        </w:rPr>
        <w:t xml:space="preserve">transacciones</w:t>
      </w:r>
      <w:r>
        <w:t xml:space="preserve"> · Generado el 7 oct 2026.</w:t>
      </w:r>
    </w:p>
    <w:p>
      <w:pPr>
        <w:pStyle w:val="Nota"/>
        <w:spacing w:after="100"/>
      </w:pPr>
      <w:r>
        <w:t xml:space="preserve">Línea cotizada: acciones de Clase A de On Holding AG en la NYSE (USD). Las de Clase B (nominal 0,01 CHF, de los fundadores) no cotizan; las acciones se cuentan en equivalente económico de Clase A (A + B/10): 336,1 M diluidas a 30-jun-2026 (301,7 M de A, 325,0 M de B = 32,5 M de A y 1,9 M de planes con efecto dilutivo). Divisa: las cuentas están en CHF y el análisis también. El precio (31,88 USD, cierre del 5-oct-2026; a la hora del corte el 6-oct cotizaba en torno a 33,0 USD), la capitalización, el rango de 52 semanas, el volumen, los precios objetivo y los comparables cotizados en USD, EUR o JPY se convierten con los tipos de referencia del BCE del 6-oct-2026 (USD/CHF 0,8305 = 0,9359 CHF/EUR ÷ 1,1269 USD/EUR; JPY/CHF 0,00525). Los precios de cierre de cada año usan el USD/CHF del BCE al cierre (0,9121 en 2021, 0,9232 en 2022, 0,8380 en 2023, 0,9060 en 2024 y 0,7927 en 2025). Desde el 1-ene-2026 la moneda funcional de la matriz y de On AG es el USD (la de presentación sigue siendo el CHF), y la empresa ha anunciado un posible cambio de la moneda de presentación. El EBITDA es el NIIF (con la remuneración en acciones como gasto); la empresa solo guía EBITDA ajustado, que la excluye (≈ 2 % de las ventas). El EBITDA de consenso se ha pasado a base NIIF restando esa remuneración estimada (estimación propia). Los comparables toman ventas, EBITDA y BPA de un solo proveedor (MarketScreener) y la capitalización y el valor empresa de otro (Stock Analysis). Sin servicios de pago: no hay consenso histórico, múltiplos NTM históricos ni transcripciones de las conferencias. Dos de los cuatro subagentes de investigación se cortaron por un límite de uso y su parte se rehízo con menos tiempo: transacciones y calificaciones ESG quedan sin cubrir.</w:t>
      </w:r>
    </w:p>
    <w:p>
      <w:pPr>
        <w:pStyle w:val="Nota"/>
        <w:spacing w:after="100"/>
      </w:pPr>
      <w:r>
        <w:t xml:space="preserve">Este documento es un análisis elaborado de forma automatizada a partir de fuentes públicas. No constituye una recomendación personalizada de inversión ni una oferta de compra o venta. Las cifras marcadas como estimación y los escenarios son hipótesis de trabajo y deben verificarse antes de tomar cualquier decisión.</w:t>
      </w:r>
    </w:p>
    <w:sectPr>
      <w:headerReference w:type="default" r:id="rId6"/>
      <w:headerReference w:type="first" r:id="rId7"/>
      <w:footerReference w:type="default" r:id="rId8"/>
      <w:footerReference w:type="first" r:id="rId9"/>
      <w:pgSz w:w="11906" w:h="16838" w:orient="portrait"/>
      <w:pgMar w:top="1134" w:right="1134" w:bottom="1134" w:left="1134" w:header="567" w:footer="567"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A8984"/>
        <w:sz w:val="15"/>
        <w:szCs w:val="15"/>
      </w:rPr>
      <w:t xml:space="preserve">Datos a 6 oct 2026 · No constituye recomendación de inversión</w:t>
    </w:r>
    <w:r>
      <w:rPr>
        <w:color w:val="8A8984"/>
        <w:sz w:val="15"/>
        <w:szCs w:val="15"/>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8A8984"/>
        <w:sz w:val="15"/>
        <w:szCs w:val="15"/>
      </w:rPr>
      <w:t xml:space="preserve">No constituye recomendación de inversión.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638"/>
      </w:tabs>
    </w:pPr>
    <w:r>
      <w:rPr>
        <w:color w:val="8A8984"/>
        <w:sz w:val="16"/>
        <w:szCs w:val="16"/>
      </w:rPr>
      <w:t xml:space="preserve">On Holding AG (ONON)</w:t>
    </w:r>
    <w:r>
      <w:rPr>
        <w:color w:val="8A8984"/>
        <w:sz w:val="16"/>
        <w:szCs w:val="16"/>
      </w:rPr>
      <w:t xml:space="preserve">	Análisis de empresa cotizada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2A78D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docVars>
    <w:docVar w:name="graficos" w:val="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"/>
  </w:docVa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20"/>
        <w:szCs w:val="20"/>
      </w:rPr>
    </w:rPrDefault>
    <w:pPrDefault>
      <w:pPr>
        <w:spacing w:line="264"/>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Calibri" w:hAnsi="Calibri"/>
      <w:b/>
      <w:bCs/>
      <w:color w:val="1F3A5F"/>
      <w:sz w:val="52"/>
      <w:szCs w:val="52"/>
    </w:rPr>
  </w:style>
  <w:style w:type="paragraph" w:styleId="Heading1">
    <w:name w:val="Heading 1"/>
    <w:basedOn w:val="Normal"/>
    <w:next w:val="Normal"/>
    <w:qFormat/>
    <w:pPr>
      <w:keepNext/>
      <w:pBdr>
        <w:bottom w:val="single" w:color="2A78D6" w:sz="6" w:space="4"/>
      </w:pBdr>
      <w:spacing w:after="60" w:before="360"/>
      <w:outlineLvl w:val="0"/>
    </w:pPr>
    <w:rPr>
      <w:rFonts w:ascii="Calibri" w:cs="Calibri" w:eastAsia="Calibri" w:hAnsi="Calibri"/>
      <w:b/>
      <w:bCs/>
      <w:color w:val="1F3A5F"/>
      <w:sz w:val="30"/>
      <w:szCs w:val="30"/>
    </w:rPr>
  </w:style>
  <w:style w:type="paragraph" w:styleId="Heading2">
    <w:name w:val="Heading 2"/>
    <w:basedOn w:val="Normal"/>
    <w:next w:val="Normal"/>
    <w:qFormat/>
    <w:pPr>
      <w:keepNext/>
      <w:spacing w:after="80" w:before="220"/>
      <w:outlineLvl w:val="1"/>
    </w:pPr>
    <w:rPr>
      <w:rFonts w:ascii="Calibri" w:cs="Calibri" w:eastAsia="Calibri" w:hAnsi="Calibri"/>
      <w:b/>
      <w:bCs/>
      <w:color w:val="1F3A5F"/>
      <w:sz w:val="23"/>
      <w:szCs w:val="23"/>
    </w:rPr>
  </w:style>
  <w:style w:type="paragraph" w:styleId="Parte">
    <w:name w:val="Parte"/>
    <w:basedOn w:val="Normal"/>
    <w:next w:val="Normal"/>
    <w:pPr>
      <w:keepNext/>
      <w:pBdr>
        <w:bottom w:val="single" w:color="2A78D6" w:sz="12" w:space="6"/>
      </w:pBdr>
      <w:spacing w:after="400" w:before="2400"/>
      <w:outlineLvl w:val="0"/>
    </w:pPr>
    <w:rPr>
      <w:rFonts w:ascii="Calibri" w:cs="Calibri" w:eastAsia="Calibri" w:hAnsi="Calibri"/>
      <w:b/>
      <w:bCs/>
      <w:color w:val="2A78D6"/>
      <w:sz w:val="40"/>
      <w:szCs w:val="40"/>
    </w:rPr>
  </w:style>
  <w:style w:type="paragraph" w:styleId="Aviso">
    <w:name w:val="Aviso"/>
    <w:basedOn w:val="Normal"/>
    <w:next w:val="Normal"/>
    <w:pPr>
      <w:pBdr>
        <w:left w:val="single" w:color="D9772E" w:sz="24" w:space="8"/>
      </w:pBdr>
      <w:spacing w:after="200" w:before="120"/>
      <w:ind w:left="200"/>
    </w:pPr>
    <w:rPr>
      <w:b/>
      <w:bCs/>
      <w:color w:val="A3470F"/>
      <w:sz w:val="19"/>
      <w:szCs w:val="19"/>
    </w:rPr>
  </w:style>
  <w:style w:type="paragraph" w:styleId="Confianza">
    <w:name w:val="Confianza"/>
    <w:basedOn w:val="Normal"/>
    <w:next w:val="Normal"/>
    <w:pPr>
      <w:keepNext/>
      <w:spacing w:after="160" w:before="0"/>
    </w:pPr>
    <w:rPr>
      <w:i/>
      <w:iCs/>
      <w:color w:val="8A8984"/>
      <w:sz w:val="16"/>
      <w:szCs w:val="16"/>
    </w:rPr>
  </w:style>
  <w:style w:type="paragraph" w:styleId="Nota">
    <w:name w:val="Nota"/>
    <w:basedOn w:val="Normal"/>
    <w:next w:val="Normal"/>
    <w:pPr>
      <w:spacing w:after="80"/>
    </w:pPr>
    <w:rPr>
      <w:color w:val="52514E"/>
      <w:sz w:val="16"/>
      <w:szCs w:val="1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 Id="rIdGrafico1" Type="http://schemas.openxmlformats.org/officeDocument/2006/relationships/chart" Target="charts/chart1.xml"/><Relationship Id="rIdGrafico2" Type="http://schemas.openxmlformats.org/officeDocument/2006/relationships/chart" Target="charts/chart2.xml"/><Relationship Id="rIdGrafico3" Type="http://schemas.openxmlformats.org/officeDocument/2006/relationships/chart" Target="charts/chart3.xml"/><Relationship Id="rIdGrafico4" Type="http://schemas.openxmlformats.org/officeDocument/2006/relationships/chart" Target="charts/chart4.xml"/><Relationship Id="rIdGrafico5" Type="http://schemas.openxmlformats.org/officeDocument/2006/relationships/chart" Target="charts/chart5.xml"/><Relationship Id="rIdGrafico6" Type="http://schemas.openxmlformats.org/officeDocument/2006/relationships/chart" Target="charts/chart6.xml"/><Relationship Id="rIdGrafico7" Type="http://schemas.openxmlformats.org/officeDocument/2006/relationships/chart" Target="charts/chart7.xml"/><Relationship Id="rIdGrafico8" Type="http://schemas.openxmlformats.org/officeDocument/2006/relationships/chart" Target="charts/chart8.xml"/><Relationship Id="rIdGrafico9" Type="http://schemas.openxmlformats.org/officeDocument/2006/relationships/chart" Target="charts/chart9.xml"/><Relationship Id="rIdGrafico10" Type="http://schemas.openxmlformats.org/officeDocument/2006/relationships/chart" Target="charts/chart10.xml"/><Relationship Id="rIdGrafico11" Type="http://schemas.openxmlformats.org/officeDocument/2006/relationships/chart" Target="charts/chart11.xml"/><Relationship Id="rIdGrafico12" Type="http://schemas.openxmlformats.org/officeDocument/2006/relationships/chart" Target="charts/chart12.xml"/><Relationship Id="rIdGrafico13" Type="http://schemas.openxmlformats.org/officeDocument/2006/relationships/chart" Target="charts/chart13.xml"/><Relationship Id="rIdGrafico14" Type="http://schemas.openxmlformats.org/officeDocument/2006/relationships/chart" Target="charts/chart14.xml"/><Relationship Id="rIdGrafico15" Type="http://schemas.openxmlformats.org/officeDocument/2006/relationships/chart" Target="charts/chart15.xml"/><Relationship Id="rIdGrafico16" Type="http://schemas.openxmlformats.org/officeDocument/2006/relationships/chart" Target="charts/chart16.xml"/><Relationship Id="rIdGrafico17" Type="http://schemas.openxmlformats.org/officeDocument/2006/relationships/chart" Target="charts/chart17.xml"/><Relationship Id="rIdGrafico18" Type="http://schemas.openxmlformats.org/officeDocument/2006/relationships/chart" Target="charts/chart18.xml"/><Relationship Id="rIdGrafico19" Type="http://schemas.openxmlformats.org/officeDocument/2006/relationships/chart" Target="charts/chart19.xml"/><Relationship Id="rIdGrafico20" Type="http://schemas.openxmlformats.org/officeDocument/2006/relationships/chart" Target="charts/chart20.xml"/><Relationship Id="rIdGrafico21" Type="http://schemas.openxmlformats.org/officeDocument/2006/relationships/chart" Target="charts/chart21.xml"/><Relationship Id="rIdGrafico22" Type="http://schemas.openxmlformats.org/officeDocument/2006/relationships/chart" Target="charts/chart22.xml"/><Relationship Id="rIdGrafico23" Type="http://schemas.openxmlformats.org/officeDocument/2006/relationships/chart" Target="charts/chart23.xml"/><Relationship Id="rIdGrafico24" Type="http://schemas.openxmlformats.org/officeDocument/2006/relationships/chart" Target="charts/chart24.xml"/><Relationship Id="rIdGrafico25" Type="http://schemas.openxmlformats.org/officeDocument/2006/relationships/chart" Target="charts/chart25.xml"/><Relationship Id="rIdGrafico26" Type="http://schemas.openxmlformats.org/officeDocument/2006/relationships/chart" Target="charts/chart26.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charts/_rels/chart1.xml.rels><?xml version="1.0" encoding="UTF-8" standalone="yes"?><Relationships xmlns="http://schemas.openxmlformats.org/package/2006/relationships"><Relationship Id="rId1" Type="http://schemas.openxmlformats.org/officeDocument/2006/relationships/package" Target="../embeddings/Hoja_grafico1.xlsx"/></Relationships>
</file>

<file path=word/charts/_rels/chart2.xml.rels><?xml version="1.0" encoding="UTF-8" standalone="yes"?><Relationships xmlns="http://schemas.openxmlformats.org/package/2006/relationships"><Relationship Id="rId1" Type="http://schemas.openxmlformats.org/officeDocument/2006/relationships/package" Target="../embeddings/Hoja_grafico2.xlsx"/></Relationships>
</file>

<file path=word/charts/_rels/chart3.xml.rels><?xml version="1.0" encoding="UTF-8" standalone="yes"?><Relationships xmlns="http://schemas.openxmlformats.org/package/2006/relationships"><Relationship Id="rId1" Type="http://schemas.openxmlformats.org/officeDocument/2006/relationships/package" Target="../embeddings/Hoja_grafico3.xlsx"/></Relationships>
</file>

<file path=word/charts/_rels/chart4.xml.rels><?xml version="1.0" encoding="UTF-8" standalone="yes"?><Relationships xmlns="http://schemas.openxmlformats.org/package/2006/relationships"><Relationship Id="rId1" Type="http://schemas.openxmlformats.org/officeDocument/2006/relationships/package" Target="../embeddings/Hoja_grafico4.xlsx"/></Relationships>
</file>

<file path=word/charts/_rels/chart5.xml.rels><?xml version="1.0" encoding="UTF-8" standalone="yes"?><Relationships xmlns="http://schemas.openxmlformats.org/package/2006/relationships"><Relationship Id="rId1" Type="http://schemas.openxmlformats.org/officeDocument/2006/relationships/package" Target="../embeddings/Hoja_grafico5.xlsx"/></Relationships>
</file>

<file path=word/charts/_rels/chart6.xml.rels><?xml version="1.0" encoding="UTF-8" standalone="yes"?><Relationships xmlns="http://schemas.openxmlformats.org/package/2006/relationships"><Relationship Id="rId1" Type="http://schemas.openxmlformats.org/officeDocument/2006/relationships/package" Target="../embeddings/Hoja_grafico6.xlsx"/></Relationships>
</file>

<file path=word/charts/_rels/chart7.xml.rels><?xml version="1.0" encoding="UTF-8" standalone="yes"?><Relationships xmlns="http://schemas.openxmlformats.org/package/2006/relationships"><Relationship Id="rId1" Type="http://schemas.openxmlformats.org/officeDocument/2006/relationships/package" Target="../embeddings/Hoja_grafico7.xlsx"/></Relationships>
</file>

<file path=word/charts/_rels/chart8.xml.rels><?xml version="1.0" encoding="UTF-8" standalone="yes"?><Relationships xmlns="http://schemas.openxmlformats.org/package/2006/relationships"><Relationship Id="rId1" Type="http://schemas.openxmlformats.org/officeDocument/2006/relationships/package" Target="../embeddings/Hoja_grafico8.xlsx"/></Relationships>
</file>

<file path=word/charts/_rels/chart9.xml.rels><?xml version="1.0" encoding="UTF-8" standalone="yes"?><Relationships xmlns="http://schemas.openxmlformats.org/package/2006/relationships"><Relationship Id="rId1" Type="http://schemas.openxmlformats.org/officeDocument/2006/relationships/package" Target="../embeddings/Hoja_grafico9.xlsx"/></Relationships>
</file>

<file path=word/charts/_rels/chart10.xml.rels><?xml version="1.0" encoding="UTF-8" standalone="yes"?><Relationships xmlns="http://schemas.openxmlformats.org/package/2006/relationships"><Relationship Id="rId1" Type="http://schemas.openxmlformats.org/officeDocument/2006/relationships/package" Target="../embeddings/Hoja_grafico10.xlsx"/></Relationships>
</file>

<file path=word/charts/_rels/chart11.xml.rels><?xml version="1.0" encoding="UTF-8" standalone="yes"?><Relationships xmlns="http://schemas.openxmlformats.org/package/2006/relationships"><Relationship Id="rId1" Type="http://schemas.openxmlformats.org/officeDocument/2006/relationships/package" Target="../embeddings/Hoja_grafico11.xlsx"/></Relationships>
</file>

<file path=word/charts/_rels/chart12.xml.rels><?xml version="1.0" encoding="UTF-8" standalone="yes"?><Relationships xmlns="http://schemas.openxmlformats.org/package/2006/relationships"><Relationship Id="rId1" Type="http://schemas.openxmlformats.org/officeDocument/2006/relationships/package" Target="../embeddings/Hoja_grafico12.xlsx"/></Relationships>
</file>

<file path=word/charts/_rels/chart13.xml.rels><?xml version="1.0" encoding="UTF-8" standalone="yes"?><Relationships xmlns="http://schemas.openxmlformats.org/package/2006/relationships"><Relationship Id="rId1" Type="http://schemas.openxmlformats.org/officeDocument/2006/relationships/package" Target="../embeddings/Hoja_grafico13.xlsx"/></Relationships>
</file>

<file path=word/charts/_rels/chart14.xml.rels><?xml version="1.0" encoding="UTF-8" standalone="yes"?><Relationships xmlns="http://schemas.openxmlformats.org/package/2006/relationships"><Relationship Id="rId1" Type="http://schemas.openxmlformats.org/officeDocument/2006/relationships/package" Target="../embeddings/Hoja_grafico14.xlsx"/></Relationships>
</file>

<file path=word/charts/_rels/chart15.xml.rels><?xml version="1.0" encoding="UTF-8" standalone="yes"?><Relationships xmlns="http://schemas.openxmlformats.org/package/2006/relationships"><Relationship Id="rId1" Type="http://schemas.openxmlformats.org/officeDocument/2006/relationships/package" Target="../embeddings/Hoja_grafico15.xlsx"/></Relationships>
</file>

<file path=word/charts/_rels/chart16.xml.rels><?xml version="1.0" encoding="UTF-8" standalone="yes"?><Relationships xmlns="http://schemas.openxmlformats.org/package/2006/relationships"><Relationship Id="rId1" Type="http://schemas.openxmlformats.org/officeDocument/2006/relationships/package" Target="../embeddings/Hoja_grafico16.xlsx"/></Relationships>
</file>

<file path=word/charts/_rels/chart17.xml.rels><?xml version="1.0" encoding="UTF-8" standalone="yes"?><Relationships xmlns="http://schemas.openxmlformats.org/package/2006/relationships"><Relationship Id="rId1" Type="http://schemas.openxmlformats.org/officeDocument/2006/relationships/package" Target="../embeddings/Hoja_grafico17.xlsx"/></Relationships>
</file>

<file path=word/charts/_rels/chart18.xml.rels><?xml version="1.0" encoding="UTF-8" standalone="yes"?><Relationships xmlns="http://schemas.openxmlformats.org/package/2006/relationships"><Relationship Id="rId1" Type="http://schemas.openxmlformats.org/officeDocument/2006/relationships/package" Target="../embeddings/Hoja_grafico18.xlsx"/></Relationships>
</file>

<file path=word/charts/_rels/chart19.xml.rels><?xml version="1.0" encoding="UTF-8" standalone="yes"?><Relationships xmlns="http://schemas.openxmlformats.org/package/2006/relationships"><Relationship Id="rId1" Type="http://schemas.openxmlformats.org/officeDocument/2006/relationships/package" Target="../embeddings/Hoja_grafico19.xlsx"/></Relationships>
</file>

<file path=word/charts/_rels/chart20.xml.rels><?xml version="1.0" encoding="UTF-8" standalone="yes"?><Relationships xmlns="http://schemas.openxmlformats.org/package/2006/relationships"><Relationship Id="rId1" Type="http://schemas.openxmlformats.org/officeDocument/2006/relationships/package" Target="../embeddings/Hoja_grafico20.xlsx"/></Relationships>
</file>

<file path=word/charts/_rels/chart21.xml.rels><?xml version="1.0" encoding="UTF-8" standalone="yes"?><Relationships xmlns="http://schemas.openxmlformats.org/package/2006/relationships"><Relationship Id="rId1" Type="http://schemas.openxmlformats.org/officeDocument/2006/relationships/package" Target="../embeddings/Hoja_grafico21.xlsx"/></Relationships>
</file>

<file path=word/charts/_rels/chart22.xml.rels><?xml version="1.0" encoding="UTF-8" standalone="yes"?><Relationships xmlns="http://schemas.openxmlformats.org/package/2006/relationships"><Relationship Id="rId1" Type="http://schemas.openxmlformats.org/officeDocument/2006/relationships/package" Target="../embeddings/Hoja_grafico22.xlsx"/></Relationships>
</file>

<file path=word/charts/_rels/chart23.xml.rels><?xml version="1.0" encoding="UTF-8" standalone="yes"?><Relationships xmlns="http://schemas.openxmlformats.org/package/2006/relationships"><Relationship Id="rId1" Type="http://schemas.openxmlformats.org/officeDocument/2006/relationships/package" Target="../embeddings/Hoja_grafico23.xlsx"/></Relationships>
</file>

<file path=word/charts/_rels/chart24.xml.rels><?xml version="1.0" encoding="UTF-8" standalone="yes"?><Relationships xmlns="http://schemas.openxmlformats.org/package/2006/relationships"><Relationship Id="rId1" Type="http://schemas.openxmlformats.org/officeDocument/2006/relationships/package" Target="../embeddings/Hoja_grafico24.xlsx"/></Relationships>
</file>

<file path=word/charts/_rels/chart25.xml.rels><?xml version="1.0" encoding="UTF-8" standalone="yes"?><Relationships xmlns="http://schemas.openxmlformats.org/package/2006/relationships"><Relationship Id="rId1" Type="http://schemas.openxmlformats.org/officeDocument/2006/relationships/package" Target="../embeddings/Hoja_grafico25.xlsx"/></Relationships>
</file>

<file path=word/charts/_rels/chart26.xml.rels><?xml version="1.0" encoding="UTF-8" standalone="yes"?><Relationships xmlns="http://schemas.openxmlformats.org/package/2006/relationships"><Relationship Id="rId1" Type="http://schemas.openxmlformats.org/officeDocument/2006/relationships/package" Target="../embeddings/Hoja_grafico26.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según cada método (CHF) · precio actual 26,48</a:t>
            </a:r>
          </a:p>
        </c:rich>
      </c:tx>
      <c:overlay val="0"/>
    </c:title>
    <c:autoTitleDeleted val="0"/>
    <c:plotArea>
      <c:layout/>
      <c:barChart>
        <c:barDir val="bar"/>
        <c:grouping val="stacked"/>
        <c:varyColors val="0"/>
        <c:ser>
          <c:idx val="0"/>
          <c:order val="0"/>
          <c:tx>
            <c:strRef>
              <c:f>Hoja1!$B$1</c:f>
              <c:strCache>
                <c:ptCount val="1"/>
                <c:pt idx="0">
                  <c:v>Desde</c:v>
                </c:pt>
              </c:strCache>
            </c:strRef>
          </c:tx>
          <c:spPr>
            <a:noFill/>
            <a:ln>
              <a:noFill/>
            </a:ln>
          </c:spPr>
          <c:invertIfNegative val="0"/>
          <c:cat>
            <c:strRef>
              <c:f>Hoja1!$A$2:$A$9</c:f>
              <c:strCache>
                <c:ptCount val="8"/>
                <c:pt idx="0">
                  <c:v>Cotización 52 semanas (21,89 – 42,42)</c:v>
                </c:pt>
                <c:pt idx="1">
                  <c:v>Precio objetivo de los analistas (16,58 – 59,37)</c:v>
                </c:pt>
                <c:pt idx="2">
                  <c:v>Comparables: EV/EBITDA NTM (17,87 – 24,93)</c:v>
                </c:pt>
                <c:pt idx="3">
                  <c:v>Comparables: PER NTM (16,29 – 28,15)</c:v>
                </c:pt>
                <c:pt idx="4">
                  <c:v>DCF (WACC y g ± 0,5) (27,34 – 33,56)</c:v>
                </c:pt>
                <c:pt idx="5">
                  <c:v>Escenarios (bajista – alcista) (18,18 – 39,72)</c:v>
                </c:pt>
                <c:pt idx="6">
                  <c:v>DCF con la prima implícita del mercado (4,2 %)</c:v>
                </c:pt>
                <c:pt idx="7">
                  <c:v>Precio actual (26,48)</c:v>
                </c:pt>
              </c:strCache>
            </c:strRef>
          </c:cat>
          <c:val>
            <c:numRef>
              <c:f>Hoja1!$B$2:$B$9</c:f>
              <c:numCache>
                <c:formatCode>#,##0.0</c:formatCode>
                <c:ptCount val="8"/>
                <c:pt idx="0">
                  <c:v>21.89</c:v>
                </c:pt>
                <c:pt idx="1">
                  <c:v>16.58</c:v>
                </c:pt>
                <c:pt idx="2">
                  <c:v>17.87</c:v>
                </c:pt>
                <c:pt idx="3">
                  <c:v>16.29</c:v>
                </c:pt>
                <c:pt idx="4">
                  <c:v>27.34</c:v>
                </c:pt>
                <c:pt idx="5">
                  <c:v>18.18</c:v>
                </c:pt>
                <c:pt idx="6">
                  <c:v>37.99</c:v>
                </c:pt>
                <c:pt idx="7">
                  <c:v>26.35</c:v>
                </c:pt>
              </c:numCache>
            </c:numRef>
          </c:val>
        </c:ser>
        <c:ser>
          <c:idx val="1"/>
          <c:order val="1"/>
          <c:tx>
            <c:strRef>
              <c:f>Hoja1!$C$1</c:f>
              <c:strCache>
                <c:ptCount val="1"/>
                <c:pt idx="0">
                  <c:v>Rango</c:v>
                </c:pt>
              </c:strCache>
            </c:strRef>
          </c:tx>
          <c:spPr>
            <a:solidFill>
              <a:srgbClr val="2A78D6"/>
            </a:solidFill>
            <a:ln w="12700">
              <a:noFill/>
            </a:ln>
          </c:spPr>
          <c:invertIfNegative val="0"/>
          <c:dPt>
            <c:idx val="0"/>
            <c:invertIfNegative val="0"/>
            <c:bubble3D val="0"/>
            <c:spPr>
              <a:solidFill>
                <a:srgbClr val="C9C8C2"/>
              </a:solidFill>
            </c:spPr>
          </c:dPt>
          <c:dPt>
            <c:idx val="1"/>
            <c:invertIfNegative val="0"/>
            <c:bubble3D val="0"/>
            <c:spPr>
              <a:solidFill>
                <a:srgbClr val="C9C8C2"/>
              </a:solidFill>
            </c:spPr>
          </c:dPt>
          <c:dPt>
            <c:idx val="7"/>
            <c:invertIfNegative val="0"/>
            <c:bubble3D val="0"/>
            <c:spPr>
              <a:solidFill>
                <a:srgbClr val="C9C8C2"/>
              </a:solidFill>
            </c:spPr>
          </c:dPt>
          <c:cat>
            <c:strRef>
              <c:f>Hoja1!$A$2:$A$9</c:f>
              <c:strCache>
                <c:ptCount val="8"/>
                <c:pt idx="0">
                  <c:v>Cotización 52 semanas (21,89 – 42,42)</c:v>
                </c:pt>
                <c:pt idx="1">
                  <c:v>Precio objetivo de los analistas (16,58 – 59,37)</c:v>
                </c:pt>
                <c:pt idx="2">
                  <c:v>Comparables: EV/EBITDA NTM (17,87 – 24,93)</c:v>
                </c:pt>
                <c:pt idx="3">
                  <c:v>Comparables: PER NTM (16,29 – 28,15)</c:v>
                </c:pt>
                <c:pt idx="4">
                  <c:v>DCF (WACC y g ± 0,5) (27,34 – 33,56)</c:v>
                </c:pt>
                <c:pt idx="5">
                  <c:v>Escenarios (bajista – alcista) (18,18 – 39,72)</c:v>
                </c:pt>
                <c:pt idx="6">
                  <c:v>DCF con la prima implícita del mercado (4,2 %)</c:v>
                </c:pt>
                <c:pt idx="7">
                  <c:v>Precio actual (26,48)</c:v>
                </c:pt>
              </c:strCache>
            </c:strRef>
          </c:cat>
          <c:val>
            <c:numRef>
              <c:f>Hoja1!$C$2:$C$9</c:f>
              <c:numCache>
                <c:formatCode>#,##0.0</c:formatCode>
                <c:ptCount val="8"/>
                <c:pt idx="0">
                  <c:v>20.53</c:v>
                </c:pt>
                <c:pt idx="1">
                  <c:v>42.79</c:v>
                </c:pt>
                <c:pt idx="2">
                  <c:v>7.059999999999999</c:v>
                </c:pt>
                <c:pt idx="3">
                  <c:v>11.86</c:v>
                </c:pt>
                <c:pt idx="4">
                  <c:v>6.220000000000002</c:v>
                </c:pt>
                <c:pt idx="5">
                  <c:v>21.54</c:v>
                </c:pt>
                <c:pt idx="6">
                  <c:v>7.3799999999999955</c:v>
                </c:pt>
                <c:pt idx="7">
                  <c:v>0.259999999999998</c:v>
                </c:pt>
              </c:numCache>
            </c:numRef>
          </c:val>
        </c:ser>
        <c:gapWidth val="60"/>
        <c:overlap val="10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in val="10"/>
        </c:scaling>
        <c:delete val="0"/>
        <c:axPos val="b"/>
        <c:majorGridlines>
          <c:spPr>
            <a:ln w="6350">
              <a:solidFill>
                <a:srgbClr val="E4E3DF"/>
              </a:solidFill>
            </a:ln>
          </c:spPr>
        </c:majorGridlines>
        <c:numFmt formatCode="#,##0.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por segmento (CHF, millones)</a:t>
            </a:r>
          </a:p>
        </c:rich>
      </c:tx>
      <c:overlay val="0"/>
    </c:title>
    <c:autoTitleDeleted val="0"/>
    <c:plotArea>
      <c:layout/>
      <c:barChart>
        <c:barDir val="col"/>
        <c:grouping val="stacked"/>
        <c:varyColors val="0"/>
        <c:ser>
          <c:idx val="0"/>
          <c:order val="0"/>
          <c:tx>
            <c:strRef>
              <c:f>Hoja1!$B$1</c:f>
              <c:strCache>
                <c:ptCount val="1"/>
                <c:pt idx="0">
                  <c:v>Mayorista (Wholesale)</c:v>
                </c:pt>
              </c:strCache>
            </c:strRef>
          </c:tx>
          <c:spPr>
            <a:solidFill>
              <a:srgbClr val="2A78D6"/>
            </a:solidFill>
            <a:ln w="12700">
              <a:solidFill>
                <a:srgbClr val="FFFFFF"/>
              </a:solidFill>
            </a:ln>
          </c:spPr>
          <c:invertIfNegative val="0"/>
          <c:cat>
            <c:strRef>
              <c:f>Hoja1!$A$2:$A$7</c:f>
              <c:strCache>
                <c:ptCount val="6"/>
                <c:pt idx="0">
                  <c:v>2020</c:v>
                </c:pt>
                <c:pt idx="1">
                  <c:v>2021</c:v>
                </c:pt>
                <c:pt idx="2">
                  <c:v>2022</c:v>
                </c:pt>
                <c:pt idx="3">
                  <c:v>2023</c:v>
                </c:pt>
                <c:pt idx="4">
                  <c:v>2024</c:v>
                </c:pt>
                <c:pt idx="5">
                  <c:v>2025</c:v>
                </c:pt>
              </c:strCache>
            </c:strRef>
          </c:cat>
          <c:val>
            <c:numRef>
              <c:f>Hoja1!$B$2:$B$7</c:f>
              <c:numCache>
                <c:formatCode>#,##0</c:formatCode>
                <c:ptCount val="6"/>
                <c:pt idx="0">
                  <c:v>264.8</c:v>
                </c:pt>
                <c:pt idx="1">
                  <c:v>448.8</c:v>
                </c:pt>
                <c:pt idx="2">
                  <c:v>777</c:v>
                </c:pt>
                <c:pt idx="3">
                  <c:v>1120.3</c:v>
                </c:pt>
                <c:pt idx="4">
                  <c:v>1375.5</c:v>
                </c:pt>
                <c:pt idx="5">
                  <c:v>1753.4</c:v>
                </c:pt>
              </c:numCache>
            </c:numRef>
          </c:val>
        </c:ser>
        <c:ser>
          <c:idx val="1"/>
          <c:order val="1"/>
          <c:tx>
            <c:strRef>
              <c:f>Hoja1!$C$1</c:f>
              <c:strCache>
                <c:ptCount val="1"/>
                <c:pt idx="0">
                  <c:v>Venta directa (DTC)</c:v>
                </c:pt>
              </c:strCache>
            </c:strRef>
          </c:tx>
          <c:spPr>
            <a:solidFill>
              <a:srgbClr val="EB6834"/>
            </a:solidFill>
            <a:ln w="12700">
              <a:solidFill>
                <a:srgbClr val="FFFFFF"/>
              </a:solidFill>
            </a:ln>
          </c:spPr>
          <c:invertIfNegative val="0"/>
          <c:cat>
            <c:strRef>
              <c:f>Hoja1!$A$2:$A$7</c:f>
              <c:strCache>
                <c:ptCount val="6"/>
                <c:pt idx="0">
                  <c:v>2020</c:v>
                </c:pt>
                <c:pt idx="1">
                  <c:v>2021</c:v>
                </c:pt>
                <c:pt idx="2">
                  <c:v>2022</c:v>
                </c:pt>
                <c:pt idx="3">
                  <c:v>2023</c:v>
                </c:pt>
                <c:pt idx="4">
                  <c:v>2024</c:v>
                </c:pt>
                <c:pt idx="5">
                  <c:v>2025</c:v>
                </c:pt>
              </c:strCache>
            </c:strRef>
          </c:cat>
          <c:val>
            <c:numRef>
              <c:f>Hoja1!$C$2:$C$7</c:f>
              <c:numCache>
                <c:formatCode>#,##0</c:formatCode>
                <c:ptCount val="6"/>
                <c:pt idx="0">
                  <c:v>160.5</c:v>
                </c:pt>
                <c:pt idx="1">
                  <c:v>275.8</c:v>
                </c:pt>
                <c:pt idx="2">
                  <c:v>445.1</c:v>
                </c:pt>
                <c:pt idx="3">
                  <c:v>671.8</c:v>
                </c:pt>
                <c:pt idx="4">
                  <c:v>942.8</c:v>
                </c:pt>
                <c:pt idx="5">
                  <c:v>1260.5</c:v>
                </c:pt>
              </c:numCache>
            </c:numRef>
          </c:val>
        </c:ser>
        <c:gapWidth val="60"/>
        <c:overlap val="10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Peso de cada segmento en los ingresos (2025)</a:t>
            </a:r>
          </a:p>
        </c:rich>
      </c:tx>
      <c:overlay val="0"/>
    </c:title>
    <c:autoTitleDeleted val="0"/>
    <c:plotArea>
      <c:layout/>
      <c:doughnutChart>
        <c:varyColors val="1"/>
        <c:ser>
          <c:idx val="0"/>
          <c:order val="0"/>
          <c:tx>
            <c:strRef>
              <c:f>Hoja1!$B$1</c:f>
              <c:strCache>
                <c:ptCount val="1"/>
                <c:pt idx="0">
                  <c:v>% de ingresos</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Lbls>
            <c:numFmt formatCode="0.0&quot;%&quot;"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Hoja1!$A$2:$A$3</c:f>
              <c:strCache>
                <c:ptCount val="2"/>
                <c:pt idx="0">
                  <c:v>Mayorista (Wholesale)</c:v>
                </c:pt>
                <c:pt idx="1">
                  <c:v>Venta directa (DTC)</c:v>
                </c:pt>
              </c:strCache>
            </c:strRef>
          </c:cat>
          <c:val>
            <c:numRef>
              <c:f>Hoja1!$B$2:$B$3</c:f>
              <c:numCache>
                <c:formatCode>General</c:formatCode>
                <c:ptCount val="2"/>
                <c:pt idx="0">
                  <c:v>58.2</c:v>
                </c:pt>
                <c:pt idx="1">
                  <c:v>41.8</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por geografía, según destino (% del total)</a:t>
            </a:r>
          </a:p>
        </c:rich>
      </c:tx>
      <c:overlay val="0"/>
    </c:title>
    <c:autoTitleDeleted val="0"/>
    <c:plotArea>
      <c:layout/>
      <c:barChart>
        <c:barDir val="bar"/>
        <c:grouping val="clustered"/>
        <c:varyColors val="0"/>
        <c:ser>
          <c:idx val="0"/>
          <c:order val="0"/>
          <c:tx>
            <c:strRef>
              <c:f>Hoja1!$B$1</c:f>
              <c:strCache>
                <c:ptCount val="1"/>
                <c:pt idx="0">
                  <c:v>% de ingresos</c:v>
                </c:pt>
              </c:strCache>
            </c:strRef>
          </c:tx>
          <c:spPr>
            <a:solidFill>
              <a:srgbClr val="2A78D6"/>
            </a:solidFill>
            <a:ln w="9525">
              <a:noFill/>
            </a:ln>
          </c:spPr>
          <c:invertIfNegative val="0"/>
          <c:dLbls>
            <c:numFmt formatCode="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Hoja1!$A$2:$A$5</c:f>
              <c:strCache>
                <c:ptCount val="4"/>
                <c:pt idx="0">
                  <c:v>Estados Unidos</c:v>
                </c:pt>
                <c:pt idx="1">
                  <c:v>Resto de América</c:v>
                </c:pt>
                <c:pt idx="2">
                  <c:v>EMEA</c:v>
                </c:pt>
                <c:pt idx="3">
                  <c:v>Asia-Pacífico</c:v>
                </c:pt>
              </c:strCache>
            </c:strRef>
          </c:cat>
          <c:val>
            <c:numRef>
              <c:f>Hoja1!$B$2:$B$5</c:f>
              <c:numCache>
                <c:formatCode>0"%"</c:formatCode>
                <c:ptCount val="4"/>
                <c:pt idx="0">
                  <c:v>51.4</c:v>
                </c:pt>
                <c:pt idx="1">
                  <c:v>6.3</c:v>
                </c:pt>
                <c:pt idx="2">
                  <c:v>25.3</c:v>
                </c:pt>
                <c:pt idx="3">
                  <c:v>17</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Tamaño del mercado (miles de millones de USD (calzado deportivo mundial, Grand View Research)) · «e» = previsión</a:t>
            </a:r>
          </a:p>
        </c:rich>
      </c:tx>
      <c:overlay val="0"/>
    </c:title>
    <c:autoTitleDeleted val="0"/>
    <c:plotArea>
      <c:layout/>
      <c:barChart>
        <c:barDir val="col"/>
        <c:grouping val="clustered"/>
        <c:varyColors val="0"/>
        <c:ser>
          <c:idx val="0"/>
          <c:order val="0"/>
          <c:tx>
            <c:strRef>
              <c:f>Hoja1!$B$1</c:f>
              <c:strCache>
                <c:ptCount val="1"/>
                <c:pt idx="0">
                  <c:v>Tamaño del mercado</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2021</c:v>
                </c:pt>
                <c:pt idx="1">
                  <c:v>2022</c:v>
                </c:pt>
                <c:pt idx="2">
                  <c:v>2023</c:v>
                </c:pt>
                <c:pt idx="3">
                  <c:v>2024</c:v>
                </c:pt>
                <c:pt idx="4">
                  <c:v>2030e</c:v>
                </c:pt>
              </c:strCache>
            </c:strRef>
          </c:cat>
          <c:val>
            <c:numRef>
              <c:f>Hoja1!$B$2:$B$6</c:f>
              <c:numCache>
                <c:formatCode>#,##0</c:formatCode>
                <c:ptCount val="5"/>
                <c:pt idx="0">
                  <c:v>127.3</c:v>
                </c:pt>
                <c:pt idx="1">
                  <c:v>133.1</c:v>
                </c:pt>
                <c:pt idx="2">
                  <c:v>146.7</c:v>
                </c:pt>
                <c:pt idx="3">
                  <c:v>153.9</c:v>
                </c:pt>
                <c:pt idx="4">
                  <c:v>205.8</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Cinco fuerzas: intensidad (1 = favorable, 5 = desfavorable)</a:t>
            </a:r>
          </a:p>
        </c:rich>
      </c:tx>
      <c:overlay val="0"/>
    </c:title>
    <c:autoTitleDeleted val="0"/>
    <c:plotArea>
      <c:layout/>
      <c:radarChart>
        <c:radarStyle val="marker"/>
        <c:varyColors val="0"/>
        <c:ser>
          <c:idx val="0"/>
          <c:order val="0"/>
          <c:tx>
            <c:strRef>
              <c:f>Hoja1!$B$1</c:f>
              <c:strCache>
                <c:ptCount val="1"/>
                <c:pt idx="0">
                  <c:v>Intensidad</c:v>
                </c:pt>
              </c:strCache>
            </c:strRef>
          </c:tx>
          <c:spPr>
            <a:ln w="25400">
              <a:solidFill>
                <a:srgbClr val="2A78D6"/>
              </a:solidFill>
            </a:ln>
          </c:spPr>
          <c:marker>
            <c:symbol val="circle"/>
            <c:size val="6"/>
            <c:spPr>
              <a:solidFill>
                <a:srgbClr val="2A78D6"/>
              </a:solidFill>
            </c:spPr>
          </c:marker>
          <c:cat>
            <c:strRef>
              <c:f>Hoja1!$A$2:$A$6</c:f>
              <c:strCache>
                <c:ptCount val="5"/>
                <c:pt idx="0">
                  <c:v>Rivalidad</c:v>
                </c:pt>
                <c:pt idx="1">
                  <c:v>Poder de los clientes</c:v>
                </c:pt>
                <c:pt idx="2">
                  <c:v>Poder de los proveedores</c:v>
                </c:pt>
                <c:pt idx="3">
                  <c:v>Amenaza de entrada</c:v>
                </c:pt>
                <c:pt idx="4">
                  <c:v>Amenaza de sustitutos</c:v>
                </c:pt>
              </c:strCache>
            </c:strRef>
          </c:cat>
          <c:val>
            <c:numRef>
              <c:f>Hoja1!$B$2:$B$6</c:f>
              <c:numCache>
                <c:formatCode>General</c:formatCode>
                <c:ptCount val="5"/>
                <c:pt idx="0">
                  <c:v>4</c:v>
                </c:pt>
                <c:pt idx="1">
                  <c:v>3</c:v>
                </c:pt>
                <c:pt idx="2">
                  <c:v>3</c:v>
                </c:pt>
                <c:pt idx="3">
                  <c:v>3</c:v>
                </c:pt>
                <c:pt idx="4">
                  <c:v>2</c:v>
                </c:pt>
              </c:numCache>
            </c:numRef>
          </c:val>
        </c:ser>
        <c:axId val="10"/>
        <c:axId val="20"/>
      </c:radarChart>
      <c:catAx>
        <c:axId val="10"/>
        <c:scaling>
          <c:orientation val="minMax"/>
        </c:scaling>
        <c:delete val="0"/>
        <c:axPos val="b"/>
        <c:majorGridlines>
          <c:spPr>
            <a:ln w="6350">
              <a:solidFill>
                <a:srgbClr val="E4E3DF"/>
              </a:solidFill>
            </a:ln>
          </c:spPr>
        </c:majorGridlines>
        <c:numFmt formatCode="General" sourceLinked="0"/>
        <c:majorTickMark val="none"/>
        <c:minorTickMark val="none"/>
        <c:tickLblPos val="nextTo"/>
        <c:spPr>
          <a:ln w="6350">
            <a:solidFill>
              <a:srgbClr val="E4E3DF"/>
            </a:solidFill>
          </a:ln>
        </c:spPr>
        <c:txPr>
          <a:bodyPr/>
          <a:lstStyle/>
          <a:p>
            <a:pPr>
              <a:defRPr sz="850">
                <a:solidFill>
                  <a:srgbClr val="1F2A3C"/>
                </a:solidFill>
              </a:defRPr>
            </a:pPr>
            <a:endParaRPr lang="es-ES"/>
          </a:p>
        </c:txPr>
        <c:crossAx val="20"/>
        <c:crosses val="autoZero"/>
        <c:auto val="1"/>
        <c:lblAlgn val="ctr"/>
        <c:lblOffset val="100"/>
        <c:noMultiLvlLbl val="0"/>
      </c:catAx>
      <c:valAx>
        <c:axId val="20"/>
        <c:scaling>
          <c:orientation val="minMax"/>
          <c:max val="5"/>
          <c:min val="0"/>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750">
                <a:solidFill>
                  <a:srgbClr val="52514E"/>
                </a:solidFill>
              </a:defRPr>
            </a:pPr>
            <a:endParaRPr lang="es-ES"/>
          </a:p>
        </c:txPr>
        <c:crossAx val="10"/>
        <c:crosses val="autoZero"/>
        <c:crossBetween val="between"/>
        <c:majorUnit val="1"/>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Margen EBIT: la empresa frente a sus competidores (%)</a:t>
            </a:r>
          </a:p>
        </c:rich>
      </c:tx>
      <c:overlay val="0"/>
    </c:title>
    <c:autoTitleDeleted val="0"/>
    <c:plotArea>
      <c:layout/>
      <c:barChart>
        <c:barDir val="bar"/>
        <c:grouping val="clustered"/>
        <c:varyColors val="0"/>
        <c:ser>
          <c:idx val="0"/>
          <c:order val="0"/>
          <c:tx>
            <c:strRef>
              <c:f>Hoja1!$B$1</c:f>
              <c:strCache>
                <c:ptCount val="1"/>
                <c:pt idx="0">
                  <c:v>Margen EBIT</c:v>
                </c:pt>
              </c:strCache>
            </c:strRef>
          </c:tx>
          <c:spPr>
            <a:solidFill>
              <a:srgbClr val="2A78D6"/>
            </a:solidFill>
            <a:ln w="9525">
              <a:noFill/>
            </a:ln>
          </c:spPr>
          <c:invertIfNegative val="0"/>
          <c:dPt>
            <c:idx val="1"/>
            <c:invertIfNegative val="0"/>
            <c:bubble3D val="0"/>
            <c:spPr>
              <a:solidFill>
                <a:srgbClr val="C9C8C2"/>
              </a:solidFill>
            </c:spPr>
          </c:dPt>
          <c:dPt>
            <c:idx val="2"/>
            <c:invertIfNegative val="0"/>
            <c:bubble3D val="0"/>
            <c:spPr>
              <a:solidFill>
                <a:srgbClr val="C9C8C2"/>
              </a:solidFill>
            </c:spPr>
          </c:dPt>
          <c:dPt>
            <c:idx val="3"/>
            <c:invertIfNegative val="0"/>
            <c:bubble3D val="0"/>
            <c:spPr>
              <a:solidFill>
                <a:srgbClr val="C9C8C2"/>
              </a:solidFill>
            </c:spPr>
          </c:dPt>
          <c:dPt>
            <c:idx val="4"/>
            <c:invertIfNegative val="0"/>
            <c:bubble3D val="0"/>
            <c:spPr>
              <a:solidFill>
                <a:srgbClr val="C9C8C2"/>
              </a:solidFill>
            </c:spPr>
          </c:dPt>
          <c:dPt>
            <c:idx val="5"/>
            <c:invertIfNegative val="0"/>
            <c:bubble3D val="0"/>
            <c:spPr>
              <a:solidFill>
                <a:srgbClr val="C9C8C2"/>
              </a:solidFill>
            </c:spPr>
          </c:dPt>
          <c:dPt>
            <c:idx val="6"/>
            <c:invertIfNegative val="0"/>
            <c:bubble3D val="0"/>
            <c:spPr>
              <a:solidFill>
                <a:srgbClr val="C9C8C2"/>
              </a:solidFill>
            </c:spPr>
          </c:dPt>
          <c:dPt>
            <c:idx val="7"/>
            <c:invertIfNegative val="0"/>
            <c:bubble3D val="0"/>
            <c:spPr>
              <a:solidFill>
                <a:srgbClr val="C9C8C2"/>
              </a:solidFill>
            </c:spPr>
          </c:dPt>
          <c:dLbls>
            <c:numFmt formatCode="0.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Hoja1!$A$2:$A$9</c:f>
              <c:strCache>
                <c:ptCount val="8"/>
                <c:pt idx="0">
                  <c:v>On</c:v>
                </c:pt>
                <c:pt idx="1">
                  <c:v>Nike</c:v>
                </c:pt>
                <c:pt idx="2">
                  <c:v>adidas</c:v>
                </c:pt>
                <c:pt idx="3">
                  <c:v>Lululemon</c:v>
                </c:pt>
                <c:pt idx="4">
                  <c:v>Puma</c:v>
                </c:pt>
                <c:pt idx="5">
                  <c:v>Amer Sports (Salomon, Arc'teryx)</c:v>
                </c:pt>
                <c:pt idx="6">
                  <c:v>Deckers (HOKA, UGG)</c:v>
                </c:pt>
                <c:pt idx="7">
                  <c:v>Asics</c:v>
                </c:pt>
              </c:strCache>
            </c:strRef>
          </c:cat>
          <c:val>
            <c:numRef>
              <c:f>Hoja1!$B$2:$B$9</c:f>
              <c:numCache>
                <c:formatCode>0.0"%"</c:formatCode>
                <c:ptCount val="8"/>
                <c:pt idx="0">
                  <c:v>12.5</c:v>
                </c:pt>
                <c:pt idx="1">
                  <c:v>8.2</c:v>
                </c:pt>
                <c:pt idx="2">
                  <c:v>8.3</c:v>
                </c:pt>
                <c:pt idx="3">
                  <c:v>19.9</c:v>
                </c:pt>
                <c:pt idx="4">
                  <c:v>-4.9</c:v>
                </c:pt>
                <c:pt idx="5">
                  <c:v>10.7</c:v>
                </c:pt>
                <c:pt idx="6">
                  <c:v>23.1</c:v>
                </c:pt>
                <c:pt idx="7">
                  <c:v>17.6</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Fuentes de ventaja competitiva (0 = inexistente, 5 = muy fuerte)</a:t>
            </a:r>
          </a:p>
        </c:rich>
      </c:tx>
      <c:overlay val="0"/>
    </c:title>
    <c:autoTitleDeleted val="0"/>
    <c:plotArea>
      <c:layout/>
      <c:barChart>
        <c:barDir val="bar"/>
        <c:grouping val="clustered"/>
        <c:varyColors val="0"/>
        <c:ser>
          <c:idx val="0"/>
          <c:order val="0"/>
          <c:tx>
            <c:strRef>
              <c:f>Hoja1!$B$1</c:f>
              <c:strCache>
                <c:ptCount val="1"/>
                <c:pt idx="0">
                  <c:v>Puntuación</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Efectos de red</c:v>
                </c:pt>
                <c:pt idx="1">
                  <c:v>Costes de cambio</c:v>
                </c:pt>
                <c:pt idx="2">
                  <c:v>Intangibles (marca, patentes, licencias)</c:v>
                </c:pt>
                <c:pt idx="3">
                  <c:v>Ventaja en costes</c:v>
                </c:pt>
                <c:pt idx="4">
                  <c:v>Escala eficiente</c:v>
                </c:pt>
              </c:strCache>
            </c:strRef>
          </c:cat>
          <c:val>
            <c:numRef>
              <c:f>Hoja1!$B$2:$B$6</c:f>
              <c:numCache>
                <c:formatCode>0</c:formatCode>
                <c:ptCount val="5"/>
                <c:pt idx="0">
                  <c:v>1</c:v>
                </c:pt>
                <c:pt idx="1">
                  <c:v>1</c:v>
                </c:pt>
                <c:pt idx="2">
                  <c:v>4</c:v>
                </c:pt>
                <c:pt idx="3">
                  <c:v>1</c:v>
                </c:pt>
                <c:pt idx="4">
                  <c:v>2</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ax val="5"/>
          <c:min val="0"/>
        </c:scaling>
        <c:delete val="0"/>
        <c:axPos val="b"/>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y EBITDA (CHF, millones) · «e» = proyección propia del DCF</a:t>
            </a:r>
          </a:p>
        </c:rich>
      </c:tx>
      <c:overlay val="0"/>
    </c:title>
    <c:autoTitleDeleted val="0"/>
    <c:plotArea>
      <c:layout/>
      <c:barChart>
        <c:barDir val="col"/>
        <c:grouping val="clustered"/>
        <c:varyColors val="0"/>
        <c:ser>
          <c:idx val="0"/>
          <c:order val="0"/>
          <c:tx>
            <c:strRef>
              <c:f>Hoja1!$B$1</c:f>
              <c:strCache>
                <c:ptCount val="1"/>
                <c:pt idx="0">
                  <c:v>Ingresos</c:v>
                </c:pt>
              </c:strCache>
            </c:strRef>
          </c:tx>
          <c:spPr>
            <a:solidFill>
              <a:srgbClr val="2A78D6"/>
            </a:solidFill>
            <a:ln w="9525">
              <a:noFill/>
            </a:ln>
          </c:spPr>
          <c:invertIfNegative val="0"/>
          <c:cat>
            <c:strRef>
              <c:f>Hoja1!$A$2:$A$17</c:f>
              <c:strCache>
                <c:ptCount val="16"/>
                <c:pt idx="0">
                  <c:v>2020</c:v>
                </c:pt>
                <c:pt idx="1">
                  <c:v>2021</c:v>
                </c:pt>
                <c:pt idx="2">
                  <c:v>2022</c:v>
                </c:pt>
                <c:pt idx="3">
                  <c:v>2023</c:v>
                </c:pt>
                <c:pt idx="4">
                  <c:v>2024</c:v>
                </c:pt>
                <c:pt idx="5">
                  <c:v>2025</c:v>
                </c:pt>
                <c:pt idx="6">
                  <c:v>2026e</c:v>
                </c:pt>
                <c:pt idx="7">
                  <c:v>2027e</c:v>
                </c:pt>
                <c:pt idx="8">
                  <c:v>2028e</c:v>
                </c:pt>
                <c:pt idx="9">
                  <c:v>2029e</c:v>
                </c:pt>
                <c:pt idx="10">
                  <c:v>2030e</c:v>
                </c:pt>
                <c:pt idx="11">
                  <c:v>2031e</c:v>
                </c:pt>
                <c:pt idx="12">
                  <c:v>2032e</c:v>
                </c:pt>
                <c:pt idx="13">
                  <c:v>2033e</c:v>
                </c:pt>
                <c:pt idx="14">
                  <c:v>2034e</c:v>
                </c:pt>
                <c:pt idx="15">
                  <c:v>2035e</c:v>
                </c:pt>
              </c:strCache>
            </c:strRef>
          </c:cat>
          <c:val>
            <c:numRef>
              <c:f>Hoja1!$B$2:$B$17</c:f>
              <c:numCache>
                <c:formatCode>#,##0</c:formatCode>
                <c:ptCount val="16"/>
                <c:pt idx="0">
                  <c:v>425.3</c:v>
                </c:pt>
                <c:pt idx="1">
                  <c:v>724.6</c:v>
                </c:pt>
                <c:pt idx="2">
                  <c:v>1222.1</c:v>
                </c:pt>
                <c:pt idx="3">
                  <c:v>1792.1</c:v>
                </c:pt>
                <c:pt idx="4">
                  <c:v>2318.3</c:v>
                </c:pt>
                <c:pt idx="5">
                  <c:v>3014</c:v>
                </c:pt>
                <c:pt idx="6">
                  <c:v>3514</c:v>
                </c:pt>
                <c:pt idx="7">
                  <c:v>4112</c:v>
                </c:pt>
                <c:pt idx="8">
                  <c:v>4770</c:v>
                </c:pt>
                <c:pt idx="9">
                  <c:v>5485</c:v>
                </c:pt>
                <c:pt idx="10">
                  <c:v>6198</c:v>
                </c:pt>
                <c:pt idx="11">
                  <c:v>6880</c:v>
                </c:pt>
                <c:pt idx="12">
                  <c:v>7499</c:v>
                </c:pt>
                <c:pt idx="13">
                  <c:v>8024</c:v>
                </c:pt>
                <c:pt idx="14">
                  <c:v>8425</c:v>
                </c:pt>
                <c:pt idx="15">
                  <c:v>8720</c:v>
                </c:pt>
              </c:numCache>
            </c:numRef>
          </c:val>
        </c:ser>
        <c:ser>
          <c:idx val="1"/>
          <c:order val="1"/>
          <c:tx>
            <c:strRef>
              <c:f>Hoja1!$C$1</c:f>
              <c:strCache>
                <c:ptCount val="1"/>
                <c:pt idx="0">
                  <c:v>EBITDA</c:v>
                </c:pt>
              </c:strCache>
            </c:strRef>
          </c:tx>
          <c:spPr>
            <a:solidFill>
              <a:srgbClr val="EB6834"/>
            </a:solidFill>
            <a:ln w="9525">
              <a:noFill/>
            </a:ln>
          </c:spPr>
          <c:invertIfNegative val="0"/>
          <c:cat>
            <c:strRef>
              <c:f>Hoja1!$A$2:$A$17</c:f>
              <c:strCache>
                <c:ptCount val="16"/>
                <c:pt idx="0">
                  <c:v>2020</c:v>
                </c:pt>
                <c:pt idx="1">
                  <c:v>2021</c:v>
                </c:pt>
                <c:pt idx="2">
                  <c:v>2022</c:v>
                </c:pt>
                <c:pt idx="3">
                  <c:v>2023</c:v>
                </c:pt>
                <c:pt idx="4">
                  <c:v>2024</c:v>
                </c:pt>
                <c:pt idx="5">
                  <c:v>2025</c:v>
                </c:pt>
                <c:pt idx="6">
                  <c:v>2026e</c:v>
                </c:pt>
                <c:pt idx="7">
                  <c:v>2027e</c:v>
                </c:pt>
                <c:pt idx="8">
                  <c:v>2028e</c:v>
                </c:pt>
                <c:pt idx="9">
                  <c:v>2029e</c:v>
                </c:pt>
                <c:pt idx="10">
                  <c:v>2030e</c:v>
                </c:pt>
                <c:pt idx="11">
                  <c:v>2031e</c:v>
                </c:pt>
                <c:pt idx="12">
                  <c:v>2032e</c:v>
                </c:pt>
                <c:pt idx="13">
                  <c:v>2033e</c:v>
                </c:pt>
                <c:pt idx="14">
                  <c:v>2034e</c:v>
                </c:pt>
                <c:pt idx="15">
                  <c:v>2035e</c:v>
                </c:pt>
              </c:strCache>
            </c:strRef>
          </c:cat>
          <c:val>
            <c:numRef>
              <c:f>Hoja1!$C$2:$C$17</c:f>
              <c:numCache>
                <c:formatCode>#,##0</c:formatCode>
                <c:ptCount val="16"/>
                <c:pt idx="0">
                  <c:v>-5</c:v>
                </c:pt>
                <c:pt idx="1">
                  <c:v>-109.7</c:v>
                </c:pt>
                <c:pt idx="2">
                  <c:v>131.5</c:v>
                </c:pt>
                <c:pt idx="3">
                  <c:v>245.1</c:v>
                </c:pt>
                <c:pt idx="4">
                  <c:v>316.2</c:v>
                </c:pt>
                <c:pt idx="5">
                  <c:v>504.4</c:v>
                </c:pt>
                <c:pt idx="6">
                  <c:v>668</c:v>
                </c:pt>
                <c:pt idx="7">
                  <c:v>781</c:v>
                </c:pt>
                <c:pt idx="8">
                  <c:v>930</c:v>
                </c:pt>
                <c:pt idx="9">
                  <c:v>1097</c:v>
                </c:pt>
                <c:pt idx="10">
                  <c:v>1240</c:v>
                </c:pt>
                <c:pt idx="11">
                  <c:v>1376</c:v>
                </c:pt>
                <c:pt idx="12">
                  <c:v>1500</c:v>
                </c:pt>
                <c:pt idx="13">
                  <c:v>1605</c:v>
                </c:pt>
                <c:pt idx="14">
                  <c:v>1685</c:v>
                </c:pt>
                <c:pt idx="15">
                  <c:v>1744</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Márgenes (% de ingresos)</a:t>
            </a:r>
          </a:p>
        </c:rich>
      </c:tx>
      <c:overlay val="0"/>
    </c:title>
    <c:autoTitleDeleted val="0"/>
    <c:plotArea>
      <c:layout/>
      <c:lineChart>
        <c:grouping val="standard"/>
        <c:varyColors val="0"/>
        <c:ser>
          <c:idx val="0"/>
          <c:order val="0"/>
          <c:tx>
            <c:strRef>
              <c:f>Hoja1!$B$1</c:f>
              <c:strCache>
                <c:ptCount val="1"/>
                <c:pt idx="0">
                  <c:v>Bruto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Hoja1!$A$2:$A$7</c:f>
              <c:strCache>
                <c:ptCount val="6"/>
                <c:pt idx="0">
                  <c:v>2020</c:v>
                </c:pt>
                <c:pt idx="1">
                  <c:v>2021</c:v>
                </c:pt>
                <c:pt idx="2">
                  <c:v>2022</c:v>
                </c:pt>
                <c:pt idx="3">
                  <c:v>2023</c:v>
                </c:pt>
                <c:pt idx="4">
                  <c:v>2024</c:v>
                </c:pt>
                <c:pt idx="5">
                  <c:v>2025</c:v>
                </c:pt>
              </c:strCache>
            </c:strRef>
          </c:cat>
          <c:val>
            <c:numRef>
              <c:f>Hoja1!$B$2:$B$7</c:f>
              <c:numCache>
                <c:formatCode>0"%"</c:formatCode>
                <c:ptCount val="6"/>
                <c:pt idx="0">
                  <c:v>54.3</c:v>
                </c:pt>
                <c:pt idx="1">
                  <c:v>59.4</c:v>
                </c:pt>
                <c:pt idx="2">
                  <c:v>56</c:v>
                </c:pt>
                <c:pt idx="3">
                  <c:v>59.6</c:v>
                </c:pt>
                <c:pt idx="4">
                  <c:v>60.6</c:v>
                </c:pt>
                <c:pt idx="5">
                  <c:v>62.8</c:v>
                </c:pt>
              </c:numCache>
            </c:numRef>
          </c:val>
          <c:smooth val="0"/>
        </c:ser>
        <c:ser>
          <c:idx val="1"/>
          <c:order val="1"/>
          <c:tx>
            <c:strRef>
              <c:f>Hoja1!$C$1</c:f>
              <c:strCache>
                <c:ptCount val="1"/>
                <c:pt idx="0">
                  <c:v>EBITDA</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Hoja1!$A$2:$A$7</c:f>
              <c:strCache>
                <c:ptCount val="6"/>
                <c:pt idx="0">
                  <c:v>2020</c:v>
                </c:pt>
                <c:pt idx="1">
                  <c:v>2021</c:v>
                </c:pt>
                <c:pt idx="2">
                  <c:v>2022</c:v>
                </c:pt>
                <c:pt idx="3">
                  <c:v>2023</c:v>
                </c:pt>
                <c:pt idx="4">
                  <c:v>2024</c:v>
                </c:pt>
                <c:pt idx="5">
                  <c:v>2025</c:v>
                </c:pt>
              </c:strCache>
            </c:strRef>
          </c:cat>
          <c:val>
            <c:numRef>
              <c:f>Hoja1!$C$2:$C$7</c:f>
              <c:numCache>
                <c:formatCode>0"%"</c:formatCode>
                <c:ptCount val="6"/>
                <c:pt idx="0">
                  <c:v>-1.2</c:v>
                </c:pt>
                <c:pt idx="1">
                  <c:v>-15.1</c:v>
                </c:pt>
                <c:pt idx="2">
                  <c:v>10.8</c:v>
                </c:pt>
                <c:pt idx="3">
                  <c:v>13.7</c:v>
                </c:pt>
                <c:pt idx="4">
                  <c:v>13.6</c:v>
                </c:pt>
                <c:pt idx="5">
                  <c:v>16.7</c:v>
                </c:pt>
              </c:numCache>
            </c:numRef>
          </c:val>
          <c:smooth val="0"/>
        </c:ser>
        <c:ser>
          <c:idx val="2"/>
          <c:order val="2"/>
          <c:tx>
            <c:strRef>
              <c:f>Hoja1!$D$1</c:f>
              <c:strCache>
                <c:ptCount val="1"/>
                <c:pt idx="0">
                  <c:v>EBIT</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Hoja1!$A$2:$A$7</c:f>
              <c:strCache>
                <c:ptCount val="6"/>
                <c:pt idx="0">
                  <c:v>2020</c:v>
                </c:pt>
                <c:pt idx="1">
                  <c:v>2021</c:v>
                </c:pt>
                <c:pt idx="2">
                  <c:v>2022</c:v>
                </c:pt>
                <c:pt idx="3">
                  <c:v>2023</c:v>
                </c:pt>
                <c:pt idx="4">
                  <c:v>2024</c:v>
                </c:pt>
                <c:pt idx="5">
                  <c:v>2025</c:v>
                </c:pt>
              </c:strCache>
            </c:strRef>
          </c:cat>
          <c:val>
            <c:numRef>
              <c:f>Hoja1!$D$2:$D$7</c:f>
              <c:numCache>
                <c:formatCode>0"%"</c:formatCode>
                <c:ptCount val="6"/>
                <c:pt idx="0">
                  <c:v>-4</c:v>
                </c:pt>
                <c:pt idx="1">
                  <c:v>-19.5</c:v>
                </c:pt>
                <c:pt idx="2">
                  <c:v>7</c:v>
                </c:pt>
                <c:pt idx="3">
                  <c:v>10.1</c:v>
                </c:pt>
                <c:pt idx="4">
                  <c:v>9.1</c:v>
                </c:pt>
                <c:pt idx="5">
                  <c:v>12.5</c:v>
                </c:pt>
              </c:numCache>
            </c:numRef>
          </c:val>
          <c:smooth val="0"/>
        </c:ser>
        <c:ser>
          <c:idx val="3"/>
          <c:order val="3"/>
          <c:tx>
            <c:strRef>
              <c:f>Hoja1!$E$1</c:f>
              <c:strCache>
                <c:ptCount val="1"/>
                <c:pt idx="0">
                  <c:v>Neto</c:v>
                </c:pt>
              </c:strCache>
            </c:strRef>
          </c:tx>
          <c:spPr>
            <a:ln w="25400" cap="rnd">
              <a:solidFill>
                <a:srgbClr val="EDA100"/>
              </a:solidFill>
              <a:round/>
            </a:ln>
          </c:spPr>
          <c:marker>
            <c:symbol val="circle"/>
            <c:size val="6"/>
            <c:spPr>
              <a:solidFill>
                <a:srgbClr val="EDA100"/>
              </a:solidFill>
              <a:ln w="9525">
                <a:solidFill>
                  <a:srgbClr val="FFFFFF"/>
                </a:solidFill>
              </a:ln>
            </c:spPr>
          </c:marker>
          <c:cat>
            <c:strRef>
              <c:f>Hoja1!$A$2:$A$7</c:f>
              <c:strCache>
                <c:ptCount val="6"/>
                <c:pt idx="0">
                  <c:v>2020</c:v>
                </c:pt>
                <c:pt idx="1">
                  <c:v>2021</c:v>
                </c:pt>
                <c:pt idx="2">
                  <c:v>2022</c:v>
                </c:pt>
                <c:pt idx="3">
                  <c:v>2023</c:v>
                </c:pt>
                <c:pt idx="4">
                  <c:v>2024</c:v>
                </c:pt>
                <c:pt idx="5">
                  <c:v>2025</c:v>
                </c:pt>
              </c:strCache>
            </c:strRef>
          </c:cat>
          <c:val>
            <c:numRef>
              <c:f>Hoja1!$E$2:$E$7</c:f>
              <c:numCache>
                <c:formatCode>0"%"</c:formatCode>
                <c:ptCount val="6"/>
                <c:pt idx="0">
                  <c:v>-6.5</c:v>
                </c:pt>
                <c:pt idx="1">
                  <c:v>-23.5</c:v>
                </c:pt>
                <c:pt idx="2">
                  <c:v>4.7</c:v>
                </c:pt>
                <c:pt idx="3">
                  <c:v>4.4</c:v>
                </c:pt>
                <c:pt idx="4">
                  <c:v>10.5</c:v>
                </c:pt>
                <c:pt idx="5">
                  <c:v>6.8</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Crecimiento interanual por trimestre (%)</a:t>
            </a:r>
          </a:p>
        </c:rich>
      </c:tx>
      <c:overlay val="0"/>
    </c:title>
    <c:autoTitleDeleted val="0"/>
    <c:plotArea>
      <c:layout/>
      <c:barChart>
        <c:barDir val="col"/>
        <c:grouping val="clustered"/>
        <c:varyColors val="0"/>
        <c:ser>
          <c:idx val="0"/>
          <c:order val="0"/>
          <c:tx>
            <c:strRef>
              <c:f>Hoja1!$B$1</c:f>
              <c:strCache>
                <c:ptCount val="1"/>
                <c:pt idx="0">
                  <c:v>Reportado</c:v>
                </c:pt>
              </c:strCache>
            </c:strRef>
          </c:tx>
          <c:spPr>
            <a:solidFill>
              <a:srgbClr val="2A78D6"/>
            </a:solidFill>
            <a:ln w="9525">
              <a:noFill/>
            </a:ln>
          </c:spPr>
          <c:invertIfNegative val="0"/>
          <c:cat>
            <c:strRef>
              <c:f>Hoja1!$A$2:$A$9</c:f>
              <c:strCache>
                <c:ptCount val="8"/>
                <c:pt idx="0">
                  <c:v>3T24</c:v>
                </c:pt>
                <c:pt idx="1">
                  <c:v>4T24</c:v>
                </c:pt>
                <c:pt idx="2">
                  <c:v>1T25</c:v>
                </c:pt>
                <c:pt idx="3">
                  <c:v>2T25</c:v>
                </c:pt>
                <c:pt idx="4">
                  <c:v>3T25</c:v>
                </c:pt>
                <c:pt idx="5">
                  <c:v>4T25</c:v>
                </c:pt>
                <c:pt idx="6">
                  <c:v>1T26</c:v>
                </c:pt>
                <c:pt idx="7">
                  <c:v>2T26</c:v>
                </c:pt>
              </c:strCache>
            </c:strRef>
          </c:cat>
          <c:val>
            <c:numRef>
              <c:f>Hoja1!$B$2:$B$9</c:f>
              <c:numCache>
                <c:formatCode>0.0"%"</c:formatCode>
                <c:ptCount val="8"/>
                <c:pt idx="0">
                  <c:v>32.3</c:v>
                </c:pt>
                <c:pt idx="1">
                  <c:v>35.7</c:v>
                </c:pt>
                <c:pt idx="2">
                  <c:v>43</c:v>
                </c:pt>
                <c:pt idx="3">
                  <c:v>32</c:v>
                </c:pt>
                <c:pt idx="4">
                  <c:v>24.9</c:v>
                </c:pt>
                <c:pt idx="5">
                  <c:v>22.6</c:v>
                </c:pt>
                <c:pt idx="6">
                  <c:v>14.5</c:v>
                </c:pt>
                <c:pt idx="7">
                  <c:v>13.5</c:v>
                </c:pt>
              </c:numCache>
            </c:numRef>
          </c:val>
        </c:ser>
        <c:ser>
          <c:idx val="1"/>
          <c:order val="1"/>
          <c:tx>
            <c:strRef>
              <c:f>Hoja1!$C$1</c:f>
              <c:strCache>
                <c:ptCount val="1"/>
                <c:pt idx="0">
                  <c:v>Orgánico</c:v>
                </c:pt>
              </c:strCache>
            </c:strRef>
          </c:tx>
          <c:spPr>
            <a:solidFill>
              <a:srgbClr val="EB6834"/>
            </a:solidFill>
            <a:ln w="9525">
              <a:noFill/>
            </a:ln>
          </c:spPr>
          <c:invertIfNegative val="0"/>
          <c:cat>
            <c:strRef>
              <c:f>Hoja1!$A$2:$A$9</c:f>
              <c:strCache>
                <c:ptCount val="8"/>
                <c:pt idx="0">
                  <c:v>3T24</c:v>
                </c:pt>
                <c:pt idx="1">
                  <c:v>4T24</c:v>
                </c:pt>
                <c:pt idx="2">
                  <c:v>1T25</c:v>
                </c:pt>
                <c:pt idx="3">
                  <c:v>2T25</c:v>
                </c:pt>
                <c:pt idx="4">
                  <c:v>3T25</c:v>
                </c:pt>
                <c:pt idx="5">
                  <c:v>4T25</c:v>
                </c:pt>
                <c:pt idx="6">
                  <c:v>1T26</c:v>
                </c:pt>
                <c:pt idx="7">
                  <c:v>2T26</c:v>
                </c:pt>
              </c:strCache>
            </c:strRef>
          </c:cat>
          <c:val>
            <c:numRef>
              <c:f>Hoja1!$C$2:$C$9</c:f>
              <c:numCache>
                <c:formatCode>0.0"%"</c:formatCode>
                <c:ptCount val="8"/>
                <c:pt idx="0">
                  <c:v>33.2</c:v>
                </c:pt>
                <c:pt idx="1">
                  <c:v>40.6</c:v>
                </c:pt>
                <c:pt idx="2">
                  <c:v>40</c:v>
                </c:pt>
                <c:pt idx="3">
                  <c:v>38.2</c:v>
                </c:pt>
                <c:pt idx="4">
                  <c:v>34.5</c:v>
                </c:pt>
                <c:pt idx="5">
                  <c:v>30.6</c:v>
                </c:pt>
                <c:pt idx="6">
                  <c:v>26.4</c:v>
                </c:pt>
                <c:pt idx="7">
                  <c:v>21.6</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Capital circulante en días</a:t>
            </a:r>
          </a:p>
        </c:rich>
      </c:tx>
      <c:overlay val="0"/>
    </c:title>
    <c:autoTitleDeleted val="0"/>
    <c:plotArea>
      <c:layout/>
      <c:lineChart>
        <c:grouping val="standard"/>
        <c:varyColors val="0"/>
        <c:ser>
          <c:idx val="0"/>
          <c:order val="0"/>
          <c:tx>
            <c:strRef>
              <c:f>Hoja1!$B$1</c:f>
              <c:strCache>
                <c:ptCount val="1"/>
                <c:pt idx="0">
                  <c:v>Días de cobro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Hoja1!$A$2:$A$7</c:f>
              <c:strCache>
                <c:ptCount val="6"/>
                <c:pt idx="0">
                  <c:v>2020</c:v>
                </c:pt>
                <c:pt idx="1">
                  <c:v>2021</c:v>
                </c:pt>
                <c:pt idx="2">
                  <c:v>2022</c:v>
                </c:pt>
                <c:pt idx="3">
                  <c:v>2023</c:v>
                </c:pt>
                <c:pt idx="4">
                  <c:v>2024</c:v>
                </c:pt>
                <c:pt idx="5">
                  <c:v>2025</c:v>
                </c:pt>
              </c:strCache>
            </c:strRef>
          </c:cat>
          <c:val>
            <c:numRef>
              <c:f>Hoja1!$B$2:$B$7</c:f>
              <c:numCache>
                <c:formatCode>0</c:formatCode>
                <c:ptCount val="6"/>
                <c:pt idx="0">
                  <c:v>44</c:v>
                </c:pt>
                <c:pt idx="1">
                  <c:v>50</c:v>
                </c:pt>
                <c:pt idx="2">
                  <c:v>52</c:v>
                </c:pt>
                <c:pt idx="3">
                  <c:v>42</c:v>
                </c:pt>
                <c:pt idx="4">
                  <c:v>39</c:v>
                </c:pt>
                <c:pt idx="5">
                  <c:v>37</c:v>
                </c:pt>
              </c:numCache>
            </c:numRef>
          </c:val>
          <c:smooth val="0"/>
        </c:ser>
        <c:ser>
          <c:idx val="1"/>
          <c:order val="1"/>
          <c:tx>
            <c:strRef>
              <c:f>Hoja1!$C$1</c:f>
              <c:strCache>
                <c:ptCount val="1"/>
                <c:pt idx="0">
                  <c:v>Días de inventario</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Hoja1!$A$2:$A$7</c:f>
              <c:strCache>
                <c:ptCount val="6"/>
                <c:pt idx="0">
                  <c:v>2020</c:v>
                </c:pt>
                <c:pt idx="1">
                  <c:v>2021</c:v>
                </c:pt>
                <c:pt idx="2">
                  <c:v>2022</c:v>
                </c:pt>
                <c:pt idx="3">
                  <c:v>2023</c:v>
                </c:pt>
                <c:pt idx="4">
                  <c:v>2024</c:v>
                </c:pt>
                <c:pt idx="5">
                  <c:v>2025</c:v>
                </c:pt>
              </c:strCache>
            </c:strRef>
          </c:cat>
          <c:val>
            <c:numRef>
              <c:f>Hoja1!$C$2:$C$7</c:f>
              <c:numCache>
                <c:formatCode>0</c:formatCode>
                <c:ptCount val="6"/>
                <c:pt idx="0">
                  <c:v>193</c:v>
                </c:pt>
                <c:pt idx="1">
                  <c:v>166</c:v>
                </c:pt>
                <c:pt idx="2">
                  <c:v>269</c:v>
                </c:pt>
                <c:pt idx="3">
                  <c:v>180</c:v>
                </c:pt>
                <c:pt idx="4">
                  <c:v>168</c:v>
                </c:pt>
                <c:pt idx="5">
                  <c:v>137</c:v>
                </c:pt>
              </c:numCache>
            </c:numRef>
          </c:val>
          <c:smooth val="0"/>
        </c:ser>
        <c:ser>
          <c:idx val="2"/>
          <c:order val="2"/>
          <c:tx>
            <c:strRef>
              <c:f>Hoja1!$D$1</c:f>
              <c:strCache>
                <c:ptCount val="1"/>
                <c:pt idx="0">
                  <c:v>Días de pago</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Hoja1!$A$2:$A$7</c:f>
              <c:strCache>
                <c:ptCount val="6"/>
                <c:pt idx="0">
                  <c:v>2020</c:v>
                </c:pt>
                <c:pt idx="1">
                  <c:v>2021</c:v>
                </c:pt>
                <c:pt idx="2">
                  <c:v>2022</c:v>
                </c:pt>
                <c:pt idx="3">
                  <c:v>2023</c:v>
                </c:pt>
                <c:pt idx="4">
                  <c:v>2024</c:v>
                </c:pt>
                <c:pt idx="5">
                  <c:v>2025</c:v>
                </c:pt>
              </c:strCache>
            </c:strRef>
          </c:cat>
          <c:val>
            <c:numRef>
              <c:f>Hoja1!$D$2:$D$7</c:f>
              <c:numCache>
                <c:formatCode>0</c:formatCode>
                <c:ptCount val="6"/>
                <c:pt idx="0">
                  <c:v>78</c:v>
                </c:pt>
                <c:pt idx="1">
                  <c:v>57</c:v>
                </c:pt>
                <c:pt idx="2">
                  <c:v>75</c:v>
                </c:pt>
                <c:pt idx="3">
                  <c:v>33</c:v>
                </c:pt>
                <c:pt idx="4">
                  <c:v>67</c:v>
                </c:pt>
                <c:pt idx="5">
                  <c:v>50</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Flujo de caja libre frente a beneficio neto (CHF, millones)</a:t>
            </a:r>
          </a:p>
        </c:rich>
      </c:tx>
      <c:overlay val="0"/>
    </c:title>
    <c:autoTitleDeleted val="0"/>
    <c:plotArea>
      <c:layout/>
      <c:barChart>
        <c:barDir val="col"/>
        <c:grouping val="clustered"/>
        <c:varyColors val="0"/>
        <c:ser>
          <c:idx val="0"/>
          <c:order val="0"/>
          <c:tx>
            <c:strRef>
              <c:f>Hoja1!$B$1</c:f>
              <c:strCache>
                <c:ptCount val="1"/>
                <c:pt idx="0">
                  <c:v>Flujo de caja libre</c:v>
                </c:pt>
              </c:strCache>
            </c:strRef>
          </c:tx>
          <c:spPr>
            <a:solidFill>
              <a:srgbClr val="2A78D6"/>
            </a:solidFill>
            <a:ln w="9525">
              <a:noFill/>
            </a:ln>
          </c:spPr>
          <c:invertIfNegative val="0"/>
          <c:cat>
            <c:strRef>
              <c:f>Hoja1!$A$2:$A$7</c:f>
              <c:strCache>
                <c:ptCount val="6"/>
                <c:pt idx="0">
                  <c:v>2020</c:v>
                </c:pt>
                <c:pt idx="1">
                  <c:v>2021</c:v>
                </c:pt>
                <c:pt idx="2">
                  <c:v>2022</c:v>
                </c:pt>
                <c:pt idx="3">
                  <c:v>2023</c:v>
                </c:pt>
                <c:pt idx="4">
                  <c:v>2024</c:v>
                </c:pt>
                <c:pt idx="5">
                  <c:v>2025</c:v>
                </c:pt>
              </c:strCache>
            </c:strRef>
          </c:cat>
          <c:val>
            <c:numRef>
              <c:f>Hoja1!$B$2:$B$7</c:f>
              <c:numCache>
                <c:formatCode>#,##0</c:formatCode>
                <c:ptCount val="6"/>
                <c:pt idx="0">
                  <c:v>-37.3</c:v>
                </c:pt>
                <c:pt idx="1">
                  <c:v>-35.400000000000006</c:v>
                </c:pt>
                <c:pt idx="2">
                  <c:v>-330.09999999999997</c:v>
                </c:pt>
                <c:pt idx="3">
                  <c:v>152.89999999999998</c:v>
                </c:pt>
                <c:pt idx="4">
                  <c:v>379</c:v>
                </c:pt>
                <c:pt idx="5">
                  <c:v>189.49999999999997</c:v>
                </c:pt>
              </c:numCache>
            </c:numRef>
          </c:val>
        </c:ser>
        <c:ser>
          <c:idx val="1"/>
          <c:order val="1"/>
          <c:tx>
            <c:strRef>
              <c:f>Hoja1!$C$1</c:f>
              <c:strCache>
                <c:ptCount val="1"/>
                <c:pt idx="0">
                  <c:v>Beneficio neto</c:v>
                </c:pt>
              </c:strCache>
            </c:strRef>
          </c:tx>
          <c:spPr>
            <a:solidFill>
              <a:srgbClr val="EB6834"/>
            </a:solidFill>
            <a:ln w="9525">
              <a:noFill/>
            </a:ln>
          </c:spPr>
          <c:invertIfNegative val="0"/>
          <c:cat>
            <c:strRef>
              <c:f>Hoja1!$A$2:$A$7</c:f>
              <c:strCache>
                <c:ptCount val="6"/>
                <c:pt idx="0">
                  <c:v>2020</c:v>
                </c:pt>
                <c:pt idx="1">
                  <c:v>2021</c:v>
                </c:pt>
                <c:pt idx="2">
                  <c:v>2022</c:v>
                </c:pt>
                <c:pt idx="3">
                  <c:v>2023</c:v>
                </c:pt>
                <c:pt idx="4">
                  <c:v>2024</c:v>
                </c:pt>
                <c:pt idx="5">
                  <c:v>2025</c:v>
                </c:pt>
              </c:strCache>
            </c:strRef>
          </c:cat>
          <c:val>
            <c:numRef>
              <c:f>Hoja1!$C$2:$C$7</c:f>
              <c:numCache>
                <c:formatCode>#,##0</c:formatCode>
                <c:ptCount val="6"/>
                <c:pt idx="0">
                  <c:v>-27.5</c:v>
                </c:pt>
                <c:pt idx="1">
                  <c:v>-170.2</c:v>
                </c:pt>
                <c:pt idx="2">
                  <c:v>57.7</c:v>
                </c:pt>
                <c:pt idx="3">
                  <c:v>79.6</c:v>
                </c:pt>
                <c:pt idx="4">
                  <c:v>242.3</c:v>
                </c:pt>
                <c:pt idx="5">
                  <c:v>203.7</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ROIC y ROE frente al coste del capital (%)</a:t>
            </a:r>
          </a:p>
        </c:rich>
      </c:tx>
      <c:overlay val="0"/>
    </c:title>
    <c:autoTitleDeleted val="0"/>
    <c:plotArea>
      <c:layout/>
      <c:lineChart>
        <c:grouping val="standard"/>
        <c:varyColors val="0"/>
        <c:ser>
          <c:idx val="0"/>
          <c:order val="0"/>
          <c:tx>
            <c:strRef>
              <c:f>Hoja1!$B$1</c:f>
              <c:strCache>
                <c:ptCount val="1"/>
                <c:pt idx="0">
                  <c:v>ROIC</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Hoja1!$A$2:$A$7</c:f>
              <c:strCache>
                <c:ptCount val="6"/>
                <c:pt idx="0">
                  <c:v>2020</c:v>
                </c:pt>
                <c:pt idx="1">
                  <c:v>2021</c:v>
                </c:pt>
                <c:pt idx="2">
                  <c:v>2022</c:v>
                </c:pt>
                <c:pt idx="3">
                  <c:v>2023</c:v>
                </c:pt>
                <c:pt idx="4">
                  <c:v>2024</c:v>
                </c:pt>
                <c:pt idx="5">
                  <c:v>2025</c:v>
                </c:pt>
              </c:strCache>
            </c:strRef>
          </c:cat>
          <c:val>
            <c:numRef>
              <c:f>Hoja1!$B$2:$B$7</c:f>
              <c:numCache>
                <c:formatCode>0"%"</c:formatCode>
                <c:ptCount val="6"/>
                <c:pt idx="0">
                  <c:v>-7.2</c:v>
                </c:pt>
                <c:pt idx="1">
                  <c:v>-38.2</c:v>
                </c:pt>
                <c:pt idx="2">
                  <c:v>11.1</c:v>
                </c:pt>
                <c:pt idx="3">
                  <c:v>23</c:v>
                </c:pt>
                <c:pt idx="4">
                  <c:v>22.6</c:v>
                </c:pt>
                <c:pt idx="5">
                  <c:v>38.4</c:v>
                </c:pt>
              </c:numCache>
            </c:numRef>
          </c:val>
          <c:smooth val="0"/>
        </c:ser>
        <c:ser>
          <c:idx val="1"/>
          <c:order val="1"/>
          <c:tx>
            <c:strRef>
              <c:f>Hoja1!$C$1</c:f>
              <c:strCache>
                <c:ptCount val="1"/>
                <c:pt idx="0">
                  <c:v>WACC actual</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Hoja1!$A$2:$A$7</c:f>
              <c:strCache>
                <c:ptCount val="6"/>
                <c:pt idx="0">
                  <c:v>2020</c:v>
                </c:pt>
                <c:pt idx="1">
                  <c:v>2021</c:v>
                </c:pt>
                <c:pt idx="2">
                  <c:v>2022</c:v>
                </c:pt>
                <c:pt idx="3">
                  <c:v>2023</c:v>
                </c:pt>
                <c:pt idx="4">
                  <c:v>2024</c:v>
                </c:pt>
                <c:pt idx="5">
                  <c:v>2025</c:v>
                </c:pt>
              </c:strCache>
            </c:strRef>
          </c:cat>
          <c:val>
            <c:numRef>
              <c:f>Hoja1!$C$2:$C$7</c:f>
              <c:numCache>
                <c:formatCode>0"%"</c:formatCode>
                <c:ptCount val="6"/>
                <c:pt idx="0">
                  <c:v>10</c:v>
                </c:pt>
                <c:pt idx="1">
                  <c:v>10</c:v>
                </c:pt>
                <c:pt idx="2">
                  <c:v>10</c:v>
                </c:pt>
                <c:pt idx="3">
                  <c:v>10</c:v>
                </c:pt>
                <c:pt idx="4">
                  <c:v>10</c:v>
                </c:pt>
                <c:pt idx="5">
                  <c:v>10</c:v>
                </c:pt>
              </c:numCache>
            </c:numRef>
          </c:val>
          <c:smooth val="0"/>
        </c:ser>
        <c:ser>
          <c:idx val="2"/>
          <c:order val="2"/>
          <c:tx>
            <c:strRef>
              <c:f>Hoja1!$D$1</c:f>
              <c:strCache>
                <c:ptCount val="1"/>
                <c:pt idx="0">
                  <c:v>ROE</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Hoja1!$A$2:$A$7</c:f>
              <c:strCache>
                <c:ptCount val="6"/>
                <c:pt idx="0">
                  <c:v>2020</c:v>
                </c:pt>
                <c:pt idx="1">
                  <c:v>2021</c:v>
                </c:pt>
                <c:pt idx="2">
                  <c:v>2022</c:v>
                </c:pt>
                <c:pt idx="3">
                  <c:v>2023</c:v>
                </c:pt>
                <c:pt idx="4">
                  <c:v>2024</c:v>
                </c:pt>
                <c:pt idx="5">
                  <c:v>2025</c:v>
                </c:pt>
              </c:strCache>
            </c:strRef>
          </c:cat>
          <c:val>
            <c:numRef>
              <c:f>Hoja1!$D$2:$D$7</c:f>
              <c:numCache>
                <c:formatCode>0"%"</c:formatCode>
                <c:ptCount val="6"/>
                <c:pt idx="0">
                  <c:v>-11.2</c:v>
                </c:pt>
                <c:pt idx="1">
                  <c:v>-31.1</c:v>
                </c:pt>
                <c:pt idx="2">
                  <c:v>6.3</c:v>
                </c:pt>
                <c:pt idx="3">
                  <c:v>7.8</c:v>
                </c:pt>
                <c:pt idx="4">
                  <c:v>19.6</c:v>
                </c:pt>
                <c:pt idx="5">
                  <c:v>13.5</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Deuda neta / EBITDA al cierre de cada ejercicio (veces)</a:t>
            </a:r>
          </a:p>
        </c:rich>
      </c:tx>
      <c:overlay val="0"/>
    </c:title>
    <c:autoTitleDeleted val="0"/>
    <c:plotArea>
      <c:layout/>
      <c:barChart>
        <c:barDir val="col"/>
        <c:grouping val="clustered"/>
        <c:varyColors val="0"/>
        <c:ser>
          <c:idx val="0"/>
          <c:order val="0"/>
          <c:tx>
            <c:strRef>
              <c:f>Hoja1!$B$1</c:f>
              <c:strCache>
                <c:ptCount val="1"/>
                <c:pt idx="0">
                  <c:v>Deuda neta / EBITDA</c:v>
                </c:pt>
              </c:strCache>
            </c:strRef>
          </c:tx>
          <c:spPr>
            <a:solidFill>
              <a:srgbClr val="2A78D6"/>
            </a:solidFill>
            <a:ln w="9525">
              <a:noFill/>
            </a:ln>
          </c:spPr>
          <c:invertIfNegative val="0"/>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Hoja1!$A$2:$A$7</c:f>
              <c:strCache>
                <c:ptCount val="6"/>
                <c:pt idx="0">
                  <c:v>2020</c:v>
                </c:pt>
                <c:pt idx="1">
                  <c:v>2021</c:v>
                </c:pt>
                <c:pt idx="2">
                  <c:v>2022</c:v>
                </c:pt>
                <c:pt idx="3">
                  <c:v>2023</c:v>
                </c:pt>
                <c:pt idx="4">
                  <c:v>2024</c:v>
                </c:pt>
                <c:pt idx="5">
                  <c:v>2025</c:v>
                </c:pt>
              </c:strCache>
            </c:strRef>
          </c:cat>
          <c:val>
            <c:numRef>
              <c:f>Hoja1!$B$2:$B$7</c:f>
              <c:numCache>
                <c:formatCode>0.0"x"</c:formatCode>
                <c:ptCount val="6"/>
                <c:pt idx="0">
                  <c:v>13.38</c:v>
                </c:pt>
                <c:pt idx="1">
                  <c:v>4.3</c:v>
                </c:pt>
                <c:pt idx="2">
                  <c:v>-1.6</c:v>
                </c:pt>
                <c:pt idx="3">
                  <c:v>-1.08</c:v>
                </c:pt>
                <c:pt idx="4">
                  <c:v>-1.82</c:v>
                </c:pt>
                <c:pt idx="5">
                  <c:v>-0.99</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Usos de la caja (CHF, millones)</a:t>
            </a:r>
          </a:p>
        </c:rich>
      </c:tx>
      <c:overlay val="0"/>
    </c:title>
    <c:autoTitleDeleted val="0"/>
    <c:plotArea>
      <c:layout/>
      <c:barChart>
        <c:barDir val="col"/>
        <c:grouping val="stacked"/>
        <c:varyColors val="0"/>
        <c:ser>
          <c:idx val="0"/>
          <c:order val="0"/>
          <c:tx>
            <c:strRef>
              <c:f>Hoja1!$B$1</c:f>
              <c:strCache>
                <c:ptCount val="1"/>
                <c:pt idx="0">
                  <c:v>Adquisiciones</c:v>
                </c:pt>
              </c:strCache>
            </c:strRef>
          </c:tx>
          <c:spPr>
            <a:solidFill>
              <a:srgbClr val="2A78D6"/>
            </a:solidFill>
            <a:ln w="12700">
              <a:solidFill>
                <a:srgbClr val="FFFFFF"/>
              </a:solidFill>
            </a:ln>
          </c:spPr>
          <c:invertIfNegative val="0"/>
          <c:cat>
            <c:strRef>
              <c:f>Hoja1!$A$2:$A$7</c:f>
              <c:strCache>
                <c:ptCount val="6"/>
                <c:pt idx="0">
                  <c:v>2020</c:v>
                </c:pt>
                <c:pt idx="1">
                  <c:v>2021</c:v>
                </c:pt>
                <c:pt idx="2">
                  <c:v>2022</c:v>
                </c:pt>
                <c:pt idx="3">
                  <c:v>2023</c:v>
                </c:pt>
                <c:pt idx="4">
                  <c:v>2024</c:v>
                </c:pt>
                <c:pt idx="5">
                  <c:v>2025</c:v>
                </c:pt>
              </c:strCache>
            </c:strRef>
          </c:cat>
          <c:val>
            <c:numRef>
              <c:f>Hoja1!$B$2:$B$7</c:f>
              <c:numCache>
                <c:formatCode>#,##0</c:formatCode>
                <c:ptCount val="6"/>
                <c:pt idx="0">
                  <c:v>0</c:v>
                </c:pt>
                <c:pt idx="1">
                  <c:v>0.2</c:v>
                </c:pt>
                <c:pt idx="2">
                  <c:v>0</c:v>
                </c:pt>
                <c:pt idx="3">
                  <c:v>0</c:v>
                </c:pt>
                <c:pt idx="4">
                  <c:v>0</c:v>
                </c:pt>
                <c:pt idx="5">
                  <c:v>0</c:v>
                </c:pt>
              </c:numCache>
            </c:numRef>
          </c:val>
        </c:ser>
        <c:ser>
          <c:idx val="1"/>
          <c:order val="1"/>
          <c:tx>
            <c:strRef>
              <c:f>Hoja1!$C$1</c:f>
              <c:strCache>
                <c:ptCount val="1"/>
                <c:pt idx="0">
                  <c:v>Dividendos</c:v>
                </c:pt>
              </c:strCache>
            </c:strRef>
          </c:tx>
          <c:spPr>
            <a:solidFill>
              <a:srgbClr val="EB6834"/>
            </a:solidFill>
            <a:ln w="12700">
              <a:solidFill>
                <a:srgbClr val="FFFFFF"/>
              </a:solidFill>
            </a:ln>
          </c:spPr>
          <c:invertIfNegative val="0"/>
          <c:cat>
            <c:strRef>
              <c:f>Hoja1!$A$2:$A$7</c:f>
              <c:strCache>
                <c:ptCount val="6"/>
                <c:pt idx="0">
                  <c:v>2020</c:v>
                </c:pt>
                <c:pt idx="1">
                  <c:v>2021</c:v>
                </c:pt>
                <c:pt idx="2">
                  <c:v>2022</c:v>
                </c:pt>
                <c:pt idx="3">
                  <c:v>2023</c:v>
                </c:pt>
                <c:pt idx="4">
                  <c:v>2024</c:v>
                </c:pt>
                <c:pt idx="5">
                  <c:v>2025</c:v>
                </c:pt>
              </c:strCache>
            </c:strRef>
          </c:cat>
          <c:val>
            <c:numRef>
              <c:f>Hoja1!$C$2:$C$7</c:f>
              <c:numCache>
                <c:formatCode>#,##0</c:formatCode>
                <c:ptCount val="6"/>
                <c:pt idx="0">
                  <c:v>0</c:v>
                </c:pt>
                <c:pt idx="1">
                  <c:v>0</c:v>
                </c:pt>
                <c:pt idx="2">
                  <c:v>0</c:v>
                </c:pt>
                <c:pt idx="3">
                  <c:v>0</c:v>
                </c:pt>
                <c:pt idx="4">
                  <c:v>0</c:v>
                </c:pt>
                <c:pt idx="5">
                  <c:v>0</c:v>
                </c:pt>
              </c:numCache>
            </c:numRef>
          </c:val>
        </c:ser>
        <c:ser>
          <c:idx val="2"/>
          <c:order val="2"/>
          <c:tx>
            <c:strRef>
              <c:f>Hoja1!$D$1</c:f>
              <c:strCache>
                <c:ptCount val="1"/>
                <c:pt idx="0">
                  <c:v>Recompras</c:v>
                </c:pt>
              </c:strCache>
            </c:strRef>
          </c:tx>
          <c:spPr>
            <a:solidFill>
              <a:srgbClr val="1BAF7A"/>
            </a:solidFill>
            <a:ln w="12700">
              <a:solidFill>
                <a:srgbClr val="FFFFFF"/>
              </a:solidFill>
            </a:ln>
          </c:spPr>
          <c:invertIfNegative val="0"/>
          <c:cat>
            <c:strRef>
              <c:f>Hoja1!$A$2:$A$7</c:f>
              <c:strCache>
                <c:ptCount val="6"/>
                <c:pt idx="0">
                  <c:v>2020</c:v>
                </c:pt>
                <c:pt idx="1">
                  <c:v>2021</c:v>
                </c:pt>
                <c:pt idx="2">
                  <c:v>2022</c:v>
                </c:pt>
                <c:pt idx="3">
                  <c:v>2023</c:v>
                </c:pt>
                <c:pt idx="4">
                  <c:v>2024</c:v>
                </c:pt>
                <c:pt idx="5">
                  <c:v>2025</c:v>
                </c:pt>
              </c:strCache>
            </c:strRef>
          </c:cat>
          <c:val>
            <c:numRef>
              <c:f>Hoja1!$D$2:$D$7</c:f>
              <c:numCache>
                <c:formatCode>#,##0</c:formatCode>
                <c:ptCount val="6"/>
                <c:pt idx="0">
                  <c:v>0</c:v>
                </c:pt>
                <c:pt idx="1">
                  <c:v>0</c:v>
                </c:pt>
                <c:pt idx="2">
                  <c:v>0</c:v>
                </c:pt>
                <c:pt idx="3">
                  <c:v>0</c:v>
                </c:pt>
                <c:pt idx="4">
                  <c:v>0</c:v>
                </c:pt>
                <c:pt idx="5">
                  <c:v>0</c:v>
                </c:pt>
              </c:numCache>
            </c:numRef>
          </c:val>
        </c:ser>
        <c:gapWidth val="60"/>
        <c:overlap val="10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Composición del consejo (número de consejeros)</a:t>
            </a:r>
          </a:p>
        </c:rich>
      </c:tx>
      <c:overlay val="0"/>
    </c:title>
    <c:autoTitleDeleted val="0"/>
    <c:plotArea>
      <c:layout/>
      <c:doughnutChart>
        <c:varyColors val="1"/>
        <c:ser>
          <c:idx val="0"/>
          <c:order val="0"/>
          <c:tx>
            <c:strRef>
              <c:f>Hoja1!$B$1</c:f>
              <c:strCache>
                <c:ptCount val="1"/>
                <c:pt idx="0">
                  <c:v>Consejeros</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Lbls>
            <c:numFmt formatCode="0"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Hoja1!$A$2:$A$4</c:f>
              <c:strCache>
                <c:ptCount val="3"/>
                <c:pt idx="0">
                  <c:v>Ejecutivo</c:v>
                </c:pt>
                <c:pt idx="1">
                  <c:v>Dominical</c:v>
                </c:pt>
                <c:pt idx="2">
                  <c:v>Independiente</c:v>
                </c:pt>
              </c:strCache>
            </c:strRef>
          </c:cat>
          <c:val>
            <c:numRef>
              <c:f>Hoja1!$B$2:$B$4</c:f>
              <c:numCache>
                <c:formatCode>0</c:formatCode>
                <c:ptCount val="3"/>
                <c:pt idx="0">
                  <c:v>3</c:v>
                </c:pt>
                <c:pt idx="1">
                  <c:v>1</c:v>
                </c:pt>
                <c:pt idx="2">
                  <c:v>4</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Accionistas significativos (% del capital)</a:t>
            </a:r>
          </a:p>
        </c:rich>
      </c:tx>
      <c:overlay val="0"/>
    </c:title>
    <c:autoTitleDeleted val="0"/>
    <c:plotArea>
      <c:layout/>
      <c:barChart>
        <c:barDir val="bar"/>
        <c:grouping val="clustered"/>
        <c:varyColors val="0"/>
        <c:ser>
          <c:idx val="0"/>
          <c:order val="0"/>
          <c:tx>
            <c:strRef>
              <c:f>Hoja1!$B$1</c:f>
              <c:strCache>
                <c:ptCount val="1"/>
                <c:pt idx="0">
                  <c:v>% del capital</c:v>
                </c:pt>
              </c:strCache>
            </c:strRef>
          </c:tx>
          <c:spPr>
            <a:solidFill>
              <a:srgbClr val="2A78D6"/>
            </a:solidFill>
            <a:ln w="9525">
              <a:noFill/>
            </a:ln>
          </c:spPr>
          <c:invertIfNegative val="0"/>
          <c:dLbls>
            <c:numFmt formatCode="0.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Hoja1!$A$2:$A$14</c:f>
              <c:strCache>
                <c:ptCount val="13"/>
                <c:pt idx="0">
                  <c:v>Olivier Bernhard (cofundador)</c:v>
                </c:pt>
                <c:pt idx="1">
                  <c:v>Caspar Coppetti (cofundador)</c:v>
                </c:pt>
                <c:pt idx="2">
                  <c:v>David Allemann (cofundador)</c:v>
                </c:pt>
                <c:pt idx="3">
                  <c:v>Los tres fundadores en conjunto (pacto)</c:v>
                </c:pt>
                <c:pt idx="4">
                  <c:v>Carlos Alberto Sicupira (CHL Investment Fund)</c:v>
                </c:pt>
                <c:pt idx="5">
                  <c:v>Morgan Stanley (MSIM)</c:v>
                </c:pt>
                <c:pt idx="6">
                  <c:v>Marc Lemann (MAAI Ltd.)</c:v>
                </c:pt>
                <c:pt idx="7">
                  <c:v>Baron Capital</c:v>
                </c:pt>
                <c:pt idx="8">
                  <c:v>FMR (Fidelity)</c:v>
                </c:pt>
                <c:pt idx="9">
                  <c:v>Alex Pérez (consejero)</c:v>
                </c:pt>
                <c:pt idx="10">
                  <c:v>Martin Hoffmann (ex CEO y CFO)</c:v>
                </c:pt>
                <c:pt idx="11">
                  <c:v>AllianceBernstein</c:v>
                </c:pt>
                <c:pt idx="12">
                  <c:v>Autocartera</c:v>
                </c:pt>
              </c:strCache>
            </c:strRef>
          </c:cat>
          <c:val>
            <c:numRef>
              <c:f>Hoja1!$B$2:$B$14</c:f>
              <c:numCache>
                <c:formatCode>0.0"%"</c:formatCode>
                <c:ptCount val="13"/>
                <c:pt idx="0">
                  <c:v>5</c:v>
                </c:pt>
                <c:pt idx="1">
                  <c:v>3.9</c:v>
                </c:pt>
                <c:pt idx="2">
                  <c:v>3.9</c:v>
                </c:pt>
                <c:pt idx="3">
                  <c:v>12.9</c:v>
                </c:pt>
                <c:pt idx="4">
                  <c:v>6</c:v>
                </c:pt>
                <c:pt idx="5">
                  <c:v>5.8</c:v>
                </c:pt>
                <c:pt idx="6">
                  <c:v>5.4</c:v>
                </c:pt>
                <c:pt idx="7">
                  <c:v>5.1</c:v>
                </c:pt>
                <c:pt idx="8">
                  <c:v>4.8</c:v>
                </c:pt>
                <c:pt idx="9">
                  <c:v>3</c:v>
                </c:pt>
                <c:pt idx="10">
                  <c:v>1</c:v>
                </c:pt>
                <c:pt idx="11">
                  <c:v>3.3</c:v>
                </c:pt>
                <c:pt idx="12">
                  <c:v>2.9</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Rentabilidad total por año: acción frente a su índice (%)</a:t>
            </a:r>
          </a:p>
        </c:rich>
      </c:tx>
      <c:overlay val="0"/>
    </c:title>
    <c:autoTitleDeleted val="0"/>
    <c:plotArea>
      <c:layout/>
      <c:barChart>
        <c:barDir val="col"/>
        <c:grouping val="clustered"/>
        <c:varyColors val="0"/>
        <c:ser>
          <c:idx val="0"/>
          <c:order val="0"/>
          <c:tx>
            <c:strRef>
              <c:f>Hoja1!$B$1</c:f>
              <c:strCache>
                <c:ptCount val="1"/>
                <c:pt idx="0">
                  <c:v>Acción</c:v>
                </c:pt>
              </c:strCache>
            </c:strRef>
          </c:tx>
          <c:spPr>
            <a:solidFill>
              <a:srgbClr val="2A78D6"/>
            </a:solidFill>
            <a:ln w="9525">
              <a:noFill/>
            </a:ln>
          </c:spPr>
          <c:invertIfNegative val="0"/>
          <c:cat>
            <c:strRef>
              <c:f>Hoja1!$A$2:$A$6</c:f>
              <c:strCache>
                <c:ptCount val="5"/>
                <c:pt idx="0">
                  <c:v>2021 (desde 15-sep)</c:v>
                </c:pt>
                <c:pt idx="1">
                  <c:v>2022</c:v>
                </c:pt>
                <c:pt idx="2">
                  <c:v>2023</c:v>
                </c:pt>
                <c:pt idx="3">
                  <c:v>2024</c:v>
                </c:pt>
                <c:pt idx="4">
                  <c:v>2025</c:v>
                </c:pt>
              </c:strCache>
            </c:strRef>
          </c:cat>
          <c:val>
            <c:numRef>
              <c:f>Hoja1!$B$2:$B$6</c:f>
              <c:numCache>
                <c:formatCode>0"%"</c:formatCode>
                <c:ptCount val="5"/>
                <c:pt idx="0">
                  <c:v>8</c:v>
                </c:pt>
                <c:pt idx="1">
                  <c:v>-54.6</c:v>
                </c:pt>
                <c:pt idx="2">
                  <c:v>57.2</c:v>
                </c:pt>
                <c:pt idx="3">
                  <c:v>103.1</c:v>
                </c:pt>
                <c:pt idx="4">
                  <c:v>-15.1</c:v>
                </c:pt>
              </c:numCache>
            </c:numRef>
          </c:val>
        </c:ser>
        <c:ser>
          <c:idx val="1"/>
          <c:order val="1"/>
          <c:tx>
            <c:strRef>
              <c:f>Hoja1!$C$1</c:f>
              <c:strCache>
                <c:ptCount val="1"/>
                <c:pt idx="0">
                  <c:v>Índice</c:v>
                </c:pt>
              </c:strCache>
            </c:strRef>
          </c:tx>
          <c:spPr>
            <a:solidFill>
              <a:srgbClr val="EB6834"/>
            </a:solidFill>
            <a:ln w="9525">
              <a:noFill/>
            </a:ln>
          </c:spPr>
          <c:invertIfNegative val="0"/>
          <c:cat>
            <c:strRef>
              <c:f>Hoja1!$A$2:$A$6</c:f>
              <c:strCache>
                <c:ptCount val="5"/>
                <c:pt idx="0">
                  <c:v>2021 (desde 15-sep)</c:v>
                </c:pt>
                <c:pt idx="1">
                  <c:v>2022</c:v>
                </c:pt>
                <c:pt idx="2">
                  <c:v>2023</c:v>
                </c:pt>
                <c:pt idx="3">
                  <c:v>2024</c:v>
                </c:pt>
                <c:pt idx="4">
                  <c:v>2025</c:v>
                </c:pt>
              </c:strCache>
            </c:strRef>
          </c:cat>
          <c:val>
            <c:numRef>
              <c:f>Hoja1!$C$2:$C$6</c:f>
              <c:numCache>
                <c:formatCode>0"%"</c:formatCode>
                <c:ptCount val="5"/>
                <c:pt idx="0">
                  <c:v>6.4</c:v>
                </c:pt>
                <c:pt idx="1">
                  <c:v>-19.4</c:v>
                </c:pt>
                <c:pt idx="2">
                  <c:v>24.2</c:v>
                </c:pt>
                <c:pt idx="3">
                  <c:v>23.3</c:v>
                </c:pt>
                <c:pt idx="4">
                  <c:v>16.4</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últimos 12 meses (cierre de cada año): historia y mediana (veces)</a:t>
            </a:r>
          </a:p>
        </c:rich>
      </c:tx>
      <c:overlay val="0"/>
    </c:title>
    <c:autoTitleDeleted val="0"/>
    <c:plotArea>
      <c:layout/>
      <c:lineChart>
        <c:grouping val="standard"/>
        <c:varyColors val="0"/>
        <c:ser>
          <c:idx val="0"/>
          <c:order val="0"/>
          <c:tx>
            <c:strRef>
              <c:f>Hoja1!$B$1</c:f>
              <c:strCache>
                <c:ptCount val="1"/>
                <c:pt idx="0">
                  <c:v>Múltiplo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Hoja1!$A$2:$A$5</c:f>
              <c:strCache>
                <c:ptCount val="4"/>
                <c:pt idx="0">
                  <c:v>2022</c:v>
                </c:pt>
                <c:pt idx="1">
                  <c:v>2023</c:v>
                </c:pt>
                <c:pt idx="2">
                  <c:v>2024</c:v>
                </c:pt>
                <c:pt idx="3">
                  <c:v>2025</c:v>
                </c:pt>
              </c:strCache>
            </c:strRef>
          </c:cat>
          <c:val>
            <c:numRef>
              <c:f>Hoja1!$B$2:$B$5</c:f>
              <c:numCache>
                <c:formatCode>0.0"x"</c:formatCode>
                <c:ptCount val="4"/>
                <c:pt idx="0">
                  <c:v>36.9</c:v>
                </c:pt>
                <c:pt idx="1">
                  <c:v>28.7</c:v>
                </c:pt>
                <c:pt idx="2">
                  <c:v>49.7</c:v>
                </c:pt>
                <c:pt idx="3">
                  <c:v>23.4</c:v>
                </c:pt>
              </c:numCache>
            </c:numRef>
          </c:val>
          <c:smooth val="0"/>
        </c:ser>
        <c:ser>
          <c:idx val="1"/>
          <c:order val="1"/>
          <c:tx>
            <c:strRef>
              <c:f>Hoja1!$C$1</c:f>
              <c:strCache>
                <c:ptCount val="1"/>
                <c:pt idx="0">
                  <c:v>Mediana del periodo</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Hoja1!$A$2:$A$5</c:f>
              <c:strCache>
                <c:ptCount val="4"/>
                <c:pt idx="0">
                  <c:v>2022</c:v>
                </c:pt>
                <c:pt idx="1">
                  <c:v>2023</c:v>
                </c:pt>
                <c:pt idx="2">
                  <c:v>2024</c:v>
                </c:pt>
                <c:pt idx="3">
                  <c:v>2025</c:v>
                </c:pt>
              </c:strCache>
            </c:strRef>
          </c:cat>
          <c:val>
            <c:numRef>
              <c:f>Hoja1!$C$2:$C$5</c:f>
              <c:numCache>
                <c:formatCode>0.0"x"</c:formatCode>
                <c:ptCount val="4"/>
                <c:pt idx="0">
                  <c:v>32.8</c:v>
                </c:pt>
                <c:pt idx="1">
                  <c:v>32.8</c:v>
                </c:pt>
                <c:pt idx="2">
                  <c:v>32.8</c:v>
                </c:pt>
                <c:pt idx="3">
                  <c:v>32.8</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de los próximos 12 meses: empresa y comparables (veces)</a:t>
            </a:r>
          </a:p>
        </c:rich>
      </c:tx>
      <c:overlay val="0"/>
    </c:title>
    <c:autoTitleDeleted val="0"/>
    <c:plotArea>
      <c:layout/>
      <c:barChart>
        <c:barDir val="bar"/>
        <c:grouping val="clustered"/>
        <c:varyColors val="0"/>
        <c:ser>
          <c:idx val="0"/>
          <c:order val="0"/>
          <c:tx>
            <c:strRef>
              <c:f>Hoja1!$B$1</c:f>
              <c:strCache>
                <c:ptCount val="1"/>
                <c:pt idx="0">
                  <c:v>EV/EBITDA NTM</c:v>
                </c:pt>
              </c:strCache>
            </c:strRef>
          </c:tx>
          <c:spPr>
            <a:solidFill>
              <a:srgbClr val="2A78D6"/>
            </a:solidFill>
            <a:ln w="9525">
              <a:noFill/>
            </a:ln>
          </c:spPr>
          <c:invertIfNegative val="0"/>
          <c:dPt>
            <c:idx val="1"/>
            <c:invertIfNegative val="0"/>
            <c:bubble3D val="0"/>
            <c:spPr>
              <a:solidFill>
                <a:srgbClr val="C9C8C2"/>
              </a:solidFill>
            </c:spPr>
          </c:dPt>
          <c:dPt>
            <c:idx val="2"/>
            <c:invertIfNegative val="0"/>
            <c:bubble3D val="0"/>
            <c:spPr>
              <a:solidFill>
                <a:srgbClr val="C9C8C2"/>
              </a:solidFill>
            </c:spPr>
          </c:dPt>
          <c:dPt>
            <c:idx val="3"/>
            <c:invertIfNegative val="0"/>
            <c:bubble3D val="0"/>
            <c:spPr>
              <a:solidFill>
                <a:srgbClr val="C9C8C2"/>
              </a:solidFill>
            </c:spPr>
          </c:dPt>
          <c:dPt>
            <c:idx val="4"/>
            <c:invertIfNegative val="0"/>
            <c:bubble3D val="0"/>
            <c:spPr>
              <a:solidFill>
                <a:srgbClr val="C9C8C2"/>
              </a:solidFill>
            </c:spPr>
          </c:dPt>
          <c:dPt>
            <c:idx val="5"/>
            <c:invertIfNegative val="0"/>
            <c:bubble3D val="0"/>
            <c:spPr>
              <a:solidFill>
                <a:srgbClr val="C9C8C2"/>
              </a:solidFill>
            </c:spPr>
          </c:dPt>
          <c:dPt>
            <c:idx val="6"/>
            <c:invertIfNegative val="0"/>
            <c:bubble3D val="0"/>
            <c:spPr>
              <a:solidFill>
                <a:srgbClr val="C9C8C2"/>
              </a:solidFill>
            </c:spPr>
          </c:dPt>
          <c:dPt>
            <c:idx val="7"/>
            <c:invertIfNegative val="0"/>
            <c:bubble3D val="0"/>
            <c:spPr>
              <a:solidFill>
                <a:srgbClr val="C9C8C2"/>
              </a:solidFill>
            </c:spPr>
          </c:dPt>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Hoja1!$A$2:$A$9</c:f>
              <c:strCache>
                <c:ptCount val="8"/>
                <c:pt idx="0">
                  <c:v>On</c:v>
                </c:pt>
                <c:pt idx="1">
                  <c:v>Deckers (HOKA, UGG)</c:v>
                </c:pt>
                <c:pt idx="2">
                  <c:v>Nike</c:v>
                </c:pt>
                <c:pt idx="3">
                  <c:v>adidas</c:v>
                </c:pt>
                <c:pt idx="4">
                  <c:v>Asics</c:v>
                </c:pt>
                <c:pt idx="5">
                  <c:v>Lululemon</c:v>
                </c:pt>
                <c:pt idx="6">
                  <c:v>Amer Sports (Salomon, Arc'teryx)</c:v>
                </c:pt>
                <c:pt idx="7">
                  <c:v>Birkenstock</c:v>
                </c:pt>
              </c:strCache>
            </c:strRef>
          </c:cat>
          <c:val>
            <c:numRef>
              <c:f>Hoja1!$B$2:$B$9</c:f>
              <c:numCache>
                <c:formatCode>0.0"x"</c:formatCode>
                <c:ptCount val="8"/>
                <c:pt idx="0">
                  <c:v>11.2</c:v>
                </c:pt>
                <c:pt idx="1">
                  <c:v>7.1</c:v>
                </c:pt>
                <c:pt idx="2">
                  <c:v>15.6</c:v>
                </c:pt>
                <c:pt idx="3">
                  <c:v>7.4</c:v>
                </c:pt>
                <c:pt idx="4">
                  <c:v>11.8</c:v>
                </c:pt>
                <c:pt idx="5">
                  <c:v>5.8</c:v>
                </c:pt>
                <c:pt idx="6">
                  <c:v>9.1</c:v>
                </c:pt>
                <c:pt idx="7">
                  <c:v>8</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Crecimiento esperado frente a múltiplo</a:t>
            </a:r>
          </a:p>
        </c:rich>
      </c:tx>
      <c:overlay val="0"/>
    </c:title>
    <c:autoTitleDeleted val="0"/>
    <c:plotArea>
      <c:layout/>
      <c:scatterChart>
        <c:scatterStyle val="lineMarker"/>
        <c:varyColors val="0"/>
        <c:ser>
          <c:idx val="0"/>
          <c:order val="0"/>
          <c:tx>
            <c:strRef>
              <c:f>Hoja1!$A$2</c:f>
              <c:strCache>
                <c:ptCount val="1"/>
                <c:pt idx="0">
                  <c:v>On</c:v>
                </c:pt>
              </c:strCache>
            </c:strRef>
          </c:tx>
          <c:spPr>
            <a:ln w="19050">
              <a:noFill/>
            </a:ln>
          </c:spPr>
          <c:marker>
            <c:symbol val="circle"/>
            <c:size val="10"/>
            <c:spPr>
              <a:solidFill>
                <a:srgbClr val="2A78D6"/>
              </a:solidFill>
              <a:ln w="9525">
                <a:solidFill>
                  <a:srgbClr val="FFFFFF"/>
                </a:solidFill>
              </a:ln>
            </c:spPr>
          </c:marker>
          <c:dLbls>
            <c:spPr>
              <a:noFill/>
              <a:ln>
                <a:noFill/>
              </a:ln>
            </c:spPr>
            <c:txPr>
              <a:bodyPr/>
              <a:lstStyle/>
              <a:p>
                <a:pPr>
                  <a:defRPr sz="800">
                    <a:solidFill>
                      <a:srgbClr val="1F2A3C"/>
                    </a:solidFill>
                  </a:defRPr>
                </a:pPr>
                <a:endParaRPr lang="es-ES"/>
              </a:p>
            </c:txPr>
            <c:dLblPos val="r"/>
            <c:showLegendKey val="0"/>
            <c:showVal val="0"/>
            <c:showCatName val="0"/>
            <c:showSerName val="1"/>
            <c:showPercent val="0"/>
            <c:showBubbleSize val="0"/>
          </c:dLbls>
          <c:xVal>
            <c:numRef>
              <c:f>Hoja1!$B$2</c:f>
              <c:numCache>
                <c:formatCode>0"%"</c:formatCode>
                <c:ptCount val="1"/>
                <c:pt idx="0">
                  <c:v>19.2</c:v>
                </c:pt>
              </c:numCache>
            </c:numRef>
          </c:xVal>
          <c:yVal>
            <c:numRef>
              <c:f>Hoja1!$C$2</c:f>
              <c:numCache>
                <c:formatCode>0.0"x"</c:formatCode>
                <c:ptCount val="1"/>
                <c:pt idx="0">
                  <c:v>11.2</c:v>
                </c:pt>
              </c:numCache>
            </c:numRef>
          </c:yVal>
          <c:smooth val="0"/>
        </c:ser>
        <c:ser>
          <c:idx val="1"/>
          <c:order val="1"/>
          <c:tx>
            <c:strRef>
              <c:f>Hoja1!$A$3</c:f>
              <c:strCache>
                <c:ptCount val="1"/>
                <c:pt idx="0">
                  <c:v>Deckers (HOKA, UGG)</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Hoja1!$B$3</c:f>
              <c:numCache>
                <c:formatCode>0"%"</c:formatCode>
                <c:ptCount val="1"/>
                <c:pt idx="0">
                  <c:v>7.4</c:v>
                </c:pt>
              </c:numCache>
            </c:numRef>
          </c:xVal>
          <c:yVal>
            <c:numRef>
              <c:f>Hoja1!$C$3</c:f>
              <c:numCache>
                <c:formatCode>0.0"x"</c:formatCode>
                <c:ptCount val="1"/>
                <c:pt idx="0">
                  <c:v>7.1</c:v>
                </c:pt>
              </c:numCache>
            </c:numRef>
          </c:yVal>
          <c:smooth val="0"/>
        </c:ser>
        <c:ser>
          <c:idx val="2"/>
          <c:order val="2"/>
          <c:tx>
            <c:strRef>
              <c:f>Hoja1!$A$4</c:f>
              <c:strCache>
                <c:ptCount val="1"/>
                <c:pt idx="0">
                  <c:v>Nike</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Hoja1!$B$4</c:f>
              <c:numCache>
                <c:formatCode>0"%"</c:formatCode>
                <c:ptCount val="1"/>
                <c:pt idx="0">
                  <c:v>-4.3</c:v>
                </c:pt>
              </c:numCache>
            </c:numRef>
          </c:xVal>
          <c:yVal>
            <c:numRef>
              <c:f>Hoja1!$C$4</c:f>
              <c:numCache>
                <c:formatCode>0.0"x"</c:formatCode>
                <c:ptCount val="1"/>
                <c:pt idx="0">
                  <c:v>15.6</c:v>
                </c:pt>
              </c:numCache>
            </c:numRef>
          </c:yVal>
          <c:smooth val="0"/>
        </c:ser>
        <c:ser>
          <c:idx val="3"/>
          <c:order val="3"/>
          <c:tx>
            <c:strRef>
              <c:f>Hoja1!$A$5</c:f>
              <c:strCache>
                <c:ptCount val="1"/>
                <c:pt idx="0">
                  <c:v>adidas</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Hoja1!$B$5</c:f>
              <c:numCache>
                <c:formatCode>0"%"</c:formatCode>
                <c:ptCount val="1"/>
                <c:pt idx="0">
                  <c:v>7.7</c:v>
                </c:pt>
              </c:numCache>
            </c:numRef>
          </c:xVal>
          <c:yVal>
            <c:numRef>
              <c:f>Hoja1!$C$5</c:f>
              <c:numCache>
                <c:formatCode>0.0"x"</c:formatCode>
                <c:ptCount val="1"/>
                <c:pt idx="0">
                  <c:v>7.4</c:v>
                </c:pt>
              </c:numCache>
            </c:numRef>
          </c:yVal>
          <c:smooth val="0"/>
        </c:ser>
        <c:ser>
          <c:idx val="4"/>
          <c:order val="4"/>
          <c:tx>
            <c:strRef>
              <c:f>Hoja1!$A$6</c:f>
              <c:strCache>
                <c:ptCount val="1"/>
                <c:pt idx="0">
                  <c:v>Asics</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Hoja1!$B$6</c:f>
              <c:numCache>
                <c:formatCode>0"%"</c:formatCode>
                <c:ptCount val="1"/>
                <c:pt idx="0">
                  <c:v>16.8</c:v>
                </c:pt>
              </c:numCache>
            </c:numRef>
          </c:xVal>
          <c:yVal>
            <c:numRef>
              <c:f>Hoja1!$C$6</c:f>
              <c:numCache>
                <c:formatCode>0.0"x"</c:formatCode>
                <c:ptCount val="1"/>
                <c:pt idx="0">
                  <c:v>11.8</c:v>
                </c:pt>
              </c:numCache>
            </c:numRef>
          </c:yVal>
          <c:smooth val="0"/>
        </c:ser>
        <c:ser>
          <c:idx val="5"/>
          <c:order val="5"/>
          <c:tx>
            <c:strRef>
              <c:f>Hoja1!$A$7</c:f>
              <c:strCache>
                <c:ptCount val="1"/>
                <c:pt idx="0">
                  <c:v>Lululemon</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Hoja1!$B$7</c:f>
              <c:numCache>
                <c:formatCode>0"%"</c:formatCode>
                <c:ptCount val="1"/>
                <c:pt idx="0">
                  <c:v>-3.2</c:v>
                </c:pt>
              </c:numCache>
            </c:numRef>
          </c:xVal>
          <c:yVal>
            <c:numRef>
              <c:f>Hoja1!$C$7</c:f>
              <c:numCache>
                <c:formatCode>0.0"x"</c:formatCode>
                <c:ptCount val="1"/>
                <c:pt idx="0">
                  <c:v>5.8</c:v>
                </c:pt>
              </c:numCache>
            </c:numRef>
          </c:yVal>
          <c:smooth val="0"/>
        </c:ser>
        <c:ser>
          <c:idx val="6"/>
          <c:order val="6"/>
          <c:tx>
            <c:strRef>
              <c:f>Hoja1!$A$8</c:f>
              <c:strCache>
                <c:ptCount val="1"/>
                <c:pt idx="0">
                  <c:v>Amer Sports (Salomon, Arc'teryx)</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Hoja1!$B$8</c:f>
              <c:numCache>
                <c:formatCode>0"%"</c:formatCode>
                <c:ptCount val="1"/>
                <c:pt idx="0">
                  <c:v>18.4</c:v>
                </c:pt>
              </c:numCache>
            </c:numRef>
          </c:xVal>
          <c:yVal>
            <c:numRef>
              <c:f>Hoja1!$C$8</c:f>
              <c:numCache>
                <c:formatCode>0.0"x"</c:formatCode>
                <c:ptCount val="1"/>
                <c:pt idx="0">
                  <c:v>9.1</c:v>
                </c:pt>
              </c:numCache>
            </c:numRef>
          </c:yVal>
          <c:smooth val="0"/>
        </c:ser>
        <c:ser>
          <c:idx val="7"/>
          <c:order val="7"/>
          <c:tx>
            <c:strRef>
              <c:f>Hoja1!$A$9</c:f>
              <c:strCache>
                <c:ptCount val="1"/>
                <c:pt idx="0">
                  <c:v>Birkenstock</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Hoja1!$B$9</c:f>
              <c:numCache>
                <c:formatCode>0"%"</c:formatCode>
                <c:ptCount val="1"/>
                <c:pt idx="0">
                  <c:v>13.1</c:v>
                </c:pt>
              </c:numCache>
            </c:numRef>
          </c:xVal>
          <c:yVal>
            <c:numRef>
              <c:f>Hoja1!$C$9</c:f>
              <c:numCache>
                <c:formatCode>0.0"x"</c:formatCode>
                <c:ptCount val="1"/>
                <c:pt idx="0">
                  <c:v>8</c:v>
                </c:pt>
              </c:numCache>
            </c:numRef>
          </c:yVal>
          <c:smooth val="0"/>
        </c:ser>
        <c:axId val="10"/>
        <c:axId val="20"/>
      </c:scatterChart>
      <c:valAx>
        <c:axId val="10"/>
        <c:scaling>
          <c:orientation val="minMax"/>
          <c:max val="30"/>
        </c:scaling>
        <c:delete val="0"/>
        <c:axPos val="b"/>
        <c:title>
          <c:tx>
            <c:rich>
              <a:bodyPr/>
              <a:lstStyle/>
              <a:p>
                <a:pPr>
                  <a:defRPr sz="850" b="0">
                    <a:solidFill>
                      <a:srgbClr val="52514E"/>
                    </a:solidFill>
                  </a:defRPr>
                </a:pPr>
                <a:r>
                  <a:rPr lang="es-ES" sz="850" b="0">
                    <a:solidFill>
                      <a:srgbClr val="52514E"/>
                    </a:solidFill>
                  </a:rPr>
                  <a:t>Crecimiento de ingresos próximos 12 meses (%)</a:t>
                </a:r>
              </a:p>
            </c:rich>
          </c:tx>
          <c:overlay val="0"/>
        </c:title>
        <c:numFmt formatCode="0&quot;%&quot;"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crossBetween val="midCat"/>
      </c:valAx>
      <c:valAx>
        <c:axId val="20"/>
        <c:scaling>
          <c:orientation val="minMax"/>
          <c:min val="3"/>
        </c:scaling>
        <c:delete val="0"/>
        <c:axPos val="l"/>
        <c:majorGridlines>
          <c:spPr>
            <a:ln w="6350">
              <a:solidFill>
                <a:srgbClr val="E4E3DF"/>
              </a:solidFill>
            </a:ln>
          </c:spPr>
        </c:majorGridlines>
        <c:title>
          <c:tx>
            <c:rich>
              <a:bodyPr rot="-5400000" vert="horz"/>
              <a:lstStyle/>
              <a:p>
                <a:pPr>
                  <a:defRPr sz="850" b="0">
                    <a:solidFill>
                      <a:srgbClr val="52514E"/>
                    </a:solidFill>
                  </a:defRPr>
                </a:pPr>
                <a:r>
                  <a:rPr lang="es-ES" sz="850" b="0">
                    <a:solidFill>
                      <a:srgbClr val="52514E"/>
                    </a:solidFill>
                  </a:rPr>
                  <a:t>EV/EBITDA NTM (x)</a:t>
                </a:r>
              </a:p>
            </c:rich>
          </c:tx>
          <c:overlay val="0"/>
        </c:title>
        <c:numFmt formatCode="0.0&quot;x&quot;" sourceLinked="0"/>
        <c:majorTickMark val="none"/>
        <c:minorTickMark val="none"/>
        <c:tickLblPos val="low"/>
        <c:spPr>
          <a:ln>
            <a:noFill/>
          </a:ln>
        </c:spPr>
        <c:txPr>
          <a:bodyPr/>
          <a:lstStyle/>
          <a:p>
            <a:pPr>
              <a:defRPr sz="850">
                <a:solidFill>
                  <a:srgbClr val="52514E"/>
                </a:solidFill>
              </a:defRPr>
            </a:pPr>
            <a:endParaRPr lang="es-ES"/>
          </a:p>
        </c:txPr>
        <c:crossAx val="10"/>
        <c:crosses val="autoZero"/>
        <c:crossBetween val="midCat"/>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Flujo de caja libre para la empresa proyectado (CHF, millones)</a:t>
            </a:r>
          </a:p>
        </c:rich>
      </c:tx>
      <c:overlay val="0"/>
    </c:title>
    <c:autoTitleDeleted val="0"/>
    <c:plotArea>
      <c:layout/>
      <c:barChart>
        <c:barDir val="col"/>
        <c:grouping val="clustered"/>
        <c:varyColors val="0"/>
        <c:ser>
          <c:idx val="0"/>
          <c:order val="0"/>
          <c:tx>
            <c:strRef>
              <c:f>Hoja1!$B$1</c:f>
              <c:strCache>
                <c:ptCount val="1"/>
                <c:pt idx="0">
                  <c:v>FCFF</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Hoja1!$A$2:$A$11</c:f>
              <c:strCache>
                <c:ptCount val="10"/>
                <c:pt idx="0">
                  <c:v>2026e</c:v>
                </c:pt>
                <c:pt idx="1">
                  <c:v>2027e</c:v>
                </c:pt>
                <c:pt idx="2">
                  <c:v>2028e</c:v>
                </c:pt>
                <c:pt idx="3">
                  <c:v>2029e</c:v>
                </c:pt>
                <c:pt idx="4">
                  <c:v>2030e</c:v>
                </c:pt>
                <c:pt idx="5">
                  <c:v>2031e</c:v>
                </c:pt>
                <c:pt idx="6">
                  <c:v>2032e</c:v>
                </c:pt>
                <c:pt idx="7">
                  <c:v>2033e</c:v>
                </c:pt>
                <c:pt idx="8">
                  <c:v>2034e</c:v>
                </c:pt>
                <c:pt idx="9">
                  <c:v>2035e</c:v>
                </c:pt>
              </c:strCache>
            </c:strRef>
          </c:cat>
          <c:val>
            <c:numRef>
              <c:f>Hoja1!$B$2:$B$11</c:f>
              <c:numCache>
                <c:formatCode>#,##0</c:formatCode>
                <c:ptCount val="10"/>
                <c:pt idx="0">
                  <c:v>307</c:v>
                </c:pt>
                <c:pt idx="1">
                  <c:v>353</c:v>
                </c:pt>
                <c:pt idx="2">
                  <c:v>446</c:v>
                </c:pt>
                <c:pt idx="3">
                  <c:v>550</c:v>
                </c:pt>
                <c:pt idx="4">
                  <c:v>642</c:v>
                </c:pt>
                <c:pt idx="5">
                  <c:v>741</c:v>
                </c:pt>
                <c:pt idx="6">
                  <c:v>833</c:v>
                </c:pt>
                <c:pt idx="7">
                  <c:v>902</c:v>
                </c:pt>
                <c:pt idx="8">
                  <c:v>982</c:v>
                </c:pt>
                <c:pt idx="9">
                  <c:v>1038</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De dónde sale el valor empresa del DCF (CHF, millones)</a:t>
            </a:r>
          </a:p>
        </c:rich>
      </c:tx>
      <c:overlay val="0"/>
    </c:title>
    <c:autoTitleDeleted val="0"/>
    <c:plotArea>
      <c:layout/>
      <c:doughnutChart>
        <c:varyColors val="1"/>
        <c:ser>
          <c:idx val="0"/>
          <c:order val="0"/>
          <c:tx>
            <c:strRef>
              <c:f>Hoja1!$B$1</c:f>
              <c:strCache>
                <c:ptCount val="1"/>
                <c:pt idx="0">
                  <c:v>Valor actual</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Lbls>
            <c:numFmt formatCode="#,##0"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Hoja1!$A$2:$A$3</c:f>
              <c:strCache>
                <c:ptCount val="2"/>
                <c:pt idx="0">
                  <c:v>Flujos proyectados</c:v>
                </c:pt>
                <c:pt idx="1">
                  <c:v>Valor terminal</c:v>
                </c:pt>
              </c:strCache>
            </c:strRef>
          </c:cat>
          <c:val>
            <c:numRef>
              <c:f>Hoja1!$B$2:$B$3</c:f>
              <c:numCache>
                <c:formatCode>#,##0</c:formatCode>
                <c:ptCount val="2"/>
                <c:pt idx="0">
                  <c:v>3998</c:v>
                </c:pt>
                <c:pt idx="1">
                  <c:v>5475</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por escenario (CHF) · precio actual 26,48</a:t>
            </a:r>
          </a:p>
        </c:rich>
      </c:tx>
      <c:overlay val="0"/>
    </c:title>
    <c:autoTitleDeleted val="0"/>
    <c:plotArea>
      <c:layout/>
      <c:barChart>
        <c:barDir val="col"/>
        <c:grouping val="clustered"/>
        <c:varyColors val="0"/>
        <c:ser>
          <c:idx val="0"/>
          <c:order val="0"/>
          <c:tx>
            <c:strRef>
              <c:f>Hoja1!$B$1</c:f>
              <c:strCache>
                <c:ptCount val="1"/>
                <c:pt idx="0">
                  <c:v>Valor por acción</c:v>
                </c:pt>
              </c:strCache>
            </c:strRef>
          </c:tx>
          <c:spPr>
            <a:solidFill>
              <a:srgbClr val="2A78D6"/>
            </a:solidFill>
            <a:ln w="9525">
              <a:noFill/>
            </a:ln>
          </c:spPr>
          <c:invertIfNegative val="0"/>
          <c:dLbls>
            <c:numFmt formatCode="#,##0.0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Hoja1!$A$2:$A$4</c:f>
              <c:strCache>
                <c:ptCount val="3"/>
                <c:pt idx="0">
                  <c:v>Bajista</c:v>
                </c:pt>
                <c:pt idx="1">
                  <c:v>Base</c:v>
                </c:pt>
                <c:pt idx="2">
                  <c:v>Alcista</c:v>
                </c:pt>
              </c:strCache>
            </c:strRef>
          </c:cat>
          <c:val>
            <c:numRef>
              <c:f>Hoja1!$B$2:$B$4</c:f>
              <c:numCache>
                <c:formatCode>#,##0.00</c:formatCode>
                <c:ptCount val="3"/>
                <c:pt idx="0">
                  <c:v>18.18</c:v>
                </c:pt>
                <c:pt idx="1">
                  <c:v>30.07</c:v>
                </c:pt>
                <c:pt idx="2">
                  <c:v>39.72</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según cada método (CHF) · precio actual 26,48</a:t>
            </a:r>
          </a:p>
        </c:rich>
      </c:tx>
      <c:overlay val="0"/>
    </c:title>
    <c:autoTitleDeleted val="0"/>
    <c:plotArea>
      <c:layout/>
      <c:barChart>
        <c:barDir val="bar"/>
        <c:grouping val="stacked"/>
        <c:varyColors val="0"/>
        <c:ser>
          <c:idx val="0"/>
          <c:order val="0"/>
          <c:tx>
            <c:strRef>
              <c:f>Hoja1!$B$1</c:f>
              <c:strCache>
                <c:ptCount val="1"/>
                <c:pt idx="0">
                  <c:v>Desde</c:v>
                </c:pt>
              </c:strCache>
            </c:strRef>
          </c:tx>
          <c:spPr>
            <a:noFill/>
            <a:ln>
              <a:noFill/>
            </a:ln>
          </c:spPr>
          <c:invertIfNegative val="0"/>
          <c:cat>
            <c:strRef>
              <c:f>Hoja1!$A$2:$A$9</c:f>
              <c:strCache>
                <c:ptCount val="8"/>
                <c:pt idx="0">
                  <c:v>Cotización 52 semanas (21,89 – 42,42)</c:v>
                </c:pt>
                <c:pt idx="1">
                  <c:v>Precio objetivo de los analistas (16,58 – 59,37)</c:v>
                </c:pt>
                <c:pt idx="2">
                  <c:v>Comparables: EV/EBITDA NTM (17,87 – 24,93)</c:v>
                </c:pt>
                <c:pt idx="3">
                  <c:v>Comparables: PER NTM (16,29 – 28,15)</c:v>
                </c:pt>
                <c:pt idx="4">
                  <c:v>DCF (WACC y g ± 0,5) (27,34 – 33,56)</c:v>
                </c:pt>
                <c:pt idx="5">
                  <c:v>Escenarios (bajista – alcista) (18,18 – 39,72)</c:v>
                </c:pt>
                <c:pt idx="6">
                  <c:v>DCF con la prima implícita del mercado (4,2 %)</c:v>
                </c:pt>
                <c:pt idx="7">
                  <c:v>Precio actual (26,48)</c:v>
                </c:pt>
              </c:strCache>
            </c:strRef>
          </c:cat>
          <c:val>
            <c:numRef>
              <c:f>Hoja1!$B$2:$B$9</c:f>
              <c:numCache>
                <c:formatCode>#,##0.0</c:formatCode>
                <c:ptCount val="8"/>
                <c:pt idx="0">
                  <c:v>21.89</c:v>
                </c:pt>
                <c:pt idx="1">
                  <c:v>16.58</c:v>
                </c:pt>
                <c:pt idx="2">
                  <c:v>17.87</c:v>
                </c:pt>
                <c:pt idx="3">
                  <c:v>16.29</c:v>
                </c:pt>
                <c:pt idx="4">
                  <c:v>27.34</c:v>
                </c:pt>
                <c:pt idx="5">
                  <c:v>18.18</c:v>
                </c:pt>
                <c:pt idx="6">
                  <c:v>37.99</c:v>
                </c:pt>
                <c:pt idx="7">
                  <c:v>26.35</c:v>
                </c:pt>
              </c:numCache>
            </c:numRef>
          </c:val>
        </c:ser>
        <c:ser>
          <c:idx val="1"/>
          <c:order val="1"/>
          <c:tx>
            <c:strRef>
              <c:f>Hoja1!$C$1</c:f>
              <c:strCache>
                <c:ptCount val="1"/>
                <c:pt idx="0">
                  <c:v>Rango</c:v>
                </c:pt>
              </c:strCache>
            </c:strRef>
          </c:tx>
          <c:spPr>
            <a:solidFill>
              <a:srgbClr val="2A78D6"/>
            </a:solidFill>
            <a:ln w="12700">
              <a:noFill/>
            </a:ln>
          </c:spPr>
          <c:invertIfNegative val="0"/>
          <c:dPt>
            <c:idx val="0"/>
            <c:invertIfNegative val="0"/>
            <c:bubble3D val="0"/>
            <c:spPr>
              <a:solidFill>
                <a:srgbClr val="C9C8C2"/>
              </a:solidFill>
            </c:spPr>
          </c:dPt>
          <c:dPt>
            <c:idx val="1"/>
            <c:invertIfNegative val="0"/>
            <c:bubble3D val="0"/>
            <c:spPr>
              <a:solidFill>
                <a:srgbClr val="C9C8C2"/>
              </a:solidFill>
            </c:spPr>
          </c:dPt>
          <c:dPt>
            <c:idx val="7"/>
            <c:invertIfNegative val="0"/>
            <c:bubble3D val="0"/>
            <c:spPr>
              <a:solidFill>
                <a:srgbClr val="C9C8C2"/>
              </a:solidFill>
            </c:spPr>
          </c:dPt>
          <c:cat>
            <c:strRef>
              <c:f>Hoja1!$A$2:$A$9</c:f>
              <c:strCache>
                <c:ptCount val="8"/>
                <c:pt idx="0">
                  <c:v>Cotización 52 semanas (21,89 – 42,42)</c:v>
                </c:pt>
                <c:pt idx="1">
                  <c:v>Precio objetivo de los analistas (16,58 – 59,37)</c:v>
                </c:pt>
                <c:pt idx="2">
                  <c:v>Comparables: EV/EBITDA NTM (17,87 – 24,93)</c:v>
                </c:pt>
                <c:pt idx="3">
                  <c:v>Comparables: PER NTM (16,29 – 28,15)</c:v>
                </c:pt>
                <c:pt idx="4">
                  <c:v>DCF (WACC y g ± 0,5) (27,34 – 33,56)</c:v>
                </c:pt>
                <c:pt idx="5">
                  <c:v>Escenarios (bajista – alcista) (18,18 – 39,72)</c:v>
                </c:pt>
                <c:pt idx="6">
                  <c:v>DCF con la prima implícita del mercado (4,2 %)</c:v>
                </c:pt>
                <c:pt idx="7">
                  <c:v>Precio actual (26,48)</c:v>
                </c:pt>
              </c:strCache>
            </c:strRef>
          </c:cat>
          <c:val>
            <c:numRef>
              <c:f>Hoja1!$C$2:$C$9</c:f>
              <c:numCache>
                <c:formatCode>#,##0.0</c:formatCode>
                <c:ptCount val="8"/>
                <c:pt idx="0">
                  <c:v>20.53</c:v>
                </c:pt>
                <c:pt idx="1">
                  <c:v>42.79</c:v>
                </c:pt>
                <c:pt idx="2">
                  <c:v>7.059999999999999</c:v>
                </c:pt>
                <c:pt idx="3">
                  <c:v>11.86</c:v>
                </c:pt>
                <c:pt idx="4">
                  <c:v>6.220000000000002</c:v>
                </c:pt>
                <c:pt idx="5">
                  <c:v>21.54</c:v>
                </c:pt>
                <c:pt idx="6">
                  <c:v>7.3799999999999955</c:v>
                </c:pt>
                <c:pt idx="7">
                  <c:v>0.259999999999998</c:v>
                </c:pt>
              </c:numCache>
            </c:numRef>
          </c:val>
        </c:ser>
        <c:gapWidth val="60"/>
        <c:overlap val="10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in val="10"/>
        </c:scaling>
        <c:delete val="0"/>
        <c:axPos val="b"/>
        <c:majorGridlines>
          <c:spPr>
            <a:ln w="6350">
              <a:solidFill>
                <a:srgbClr val="E4E3DF"/>
              </a:solidFill>
            </a:ln>
          </c:spPr>
        </c:majorGridlines>
        <c:numFmt formatCode="#,##0.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empresa cotizada — plantilla</dc:title>
  <dc:creator>analisis-inversion</dc:creator>
  <cp:lastModifiedBy>Un-named</cp:lastModifiedBy>
  <cp:revision>1</cp:revision>
  <dcterms:created xsi:type="dcterms:W3CDTF">2026-10-07T15:22:08.029Z</dcterms:created>
  <dcterms:modified xsi:type="dcterms:W3CDTF">2026-10-07T15:22:08.032Z</dcterms:modified>
</cp:coreProperties>
</file>

<file path=docProps/custom.xml><?xml version="1.0" encoding="utf-8"?>
<Properties xmlns="http://schemas.openxmlformats.org/officeDocument/2006/custom-properties" xmlns:vt="http://schemas.openxmlformats.org/officeDocument/2006/docPropsVTypes"/>
</file>