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Marsh &amp; McLennan Companies, Inc. (marca comercial «Marsh»)</w:t>
      </w:r>
    </w:p>
    <w:p>
      <w:pPr>
        <w:spacing w:after="60"/>
        <w:rPr>
          <w:color w:val="52514E"/>
          <w:sz w:val="22"/>
          <w:szCs w:val="22"/>
        </w:rPr>
      </w:pPr>
      <w:r>
        <w:rPr>
          <w:color w:val="52514E"/>
          <w:sz w:val="22"/>
          <w:szCs w:val="22"/>
        </w:rPr>
        <w:t xml:space="preserve">MRSH · New York Stock Exchange · ISIN US5717481023 · Financiero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177,01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211,80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+21,7 % (base +21,3 %)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190,43 USD · mercado 208,94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84.469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Marsh &amp; McLennan Companies, Inc. (marca comercial «Marsh»)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MRSH / US5717481023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 / Corredores de seguros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(EE. UU.) · 1871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https://www.corporate.marsh.com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177,01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156,60 – 206,04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84.469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102.860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459 M USD/día (2,53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211,80 USD</w:t>
      </w:r>
      <w:r>
        <w:t xml:space="preserve"> frente a 177,01 · Rentabilidad a 12 meses </w:t>
      </w:r>
      <w:r>
        <w:rPr>
          <w:b/>
          <w:bCs/>
        </w:rPr>
        <w:t xml:space="preserve">+21,7 % (base +21,3 %)</w:t>
      </w:r>
      <w:r>
        <w:t xml:space="preserve"> · Valor intrínseco 190,43 USD · con la prima implícita del mercado: 208,94 (+18,0 %) · Alcista / bajista +38,3 % / -23,6 %</w:t>
      </w:r>
    </w:p>
    <w:p>
      <w:pPr>
        <w:spacing w:after="100"/>
      </w:pPr>
      <w:r>
        <w:rPr>
          <w:b/>
        </w:rPr>
        <w:t xml:space="preserve">La recomendación y por qué.</w:t>
      </w:r>
      <w:r>
        <w:t xml:space="preserve"> Comprar con convicción baja. Al precio de 177,01 USD (13-oct-2026), nuestro objetivo a 12 meses es de 211,80 USD: una rentabilidad ponderada del 21,7 % con dividendo y del 21,3 % en el caso base, con un valor intrínseco de 190,43 (+7,6 %) y un objetivo medio de los analistas de 202,67, dentro de nuestro rango (150,35-274,72). La razón: el mercado paga 17,6 veces nuestro BPA de 2027e, el PER adelantado más bajo en una década, por un negocio que crece al 4-5 %, gana un ROIC 6,8 puntos por encima de su coste de capital y no necesita capital para crecer. La convicción es baja por tres motivos: la regla absoluta (con nuestro WACC del 8,25 %) da Mantener y solo la relativa da Comprar; con la regla v2 de múltiplos la ponderada sería del 14,7 %, justo por debajo del umbral; y los resultados del 3T26 salen mañana (15-oct-2026). Subiría con un subyacente del 3T26 del 5 % o más; bajaría por debajo del 3 %.</w:t>
      </w:r>
    </w:p>
    <w:p>
      <w:pPr>
        <w:spacing w:after="100"/>
      </w:pPr>
      <w:r>
        <w:rPr>
          <w:b/>
        </w:rPr>
        <w:t xml:space="preserve">El negocio.</w:t>
      </w:r>
      <w:r>
        <w:t xml:space="preserve"> Primer corredor de seguros y reaseguros del mundo (≈6 % de un mercado de ≈276.500 M USD) y gran consultora de recursos humanos [13]. Foso amplio: renovaciones, escala en grandes riesgos y 130 países; margen operativo del 16,1 % al 23,1 % entre 2019 y 2025. La calidad sostiene el crecimiento que proyectamos (veredicto «Sí»): 4,4 % anual, por debajo de su historia y sin inversión neta. </w:t>
      </w:r>
      <w:r>
        <w:rPr>
          <w:b/>
        </w:rPr>
        <w:t xml:space="preserve">Veredicto de calidad: Sí</w:t>
      </w:r>
      <w:r>
        <w:t xml:space="preserve"> (ROIC del 15,0 % frente a un WACC del 8,25 %).</w:t>
      </w:r>
    </w:p>
    <w:p>
      <w:pPr>
        <w:spacing w:after="100"/>
      </w:pPr>
      <w:r>
        <w:rPr>
          <w:b/>
        </w:rPr>
        <w:t xml:space="preserve">Sector y ciclo.</w:t>
      </w:r>
      <w:r>
        <w:t xml:space="preserve"> El seguro comercial está en fase blanda: tarifas −6 % en el 2T26, octavo trimestre de bajadas, daños −12 % [15]. Eso explica la caída del subyacente del 7 % de 2024 al 4 % y el −2 % de Guy Carpenter [5].</w:t>
      </w:r>
    </w:p>
    <w:p>
      <w:pPr>
        <w:spacing w:after="100"/>
      </w:pPr>
      <w:r>
        <w:rPr>
          <w:b/>
        </w:rPr>
        <w:t xml:space="preserve">Finanzas.</w:t>
      </w:r>
      <w:r>
        <w:t xml:space="preserve"> Ingresos de 26.981 M en 2025 (+10 %, McGriff) y flujo operativo de 5.292 M. Deuda neta de 18.861 M a junio de 2026 (2,6 veces el EBITDA), rating A-. El 1T26 llevó 425 M por Greensill, que tratamos como deuda en el puente [9].</w:t>
      </w:r>
    </w:p>
    <w:p>
      <w:pPr>
        <w:spacing w:after="100"/>
      </w:pPr>
      <w:r>
        <w:rPr>
          <w:b/>
        </w:rPr>
        <w:t xml:space="preserve">Equipo y gobierno.</w:t>
      </w:r>
      <w:r>
        <w:t xml:space="preserve"> Consejo con presidente independiente, una acción un voto y un 88,0 % a favor del voto de remuneración. Resta algo: el variable premia el BPA ajustado, que excluye la amortización de compras, y los directivos han vendido 18,9 M USD en un año sin comprar [27].</w:t>
      </w:r>
    </w:p>
    <w:p>
      <w:pPr>
        <w:spacing w:after="100"/>
      </w:pPr>
      <w:r>
        <w:rPr>
          <w:b/>
        </w:rPr>
        <w:t xml:space="preserve">Valoración.</w:t>
      </w:r>
      <w:r>
        <w:t xml:space="preserve"> El DCF da 202,40 y el DCF inverso dice que el precio descuenta un crecimiento del 1,8 % anual en 2027-2032 frente al 4,2 % de nuestro base, o un margen que se estanca en el 26,2 %. Con la prima de riesgo del mercado el DCF sube a 227,79. Los comparables no la ven barata (PER de 18,1x frente a 18,5x de mediana): el descuento es frente a su propia historia, porque todo el sector ha bajado de múltiplo con el susto de la IA y el bono al 5,21 %.</w:t>
      </w:r>
    </w:p>
    <w:p>
      <w:pPr>
        <w:spacing w:after="100"/>
      </w:pPr>
      <w:r>
        <w:rPr>
          <w:b/>
        </w:rPr>
        <w:t xml:space="preserve">Riesgos y catalizadores.</w:t>
      </w:r>
      <w:r>
        <w:t xml:space="preserve"> Riesgo de que la IA se coma el negocio: medio a cinco años y concentrado en pymes y particulares; en grandes riesgos, reaseguro y consultoría el sustituto es lento, y Marsh usa la IA para bajar costes; si el crecimiento cae al 2 %, el valor baja un 20-25 %. Los otros dos riesgos: un ciclo blando largo (bajista 135,25, −23,6 %) y una condena de Greensill por encima de lo dotado (−2 % a −4 %). Los foros son alcistas por valoración mientras los analistas recortan objetivos: sin euforia ni capitulación.</w:t>
      </w:r>
    </w:p>
    <w:p>
      <w:pPr>
        <w:spacing w:after="100"/>
      </w:pPr>
      <w:r>
        <w:rPr>
          <w:b/>
        </w:rPr>
        <w:t xml:space="preserve">Qué cambiaría la decisión.</w:t>
      </w:r>
      <w:r>
        <w:t xml:space="preserve"> Comprar por debajo de 187,38 USD; vender por encima de 239,44. Pasaríamos a Mantener si el crecimiento subyacente de Marsh Risk baja del 3 % en dos trimestres o si la dirección guía 2027 por debajo del 4 %; y a Vender si una condena de Greensill supera los 1.500 M adicionales con un crecimiento que no se recupera.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211,80 USD</w:t>
      </w:r>
      <w:r>
        <w:t xml:space="preserve"> (rentabilidad +21,7 % (base +21,3 %)) · Valor intrínseco: 190,43 USD (+7,6 % sobre 177,01) · con la prima implícita del mercado: 208,94 (+18,0 %)</w:t>
      </w:r>
    </w:p>
    <w:p>
      <w:pPr>
        <w:spacing w:after="100"/>
      </w:pPr>
      <w:r>
        <w:t xml:space="preserve">Marsh es el mayor corredor de seguros y reaseguros del mundo y una de las grandes consultoras de recursos humanos: 26.981 M USD de ingresos en 2025, margen operativo del 23,1 % y un ROIC del 15,0 % que no necesita capital para crecer; la caja va a dividendo creciente (16 años) y recompras [1, 7].</w:t>
      </w:r>
    </w:p>
    <w:p>
      <w:pPr>
        <w:spacing w:after="100"/>
      </w:pPr>
      <w:r>
        <w:t xml:space="preserve">El precio descuenta un frenazo duradero: 17,6 veces nuestro BPA de 2027e, frente a una mediana adelantada de 23,2 veces en 2021-2025, y un DCF inverso con un crecimiento del 1,8 % anual o un margen estancado. El sector entero ha caído por el ciclo blando de tarifas (−6 % en el 2T26) y por el miedo a que la IA desintermedie la venta de seguros [15, 16].</w:t>
      </w:r>
    </w:p>
    <w:p>
      <w:pPr>
        <w:spacing w:after="100"/>
      </w:pPr>
      <w:r>
        <w:t xml:space="preserve">Para invertir hay que creer que el ciclo blando es eso, un ciclo, y que la IA abarata la colocación más de lo que quita clientes en grandes riesgos y consultoría. La historia (subyacente positivo en 2020 y en ocho trimestres de tarifas a la baja) apoya la primera; la segunda está por demostrar, y por eso la convicción es baja.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9,70 = 150,35 · 19,4x × 10,88 = 211,07 · 23,4x × 11,74 = 274,72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 / 21,3 %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202,67 (nuestro base +4,1 %)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190,43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 / -23,6 %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8,3 %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208,94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 frente a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187,38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187,38 y 239,44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239,44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crecimiento subyacente de Marsh Risk baja del 3 % en el 3T26 o el 4T26, pasaríamos a Mantener.</w:t>
      </w:r>
    </w:p>
    <w:p>
      <w:pPr>
        <w:pStyle w:val="ListParagraph"/>
        <w:numPr>
          <w:ilvl w:val="0"/>
          <w:numId w:val="2"/>
        </w:numPr>
        <w:spacing w:after="60"/>
      </w:pPr>
      <w:r>
        <w:t xml:space="preserve">Si la guía de 2027 (enero) es inferior al 4 % de crecimiento subyacente, pasaríamos a Mantener.</w:t>
      </w:r>
    </w:p>
    <w:p>
      <w:pPr>
        <w:pStyle w:val="ListParagraph"/>
        <w:numPr>
          <w:ilvl w:val="0"/>
          <w:numId w:val="2"/>
        </w:numPr>
        <w:spacing w:after="60"/>
      </w:pPr>
      <w:r>
        <w:t xml:space="preserve">Si Marsh dota más de 1.000 M adicionales por Greensill, revisaríamos el valor (−2 a −4 USD por acción).</w:t>
      </w:r>
    </w:p>
    <w:p>
      <w:pPr>
        <w:pStyle w:val="ListParagraph"/>
        <w:numPr>
          <w:ilvl w:val="0"/>
          <w:numId w:val="2"/>
        </w:numPr>
        <w:spacing w:after="60"/>
      </w:pPr>
      <w:r>
        <w:t xml:space="preserve">Por encima de 239,44 USD, Vender; por debajo de 187,38 la compra se mantiene.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de los corredores se queda en el 2 % por el ciclo blando y la IA, y que el margen ha tocado techo: 17,6 veces el BPA de 2027e, el múltiplo más bajo en una década, con ocho recortes de objetivos en dos semanas [32].</w:t>
      </w:r>
    </w:p>
    <w:p>
      <w:pPr>
        <w:keepNext/>
        <w:spacing w:after="100"/>
      </w:pPr>
      <w:r>
        <w:rPr>
          <w:b/>
          <w:bCs/>
        </w:rPr>
        <w:t xml:space="preserve">Lo que creemos nosotros.</w:t>
      </w:r>
    </w:p>
    <w:p>
      <w:pPr>
        <w:spacing w:after="100"/>
      </w:pPr>
      <w:r>
        <w:t xml:space="preserve">Crecimiento del 4-5 % (el de 2025-2026 con tarifas a la baja) y medio punto de mejora anual del margen con Thrive; BPA de 10,88 USD en 2028e, en línea con el consenso.</w:t>
      </w:r>
    </w:p>
    <w:p>
      <w:pPr>
        <w:keepNext/>
        <w:spacing w:after="100"/>
      </w:pPr>
      <w:r>
        <w:rPr>
          <w:b/>
          <w:bCs/>
        </w:rPr>
        <w:t xml:space="preserve">Por qué podemos tener razón.</w:t>
      </w:r>
    </w:p>
    <w:p>
      <w:pPr>
        <w:spacing w:after="100"/>
      </w:pPr>
      <w:r>
        <w:t xml:space="preserve">La desaceleración ya está en las cifras y aun así el subyacente aguanta el 4-5 %; la amenaza de la IA golpea primero a particulares y pymes, donde Marsh pesa menos, y la empresa la usa para recortar costes.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7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PER adelantado de 17,6x</w:t>
      </w:r>
      <w:r>
        <w:t xml:space="preserve">, frente a una mediana de 23,2x en cinco años.</w:t>
      </w:r>
    </w:p>
    <w:p>
      <w:pPr>
        <w:pStyle w:val="ListParagraph"/>
        <w:numPr>
          <w:ilvl w:val="0"/>
          <w:numId w:val="2"/>
        </w:numPr>
        <w:spacing w:after="60"/>
      </w:pPr>
      <w:r>
        <w:rPr>
          <w:b/>
        </w:rPr>
        <w:t xml:space="preserve">ROIC del 15,0 %</w:t>
      </w:r>
      <w:r>
        <w:t xml:space="preserve"> frente a un WACC del 8,25 %, sin necesidad de capital.</w:t>
      </w:r>
    </w:p>
    <w:p>
      <w:pPr>
        <w:pStyle w:val="ListParagraph"/>
        <w:numPr>
          <w:ilvl w:val="0"/>
          <w:numId w:val="2"/>
        </w:numPr>
        <w:spacing w:after="60"/>
      </w:pPr>
      <w:r>
        <w:rPr>
          <w:b/>
        </w:rPr>
        <w:t xml:space="preserve">Crecimiento subyacente del 5 %</w:t>
      </w:r>
      <w:r>
        <w:t xml:space="preserve"> en el 2T26 pese a tarifas −6 %.</w:t>
      </w:r>
    </w:p>
    <w:p>
      <w:pPr>
        <w:pStyle w:val="ListParagraph"/>
        <w:numPr>
          <w:ilvl w:val="0"/>
          <w:numId w:val="2"/>
        </w:numPr>
        <w:spacing w:after="60"/>
      </w:pPr>
      <w:r>
        <w:rPr>
          <w:b/>
        </w:rPr>
        <w:t xml:space="preserve">Dividendo +10 %</w:t>
      </w:r>
      <w:r>
        <w:t xml:space="preserve"> en julio de 2026 y 1.512 M de recompras en el semestre.</w:t>
      </w:r>
    </w:p>
    <w:p>
      <w:pPr>
        <w:pStyle w:val="ListParagraph"/>
        <w:numPr>
          <w:ilvl w:val="0"/>
          <w:numId w:val="2"/>
        </w:numPr>
        <w:spacing w:after="60"/>
      </w:pPr>
      <w:r>
        <w:rPr>
          <w:b/>
        </w:rPr>
        <w:t xml:space="preserve">DCF inverso con un 1,8 %</w:t>
      </w:r>
      <w:r>
        <w:t xml:space="preserve"> de crecimiento anual, frente a nuestro 4,2 %.</w:t>
      </w:r>
    </w:p>
    <w:p>
      <w:pPr>
        <w:pStyle w:val="Heading2"/>
      </w:pPr>
      <w:r>
        <w:t xml:space="preserve">En contra</w:t>
      </w:r>
    </w:p>
    <w:p>
      <w:pPr>
        <w:pStyle w:val="ListParagraph"/>
        <w:numPr>
          <w:ilvl w:val="0"/>
          <w:numId w:val="2"/>
        </w:numPr>
        <w:spacing w:after="60"/>
      </w:pPr>
      <w:r>
        <w:rPr>
          <w:b/>
        </w:rPr>
        <w:t xml:space="preserve">Ciclo blando</w:t>
      </w:r>
      <w:r>
        <w:t xml:space="preserve">: octavo trimestre de bajadas de tarifas; daños −12 %.</w:t>
      </w:r>
    </w:p>
    <w:p>
      <w:pPr>
        <w:pStyle w:val="ListParagraph"/>
        <w:numPr>
          <w:ilvl w:val="0"/>
          <w:numId w:val="2"/>
        </w:numPr>
        <w:spacing w:after="60"/>
      </w:pPr>
      <w:r>
        <w:rPr>
          <w:b/>
        </w:rPr>
        <w:t xml:space="preserve">IA</w:t>
      </w:r>
      <w:r>
        <w:t xml:space="preserve">: el sector cayó un 9 % en un día (9-feb-2026) por la venta directa.</w:t>
      </w:r>
    </w:p>
    <w:p>
      <w:pPr>
        <w:pStyle w:val="ListParagraph"/>
        <w:numPr>
          <w:ilvl w:val="0"/>
          <w:numId w:val="2"/>
        </w:numPr>
        <w:spacing w:after="60"/>
      </w:pPr>
      <w:r>
        <w:rPr>
          <w:b/>
        </w:rPr>
        <w:t xml:space="preserve">Greensill</w:t>
      </w:r>
      <w:r>
        <w:t xml:space="preserve">: 425 M dotados y una demanda de unos 2.000 M en juicio.</w:t>
      </w:r>
    </w:p>
    <w:p>
      <w:pPr>
        <w:pStyle w:val="ListParagraph"/>
        <w:numPr>
          <w:ilvl w:val="0"/>
          <w:numId w:val="2"/>
        </w:numPr>
        <w:spacing w:after="60"/>
      </w:pPr>
      <w:r>
        <w:rPr>
          <w:b/>
        </w:rPr>
        <w:t xml:space="preserve">Comparables a 18,5x</w:t>
      </w:r>
      <w:r>
        <w:t xml:space="preserve">: no está barata frente al sector.</w:t>
      </w:r>
    </w:p>
    <w:p>
      <w:pPr>
        <w:pStyle w:val="ListParagraph"/>
        <w:numPr>
          <w:ilvl w:val="0"/>
          <w:numId w:val="2"/>
        </w:numPr>
        <w:spacing w:after="60"/>
      </w:pPr>
      <w:r>
        <w:rPr>
          <w:b/>
        </w:rPr>
        <w:t xml:space="preserve">Directivos vendedores</w:t>
      </w:r>
      <w:r>
        <w:t xml:space="preserve">: 18,9 M en ventas y ninguna compra en 12 meses.</w:t>
      </w:r>
    </w:p>
    <w:p>
      <w:pPr>
        <w:pStyle w:val="Heading2"/>
      </w:pPr>
      <w:r>
        <w:t xml:space="preserve">Qué tiene que pasar para que la tesis funcione</w:t>
      </w:r>
    </w:p>
    <w:p>
      <w:pPr>
        <w:spacing w:after="100"/>
      </w:pPr>
      <w:r>
        <w:t xml:space="preserve">La tesis depende de que el crecimiento subyacente de Marsh Risk aguante en el 4 % o más mientras caen las tarifas. La señal de que no se cumple: dos trimestres por debajo del 3 % en EE. UU./Canadá, o una guía de 2027 por debajo del 4 % para el grupo. La primera lectura llega el 15-oct-2026 con el 3T26.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Marsh Risk</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expuesta a tarifas y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tarifas comerciales de Marsh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Thrive debe ampliarlo.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Intereses fiduciarios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 de Greensill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Dotación adicional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legal abierto.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21,6x / 18,1x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1871 como agencia de seguros en Chicago, Marsh &amp; McLennan nace en 1905 de la unión de Henry Marsh y Donald McLennan y cotiza en la Bolsa de Nueva York desde 1962 [1]. Se diversificó en consultoría de recursos humanos (Mercer, 1959), consultoría de dirección (Oliver Wyman, 2003) y reaseguro (Guy Carpenter). Tras el escándalo de las comisiones contingentes de 2004 se deshizo de Putnam y Kroll y se concentró en riesgo y consultoría. Con JLT (2019) y McGriff (2024) consolidó el primer puesto mundial en correduría [1]. En 2026 pasó a llamarse comercialmente «Marsh» (ticker MRSH desde el 14-ene-2026) y renombró sus unidades: Marsh Risk y Marsh Management Consulting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Unión de Henry Marsh y Donald McLennan.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Nueva York.</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Escándalo de las comisiones contingentes (demanda del fiscal de Nueva York); cambio de cúpula y de modelo de cobro.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Jardine Lloyd Thompson (≈5.600 M GBP).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Doyle,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McGriff por 7.750 M USD (cerrada en noviembre).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Thrive (500 M de coste, 400 M de ahorro) y nueva marca única.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 MRSH (14-ene); cargo de 425 M por Greensill (1T26).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Marsh es la mayor firma mundial de servicios profesionales de riesgo, seguros y recursos humanos: 26.981 M USD de ingresos en 2025, más de 95.000 empleados y clientes en 130 países [1]. Tiene dos segmentos. Risk &amp; Insurance Services (64 % de los ingresos) agrupa a Marsh Risk (54 %), primer corredor de seguros del mundo para empresas, administraciones y particulares de patrimonio alto, y a Guy Carpenter (10 %), corredor de reaseguro para aseguradoras. Consulting (36 %) agrupa a Mercer (23 %; salud y beneficios, consultoría de pensiones y gestión delegada de inversiones, con unos 650.000 M USD de activos bajo gestión) y a Marsh Management Consulting (13 %, antes Oliver Wyman) [1].</w:t>
      </w:r>
    </w:p>
    <w:p>
      <w:pPr>
        <w:pStyle w:val="Heading2"/>
      </w:pPr>
      <w:r>
        <w:t xml:space="preserve">Cómo gana dinero</w:t>
      </w:r>
    </w:p>
    <w:p>
      <w:pPr>
        <w:spacing w:after="100"/>
      </w:pPr>
      <w:r>
        <w:t xml:space="preserve">En correduría cobra comisiones sobre la prima que coloca (y honorarios en grandes cuentas): el ingreso sube con las tarifas de los seguros, el valor asegurado de los clientes y los clientes nuevos, y no asume el riesgo del seguro. Unos 403 M salen de los intereses del dinero de clientes que custodia (primas y siniestros en tránsito) [1]. La renovación anual es muy alta y estacional: el primer trimestre concentra las renovaciones de enero y es el de más margen (31,6 % de margen EBITDA en el 1T25 frente al 21,9 % del 4T25) [5 de A]. El coste es casi todo personal (compensación y beneficios = 56 % de los ingresos en el 1S26) [5]; el apalancamiento operativo viene de crecer más que la plantilla. En Mercer, parte de los ingresos dependen de los activos gestionados (mercados) y en consultoría de dirección, de la demanda de proyectos.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&amp; Insurance Services (Marsh Risk y Guy Carpenter)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 (Mercer y Marsh Management Consulting)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&amp; Insurance Services (Marsh Risk y Guy Carpenter)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 (Mercer y Marsh Management Consulting)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decenas de miles de clientes y ninguno relevante [1]. La renovación de las pólizas en correduría supera tradicionalmente el 90 % (dato del sector; la empresa no lo publica). El poder de precios es indirecto: la comisión sigue a la prima, y la prima ha caído un 6 % en el 2T26 (octavo trimestre de bajadas; daños −12 %) mientras el crecimiento subyacente de Marsh Risk se mantiene en el 4 % gracias a clientes nuevos y a la exposición asegurada [5, 15]. La debilidad está en el reaseguro (Guy Carpenter −2 % en el 2T26)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ingresos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(2025); 4 % 1T26 y 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divisa ni perímetro; la empresa espera para 2026 algo parecido a 2025 [5,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Marsh Risk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UU./Canadá 4 % e Internacional 5 % en el 2T26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Guy Carpenter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(1S26); −2 %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reaseguro de daños abarata: menos comisión por la misma cobertura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Consulting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 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Marsh Management Consulting +13 % en el 2T26; Mercer +5 %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partidas destacadas y la amortización de intangibles adquiridos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Intereses fiduciarios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 M (2025); 173 M 1S26 (202 M 1S25)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Bajan con los tipos de interés; son casi puro margen [1,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intermediación de seguros y reaseguros en todo el mundo: corredores y agencias que colocan riesgos de empresas y particulares por una comisión u honorario. Las estimaciones varían mucho por perímetro: Global Market Insights lo sitúa en 276.500 M USD en 2025 (corredores y agentes) y Mordor Intelligence en 359.270 M en 2026 [13, 14]. Usamos la de Global Market Insights, más prudente y con el mismo perímetro que la cuota de Risk &amp; Insurance Services. Consulting (Mercer y consultoría de dirección) es otro mercado y no entra en la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276.500 M USD en 2025 (Global Market Insights) [13]; 359.270 M en 2026 según Mordor Intelligence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los seguros comerciales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de Marsh: −6 % global en el 2T26, octavo trimestre seguido de bajadas; daños −12 %, ciberriesgos −4 %, responsabilidad civil +2 %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Valores asegurados y economía (nóminas, ventas, inmuebles)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de Marsh Risk del 4 % en el 2T26 pese a las tarifas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compras de corredurías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7.750-13.450 M en 2024-2025 (McGriff, AssuredPartners, Accession)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(intereses fiduciarios)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Intereses fiduciarios de Marsh: 497 M en 2024, 403 M en 2025, 173 M en el 1S26 (202 M en el 1S25) [1,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venta directa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media del 9 % de los corredores el 9-feb-2026 tras aplicaciones de cotización con ChatGPT en seguros personales; los analistas lo ven más en líneas personales que en comerciales [16,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globales (Marsh, Aon, WTW, Gallagher) y una larga cola regional; la competencia por talento es intensa (fichajes de equipos y pleitos por pactos de no competencia)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cuentas negocian honorarios y pueden autoasegurarse; la renovación sigue siendo alta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aseguradoras dependen de los corredores para la distribución comercial; el «proveedor» crítico es el talento (56 % de los ingresos en personal)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escala de datos y relaciones; los nuevos entran por capital privado comprando corredurías, no desde cero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y digital, ya clara en seguros personales; la IA podría extenderla a pymes; poco probable en grandes riesgos [16, 17].</w:t>
            </w:r>
          </w:p>
        </w:tc>
      </w:tr>
    </w:tbl>
    <w:p>
      <w:pPr>
        <w:spacing w:after="160" w:before="0"/>
      </w:pPr>
    </w:p>
    <w:p>
      <w:pPr>
        <w:pStyle w:val="Heading2"/>
      </w:pPr>
      <w:r>
        <w:t xml:space="preserve">Ciclo</w:t>
      </w:r>
    </w:p>
    <w:p>
      <w:pPr>
        <w:spacing w:after="100"/>
      </w:pPr>
      <w:r>
        <w:t xml:space="preserve">Las tarifas comerciales llevan ocho trimestres bajando (−6 % en el 2T26) por exceso de capacidad, beneficios altos de las aseguradoras y reaseguro más barato [15]. Es el lado blando del ciclo del seguro: el crecimiento subyacente de Marsh cae del 7 % de 2024 al 4 % [5 de A]. En 2008-09 el sector sufrió por la caída de la actividad y las tarifas blandas (crecimiento cercano a cero); en 2020 apenas notó la pandemia (crecimiento subyacente positivo) y en 2022-23 el endurecimiento de tarifas lo aceleró. Un año de grandes catástrofes volvería a endurecer el mercado.</w:t>
      </w:r>
    </w:p>
    <w:p>
      <w:pPr>
        <w:pStyle w:val="Heading2"/>
      </w:pPr>
      <w:r>
        <w:t xml:space="preserve">Regulación</w:t>
      </w:r>
    </w:p>
    <w:p>
      <w:pPr>
        <w:spacing w:after="100"/>
      </w:pPr>
      <w:r>
        <w:t xml:space="preserve">La correduría está regulada por los supervisores de seguros de cada país (estados de EE. UU., FCA en Reino Unido) y Mercer por los de inversión (SEC, Departamento de Trabajo, banco central irlandés) [1]. Las comisiones contingentes y los ingresos de las aseguradoras siguen bajo vigilancia desde 2004; la FCA ha revisado la remuneración de los corredores mayoristas. Las sanciones internacionales y la normativa de IA y protección de datos añaden costes [1]. El impuesto mínimo de la OCDE afecta al tipo efectivo.</w:t>
      </w:r>
    </w:p>
    <w:p>
      <w:pPr>
        <w:pStyle w:val="Heading2"/>
      </w:pPr>
      <w:r>
        <w:t xml:space="preserve">Tendencias y disrupción</w:t>
      </w:r>
    </w:p>
    <w:p>
      <w:pPr>
        <w:spacing w:after="100"/>
      </w:pPr>
      <w:r>
        <w:t xml:space="preserve">Tres cambios. La IA abarata el trabajo de colocación y de análisis (Marsh tiene 46.000 empleados formados en su academia de IA y una unidad central, Business Client Services, para automatizar) [1], pero también abre la puerta a la venta directa en riesgos sencillos [16]. El capital privado consolida corredurías medianas y encarece las compras (14-22 veces el EBITDAC) [1]. Y los mercados de capitales sustituyen parte del reaseguro (bonos catastróficos), lo que presiona a Guy Carpenter. Marsh gana con la escala y los datos en grandes cuentas y pierde algo en reaseguro.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correduría de seguros y reaseguros (≈6 % de un mercado de ≈276.500 M USD, con los 17.265 M de Risk &amp; Insurance Services); en consultoría de recursos humanos, Mercer es de los tres primeros.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(corredor y reaseguro, consultoría de salud y patrimonio); compró NFP en 2024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Arthur J. Gallagher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en serie de corredurías medianas; AssuredPartners por 13.450 M (2024-25)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Correduría y consultoría de recursos humanos; vendió Willis Re a Gallagher en 2021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 &amp; Brown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Corredor de pymes y mayorista; compró Accession por 9.825 M en 2025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Specialty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 de riesgos especiales; crece más rápido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(capital privado); compradora agresiva en EE. UU.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primas colocadas dan más datos y más poder ante las aseguradoras (facilidades y programas propios); el reaseguro y los grandes riesgos exigen esa escala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seguro complejos y relaciones de años; renovaciones altas y crecimiento subyacente positivo durante ocho trimestres de tarifas a la baja [4,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150 años, licencias en 130 países y talento; 18 años seguidos de mejora del margen ajustado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30,5 % en el 1S26, entre los más altos de los grandes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globales en grandes riesgos y reaseguro; un nuevo entrante no puede replicar la red en 130 países [1].</w:t>
            </w:r>
          </w:p>
        </w:tc>
      </w:tr>
    </w:tbl>
    <w:p>
      <w:pPr>
        <w:spacing w:after="160" w:before="0"/>
      </w:pPr>
    </w:p>
    <w:p>
      <w:pPr>
        <w:pStyle w:val="Heading2"/>
      </w:pPr>
      <w:r>
        <w:t xml:space="preserve">Amenazas</w:t>
      </w:r>
    </w:p>
    <w:p>
      <w:pPr>
        <w:spacing w:after="100"/>
      </w:pPr>
      <w:r>
        <w:t xml:space="preserve">La amenaza principal es que la IA reduzca el valor de la colocación en riesgos estandarizados (pymes y particulares) y empuje las comisiones a la baja; en grandes riesgos y reaseguro es menos probable en cinco años [16, 17]. La segunda es la fuga de equipos hacia rivales financiados por capital privado. La tercera, un ciclo blando largo en daños y reaseguro. Probabilidad de erosión significativa del foso a cinco años: baja-media.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2019-2025: ingresos </w:t>
      </w:r>
      <w:r>
        <w:rPr>
          <w:b/>
          <w:bCs/>
        </w:rPr>
        <w:t xml:space="preserve">8,4 %</w:t>
      </w:r>
      <w:r>
        <w:t xml:space="preserve">, EBITDA </w:t>
      </w:r>
      <w:r>
        <w:rPr>
          <w:b/>
          <w:bCs/>
        </w:rPr>
        <w:t xml:space="preserve">13,6 %</w:t>
      </w:r>
      <w:r>
        <w:t xml:space="preserve">, BPA </w:t>
      </w:r>
      <w:r>
        <w:rPr>
          <w:b/>
          <w:bCs/>
        </w:rPr>
        <w:t xml:space="preserve">16,3 %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16.652 M (2019) a 26.981 M (2025), un 8,4 % anual: unos 4-5 puntos son crecimiento subyacente y el resto compras (JLT en 2019, McGriff a finales de 2024, que aporta casi 10 puntos al crecimiento de Marsh Risk en 2025) [1, 4]. El crecimiento subyacente se ha frenado del 7 % de 2024 al 4 % de 2025 y del 1S26, con Guy Carpenter plano por el abaratamiento del reaseguro [5, 7]. El margen operativo publicado sube de 16,1 % en 2019 a 23,1 % en 2025 (18 años seguidos de mejora del margen ajustado, según la empresa) [7]; 2026 lleva un cargo de 425 M por el litigio Greensill en el 1T26, que deja el resultado operativo del semestre en −5 % pese a un +7 % de ingresos [5, 9]. El resultado financiero empeora de −337 M a −684 M en 2025 por la deuda de McGriff (gasto por intereses de 700 M a 960 M) [1].</w:t>
      </w:r>
    </w:p>
    <w:p>
      <w:pPr>
        <w:pStyle w:val="Heading2"/>
      </w:pPr>
      <w:r>
        <w:t xml:space="preserve">Ajustes y partidas no recurrentes</w:t>
      </w:r>
    </w:p>
    <w:p>
      <w:pPr>
        <w:spacing w:after="100"/>
      </w:pPr>
      <w:r>
        <w:t xml:space="preserve">Se usan cifras publicadas (US GAAP). La empresa da un BPA ajustado que excluye la amortización de intangibles adquiridos (549 M en 2025) y las «partidas destacadas» (reestructuración, integración de McGriff, cambios en contraprestaciones contingentes y litigios): 9,75 USD en 2025 frente a 8,43 publicados [7]. Las partidas destacadas se repiten todos los años (Thrive: 500 M en tres años; integración de McGriff), así que no se tratan como no recurrentes. La única excepción es el cargo de 425 M por Greensill del 1T26, que va en no_recurrentes_en_ebitda del LTM [5, 9]. Hasta 2021 el XBRL da la amortización total; desde 2022 se suma la de intangibles (338-549 M) a la de inmovilizado [1, 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la dirección mantuvo un crecimiento subyacente para 2026 «parecido al de 2025» (4 %) y fijó en 400 M el ahorro del programa Thrive, que costará unos 500 M en tres años [1, 11]. El 1T26 batió en 0,07 USD el BPA ajustado esperado (3,29) y el 2T26 otra vez en 0,07 (2,96) [11]. El mensaje del 2T26 fue de «ejecución en un entorno dinámico»: subyacente del 5 %, con Marsh Management Consulting (+13 %) y Mercer Wealth (+8 %) compensando a Guy Carpenter (−2 %) y a unas primas de daños que caen [5]. Las preguntas que se repiten: cuánto restan al crecimiento las bajadas de tarifas de daños (−12 % en el 2T26 según el índice de la propia Marsh), el efecto de la IA en la intermediación, la caída de los intereses fiduciarios (173 M frente a 202 M en el semestre) y el uso de la caja (1.512 M en recompras en el semestre y 5 compras pequeñas por 181 M) [5, 9, 10]. La dirección no ha dado una guía cuantitativa de margen ni ha cuantificado el riesgo restante de Greensill (juicio con los fondos de Credit Suisse, que reclaman unos 2.000 M, previsto para septiembre de 2026)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(2019: Jardine Lloyd Thompson (JLT), consolidada desde el 1-abr-2019 (unos 5.600 M GBP de capital).; 2024: McGriff Insurance Services: compra de 7.750 M USD cerrada el 15-nov-2024; entra en el balance de 2024 y solo mes y medio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saltó de 13.463 M a 19.947 M en 2024 para pagar McGriff (8.170 M de bonos nuevos) y se ha mantenido: 20.561 M a junio de 2026 con 1.024 M de pagarés para financiar 1.512 M de recompras del semestre [1, 5]. Los vencimientos son cómodos (1.300 M en 2026 y 2027) y el rating A- estable [1]. El circulante operativo (clientes menos acreedores) ronda el 15 % de las ventas y es estacional: en el primer semestre se pagan los bonus (−1.319 M) y suben los cobros pendientes (−1.365 M), y la caja vuelve en el segundo [5]. El efectivo fiduciario (11.473-12.203 M) se excluye de la caja y de los pasivos de este informe: es dinero de clientes y aseguradoras con el pasivo exactamente igual.</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23.908</w:t>
      </w:r>
      <w:r>
        <w:t xml:space="preserve">, conversión </w:t>
      </w:r>
      <w:r>
        <w:rPr>
          <w:b/>
          <w:bCs/>
        </w:rPr>
        <w:t xml:space="preserve">109 %</w:t>
      </w:r>
      <w:r>
        <w:t xml:space="preserve"> del beneficio neto; adquisiciones 16.477, dividendos 8.507, recompras 7.656.</w:t>
      </w:r>
    </w:p>
    <w:p>
      <w:pPr>
        <w:spacing w:after="100"/>
      </w:pPr>
      <w:r>
        <w:t xml:space="preserve">El flujo operativo pasa de 2.361 M (2019) a 5.292 M (2025), por encima del beneficio neto todos los años desde 2020 (1,25 veces en 2025) porque la amortización de intangibles (549 M) y los pagos en acciones (394 M) no son caja [1]. El capex es pequeño (291 M, 1,1 % de las ventas) y casi todo de mantenimiento (tecnología y oficinas); el arrendamiento de oficinas va dentro del flujo operativo (US GAAP) [1]. La inversión que hace crecer el negocio son las compras: 4.229 M en 2019 (JLT), 8.542 M en 2024 (McGriff) y 570-980 M el resto de años [1, 4]. El flujo del semestre es estacional (835 M en el 1S26 frente a 1.049 M en el 1S25, con más cobros pendientes) [5]. En el estado de flujos, el cambio de los pasivos fiduciarios va en financiación y no se toca aquí.</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US GAAP sin salvedades de Deloitte [1]. Tres asuntos que mirar. Primero, el beneficio ajustado de la empresa (9,75 USD de BPA en 2025) excluye cada año «partidas destacadas» que se repiten (reestructuración, integración, contraprestaciones contingentes): en 2025 sumaron unos 525 M antes de impuestos, el 8 % del resultado operativo; este informe usa las cifras publicadas [7]. Segundo, la remuneración en acciones es de 394 M (9,5 % del beneficio neto), moderada para una firma de servicios profesionales [1]. Tercero, el balance es casi todo fondo de comercio e intangibles (29.083 M frente a 15.315 M de patrimonio) por las compras; no ha habido deterioros relevantes de JLT ni de McGriff [1]. El efectivo fiduciario se presenta en balance desde 2022 con un pasivo igual: se excluye de los ratios. La lectura de Altman, Piotroski y Beneish del motor se da en el informe.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«destacadas» recurrentes fuera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Thrive (500 M en tres años), integración de McGriff y cambios de contraprestaciones: 8 % del resultado operativo en 2025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 Greensill con dotación revisable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425 M dotados en el 1T26; la empresa avisa de que el resultado puede diferir materialmente y que podría dotar más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Intereses fiduciarios en ingresos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403 M en 2025 (1,5 % de los ingresos, casi todo margen) que bajan con los tipos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24,0 % · </w:t>
      </w:r>
      <w:r>
        <w:rPr>
          <w:b/>
          <w:bCs/>
        </w:rPr>
        <w:t xml:space="preserve">WACC</w:t>
      </w:r>
      <w:r>
        <w:t xml:space="preserve">: 8,3 %.</w:t>
      </w:r>
    </w:p>
    <w:p>
      <w:pPr>
        <w:spacing w:after="100"/>
      </w:pPr>
      <w:r>
        <w:t xml:space="preserve">Marsh crea valor con holgura: el ROIC del motor es del 15,0 % en 2025 frente a un WACC del 8,25 %, unos 6,8 puntos por encima, y ha estado entre el 15,0 % y el 18,4 % desde 2021 [1]. Lo que lo mueve es el margen (la rotación del capital es de 0,58 veces y casi no cambia): el margen operativo pasó del 16,1 % al 23,1 % entre 2019 y 2025. El capital invertido es casi todo fondo de comercio de compras (24.337 M), así que el ROIC cae cada vez que compra caro: bajó del 18,4 % (2023) al 15,0 % (2025) por McGriff, comprada a unas 21 veces el EBITDAC [35]. El ROIC incremental histórico (24 % según el motor) es alto porque el crecimiento subyacente no necesita capital. Frente a los rivales (estimación propia con EBIT y capital invertido de Yahoo de 2025): Aon 17,9 %, WTW 13,0 %, Ryan 9,4 %, Brown &amp; Brown 6,5 % y Gallagher 5,6 %; Marsh es la segunda más rentable [34].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1.700 M a 30-jun-26 (2.687 M al cierre de 2025), programa de pagarés de 3.500 M (1.024 M emitidos en el 1S26) y línea de crédito comprometida; no incluye 12.203 M de efectivo fiduciario, que pertenece a clientes y aseguradoras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(estable), Moody’s A3 (estable), Fitch A- (estable)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activos de pensiones de 2.225 M frente a pasivos de 739 M a 30-jun-26, un superávit neto de unos 1.486 M que genera «otros créditos netos por pensiones» de ~200 M al año fuera del resultado operativo [5]. Litigios: pasivo de 425 M dotado en el 1T26 por Greensill (acuerdo con Greensill Bank en junio de 2026 y estimación para la demanda de los fondos de Credit Suisse, que reclaman unos 2.000 M más intereses; juicio previsto para septiembre de 2026), en acreedores y gastos devengados [9]. Pasivo por errores y omisiones de 280 M [5]. Arrendamientos operativos de 1.821 M (US GAAP: su coste ya está en el EBITDA, no van al puente) [5]. Las hipotecas de la sede de Nueva York no tienen recurso salvo rebaja a B [1].</w:t>
      </w:r>
    </w:p>
    <w:p>
      <w:pPr>
        <w:pStyle w:val="Heading1"/>
      </w:pPr>
      <w:r>
        <w:t xml:space="preserve">12. Asignación de capital</w:t>
      </w:r>
    </w:p>
    <w:p>
      <w:pPr>
        <w:pStyle w:val="Confianza"/>
        <w:spacing w:after="100"/>
      </w:pPr>
      <w:r>
        <w:t xml:space="preserve">Confianza: Alta</w:t>
      </w:r>
    </w:p>
    <w:p>
      <w:pPr>
        <w:spacing w:after="100"/>
      </w:pPr>
      <w:r>
        <w:t xml:space="preserve">Prioridades declaradas: dividendo creciente (subido un 10 % en julio de 2026 a 0,99 USD trimestrales; 16 años seguidos de subidas), compras de corredurías y consultoras, y recompras con el resto [1, 5]. En 2025 recompró 10,1 millones de acciones por 2.012 M y en el 1S26 otros 8,7 millones por 1.512 M, con parte financiada con pagarés [5, 7]. Mantiene el rating A-/A3 como límite al endeudamiento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Jardine Lloyd Thompson (JLT), corredor británico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costes de integración elevaron los gastos de 2019-2020; sin deterioros del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McGriff Insurance Services (EE. UU., mediana empresa)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por 8.170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completada en 2025 según la empresa; aporta unos 1.280 M de ingresos en 2025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compras pequeñas (entre ellas AltamarCAM en España y TriBridge Partners)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Recientes [9].</w:t>
            </w:r>
          </w:p>
        </w:tc>
      </w:tr>
    </w:tbl>
    <w:p>
      <w:pPr>
        <w:spacing w:after="160" w:before="0"/>
      </w:pPr>
    </w:p>
    <w:p>
      <w:pPr>
        <w:spacing w:after="100"/>
      </w:pPr>
      <w:r>
        <w:t xml:space="preserve">Desde 2019 ha dedicado unos 16.400 M a compras, 8.900 M a dividendos y 7.650 M a recompras [4]. Las dos grandes (JLT y McGriff) se pagaron caras (21 veces el EBITDAC en McGriff, según una nota de analistas) y llevan el fondo de comercio a 24.337 M, lo que limita el ROIC sobre el capital total; pero el ROIC operativo sigue muy por encima del coste de capital y la dilución es negativa: las acciones diluidas bajan de 511 M (2019) a 482 M (2T26) [1, 5]. El veredicto: buena asignadora, aunque el retorno incremental de McGriff aún no se ha probado.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Q. Doyle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compañía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2016 desde AIG (presidente de seguros generales); dirigió Marsh y fue director de operaciones del grupo en 2021-22. Como consejero delegado: ingresos de 22.736 M (2023) a 26.981 M (2025), compra e integración de McGriff y programa Thrive [7,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C. McGivney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desde abril de 2026,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2007 (Mercer, Marsh); director financiero desde 2016. Desde el 15-abr-2026 dirige además la estrategia de compras y la ejecución de prioridades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Nick Studer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Marsh Risk</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30 años en Oliver Wyman, que dirigió cinco años con fuerte crecimiento; sustituye a Martin South en Marsh Risk desde el 1-abr-2026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South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clientes (Chief Client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Marsh Risk; ahora coordina clientes entre negocios y la aplicación de la IA a la experiencia del cliente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 Edward Hanway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de CIGNA; consejero desde 2010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medio de un dígito, expansión del margen ajustado y crecimiento sólido del BPA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Subyacente 4 %, margen ajustado al alza (18.º año), BPA ajustado +9 % a 9,75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subyacente parecido al de 2025; 400 M de ahorro de Thrive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 en el 1T26 y 5 % en el 2T26; BPA ajustado del 1S26 +8 %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el consejero delegado lleva tres años, el director financiero diez, y los relevos de 2026 (Studer a Marsh Risk, South a clientes, McGivney a director de operaciones) son internos y ordenados [28, 29]. La dirección ha cumplido de forma sistemática su promesa de mejorar el margen ajustado (18 años) [7]. El punto débil es la credibilidad en el crecimiento: el subyacente bajó del 7 % al 4 % y la guía de 2026 es poco exigente. Sucesión: McGivney gana peso como número dos.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 Edward Hanway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Q. Doyle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K. Anderson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Broussard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Harrison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Judith Hartmann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C. Hopkins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Tamara Ingram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empresarial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Jane H. Lute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A. Mills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Morton O. Schapiro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Siegmund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Lloyd M. Yates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Finanzas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18,56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 de feb-2024)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 de ene-2024)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del 1 % en conjunto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75,8 millones de acciones a 31-dic-2025 (69,2 un año antes)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Q. Doyle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Lloyd M. Yates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Jude Jones (marketing)</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South (clientes)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Nick Studer (Marsh Risk)</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25,05 M USD en 2025 (22,81 M en 2024): 1,5 M de fijo, 5,55 M de bonus anual y 17,58 M en acciones y opciones, 329 veces el empleado mediano (76.092 USD) [24]. El variable a largo plazo son opciones y unidades de acciones por rendimiento (PSU) que dependen del crecimiento del BPA ajustado a tres años y del TSR relativo frente al S&amp;P 500: las PSU de 2023 pagaron el 200 % por BPA (12,7 % anual frente al 8 % objetivo) pese a un TSR en el percentil 38 [24]. Premia el BPA ajustado, que excluye la amortización de compras: incentiva comprar. Hay cláusula de recuperación y obligación de mantener acciones (seis veces el sueldo) [24]. Voto consultivo: 88,0 % a favor en 2026 y 90,6 % en 2025 [25, 26].</w:t>
      </w:r>
    </w:p>
    <w:p>
      <w:pPr>
        <w:pStyle w:val="Heading2"/>
      </w:pPr>
      <w:r>
        <w:t xml:space="preserve">Operaciones vinculadas, estructura de control y defensas</w:t>
      </w:r>
    </w:p>
    <w:p>
      <w:pPr>
        <w:spacing w:after="100"/>
      </w:pPr>
      <w:r>
        <w:t xml:space="preserve">Capital disperso sin accionista de control: Vanguard (9,0 %) y BlackRock (8,4 %) son los mayores [24]. Una acción, un voto; consejo de 13 con 12 independientes, presidente independiente separado del consejero delegado y elección anual de todos los consejeros [24, 25]. No hay operaciones vinculadas relevantes ni blindajes conocidos. Las ventas de directivos de los últimos 12 meses suman 18,9 M USD (12,9 M con planes 10b5-1, casi todas del consejero delegado tras ejercer opciones) y no hay compras en mercado [27]. Dos consejeros con más de 15 años (Schapiro desde 2002, Hanway desde 2010) recibieron los mayores votos en contra (7,6 % y 5,5 %) [25].</w:t>
      </w:r>
    </w:p>
    <w:p>
      <w:pPr>
        <w:pStyle w:val="Heading2"/>
      </w:pPr>
      <w:r>
        <w:t xml:space="preserve">Señales de alerta</w:t>
      </w:r>
    </w:p>
    <w:p>
      <w:pPr>
        <w:pStyle w:val="ListParagraph"/>
        <w:numPr>
          <w:ilvl w:val="0"/>
          <w:numId w:val="2"/>
        </w:numPr>
        <w:spacing w:after="60"/>
      </w:pPr>
      <w:r>
        <w:t xml:space="preserve">Ventas de directivos por 18,9 M USD en 12 meses y ninguna compra, con la acción un 14 % abajo en el año [27].</w:t>
      </w:r>
    </w:p>
    <w:p>
      <w:pPr>
        <w:pStyle w:val="ListParagraph"/>
        <w:numPr>
          <w:ilvl w:val="0"/>
          <w:numId w:val="2"/>
        </w:numPr>
        <w:spacing w:after="60"/>
      </w:pPr>
      <w:r>
        <w:t xml:space="preserve">Litigio Greensill: 425 M dotados y juicio con fondos de Credit Suisse previsto para septiembre de 2026 (ver balance).</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la dirección espera un crecimiento subyacente de los ingresos parecido al de 2025 (4 %), seguir ampliando el margen ajustado y 400 M de ahorros brutos del programa Thrive (coste de unos 500 M en 2025-2027); confirmado con los resultados del 2T26 (21-jul-2026) [31]. No da guía numérica de BPA. Los resultados del 3T26 se publican el 15-oct-2026, al día siguiente de la fecha de corte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publicado; EBITDA y EBIT ajustados)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177,00 – 238,00</w:t>
            </w:r>
          </w:p>
        </w:tc>
      </w:tr>
    </w:tbl>
    <w:p>
      <w:pPr>
        <w:spacing w:after="160" w:before="0"/>
      </w:pPr>
    </w:p>
    <w:p>
      <w:pPr>
        <w:pStyle w:val="Heading2"/>
      </w:pPr>
      <w:r>
        <w:t xml:space="preserve">Revisiones de estimaciones</w:t>
      </w:r>
    </w:p>
    <w:p>
      <w:pPr>
        <w:spacing w:after="100"/>
      </w:pPr>
      <w:r>
        <w:t xml:space="preserve">Los objetivos van a la baja: en las dos últimas semanas Morgan Stanley (de 200 a 180), BMO (203 a 179), KBW (202 a 186), Mizuho (201 a 190), Evercore (234 a 224), Goldman (197 a 191), Wells Fargo (188 a 183) y BofA (182 a 177, infraponderar) recortaron, y solo UBS (216 a 222) y JPMorgan (212 a 215) subieron [32]. El consenso de BPA ajustado de Stock Analysis es 10,45 USD para 2026 y 11,42 para 2027 (16 analistas) [33]; el de MarketScreener en base publicada, 8,60 y 10,08 [31]. Solo hay una fuente con estimaciones completas; el objetivo medio coincide en las dos (202,67) [32, 33].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pierde un 14,5 % en un año frente al +17,5 % del S&amp;P 500 y el +6,3 % del ETF de seguros (IAK) [30]. Tres golpes explican la mayor parte: −8,5 % el 16-oct-2025 con los resultados del 3T25 (subyacente del 4 % y menos de lo esperado), −7,5 % el 9-feb-2026 con el pánico por la IA en los corredores (−9 % de media en el sector ese día), y el goteo del ciclo blando de tarifas [30]. El mínimo de 52 semanas (156,60) fue el 3-jun-2026; desde entonces rebota un 13 %. A diez años, la acción (+10,4 % anual) va en línea con el sector y por debajo del índice. Beta mensual de 5 años de 0,56 (0,75 ajustada semanal); volatilidad anual del 26,5 % y caída máxima del −34,4 % entre abril de 2025 y junio de 2026 [30].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Marsh cotiza a 17,6 veces nuestro BPA de 2027e, el PER adelantado más bajo de la última década: entre 2020 y 2025 el precio de cierre de cada año fue de 19 a 29 veces el BPA real del año siguiente (mediana de cinco años de 23,2x) [4, 30]. El descuento tiene causas que no son solo de sentimiento: el crecimiento subyacente bajó del 7 % al 4 %, las tarifas comerciales llevan ocho trimestres a la baja y los intereses fiduciarios caen con los tipos [5, 15]. Además, el bono a 10 años está en el 5,21 %, frente al 1-4 % en que se formó la historia [37]. Lo estructural es el miedo a la IA en la intermediación desde febrero de 2026 [16]. Excluimos los cierres de 2018 y 2019 (BPA de 2019 y 2020 deprimido por los costes de la compra de JLT).</w:t>
      </w:r>
    </w:p>
    <w:p>
      <w:pPr>
        <w:pStyle w:val="Heading1"/>
      </w:pPr>
      <w:r>
        <w:t xml:space="preserve">18. Comparables cotizados</w:t>
      </w:r>
    </w:p>
    <w:p>
      <w:pPr>
        <w:pStyle w:val="Confianza"/>
        <w:spacing w:after="100"/>
      </w:pPr>
      <w:r>
        <w:t xml:space="preserve">Confianza: Media</w:t>
      </w:r>
    </w:p>
    <w:p>
      <w:pPr>
        <w:spacing w:after="100"/>
      </w:pPr>
      <w:r>
        <w:t xml:space="preserve">Los cinco corredores cotizados de EE. UU. y Europa con negocio comparable: Aon y WTW (globales con consultoría de recursos humanos, los más parecidos), Gallagher y Brown &amp; Brown (corredores de mediana empresa y compradores en serie) y Ryan Specialty (mayorista). Fuera: Baldwin (pérdidas), Hub y Acrisure (privadas) y las consultoras puras. Todas las cifras de MarketScreener (estimaciones en base publicada) y precios de Yahoo del 14-oct-2026; el EBITDA de MarketScreener es ajustado (sin partidas destacadas), así que sus EV/EBITDA son algo más bajos que el de Marsh con cifras publicadas [18, 19, 20, 21, 22,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Arthur J. Gallagher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 &amp; Brown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Ryan Specialty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11,1x / 11,9x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13,3x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 / 18,5x / 24,7x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4,2x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9,5 + 0,15 × crecimiento; R² = 0,43. Para el crecimiento esperado de la empresa (4,7 %), el múltiplo ajustado es 10,3x y el valor por acción, 132,42.</w:t>
      </w:r>
    </w:p>
    <w:p>
      <w:pPr>
        <w:spacing w:after="100"/>
      </w:pPr>
      <w:r>
        <w:t xml:space="preserve">Marsh queda en medio del mapa: PER de los próximos 12 meses de 18,1x frente a una mediana de 18,5x de los cinco corredores (Aon 18,5x, Brown &amp; Brown 17,7x, WTW 16,6x, Gallagher 24,7x y Ryan 28,5x) [18, 19, 20, 21, 22]. La prima de Gallagher y Ryan se explica por crecimiento comprado (17 % y 10 % de ventas) que no es comparable. Frente a Aon, su par más parecido, cotiza igual con un ROIC algo menor (15,0 % frente a 17,9 %) y un crecimiento parecido. El EV/EBITDA (13,0x NTM frente a 11-12x de los comparables) sale más alto porque el EBITDA de los comparables es el ajustado de MarketScreener y el de Marsh el publicado (unos 525 M de partidas destacadas en 2025): por eso el método de comparables da un valor bajo (163,17) y pesa solo un 25 %. El múltiplo útil es el PER: con él, Marsh no está barata frente al sector; está barata frente a su propia historia, porque el sector entero ha bajado de múltiplo.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AssuredPartners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Arthur J. Gallagher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EBITDAC pro forma; 11,3 veces neto del crédito fiscal y sinergias [35, 40].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McGriff Insurance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Marsh McLennan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EBITDAC según una nota de Wells Fargo citada por la prensa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EBITDAC según la misma nota; incluye deuda asumida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Accession (Risk Strategies)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 &amp; Brown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630 M de EBITDA ajustado de 2024 y 1.700 M de ingresos pro forma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 (15,3x – 21,3x)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197,47 – 289,78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grandes corredurías privadas se han pagado a 14-22 veces el EBITDAC en 2023-2025, muy por encima de las compras pequeñas (10-11 veces según los analistas) [35]. Es valor de control: el capital privado y los cuatro grandes compiten por las mismas plataformas. Marsh, con 84.500 M de capitalización, no es objetivo plausible de una operación; las transacciones sirven de techo para lo que vale la correduría, no de catalizador.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28.465 M en 2026e (+5,5 %): el primer semestre creció un 6,9 % con ayuda de la divisa (2 puntos) y la guía es un subyacente del 4 % [5, 11]; el consenso espera 28.555 M [31]. Después, 5 % en 2027-2028 y bajada al 3 % en 2032: 3-4 puntos de crecimiento subyacente (el 4 % de 2025-2026 con tarifas a la baja, frente al 7-9 % de 2021-2024 con tarifas al alza) y ~1 punto de compras pequeñas [1, 15]. Coincide con el consenso de 2027-2028 (+4,9 % y +5,1 %) [31].</w:t>
      </w:r>
    </w:p>
    <w:p>
      <w:pPr>
        <w:keepNext/>
        <w:spacing w:after="100"/>
      </w:pPr>
      <w:r>
        <w:rPr>
          <w:b/>
          <w:bCs/>
        </w:rPr>
        <w:t xml:space="preserve">Márgenes.</w:t>
      </w:r>
    </w:p>
    <w:p>
      <w:pPr>
        <w:spacing w:after="100"/>
      </w:pPr>
      <w:r>
        <w:t xml:space="preserve">Margen EBITDA publicado del 26,4 % en 2025 (con 910 M de amortización y ~525 M de partidas destacadas recurrentes dentro) [7]. 2026e en el 27,0 % sin el cargo de Greensill (que va al puente): el margen ajustado del semestre (30,5 %) va plano y Thrive promete 400 M de ahorro [5, 11]. Sube 0,4-0,6 puntos al año hasta el 29,0 % en 2031: la empresa lleva 18 años ampliando el margen ajustado, pero con el crecimiento a la mitad que en 2021-2024 suponemos la mitad de mejora [7].</w:t>
      </w:r>
    </w:p>
    <w:p>
      <w:pPr>
        <w:keepNext/>
        <w:spacing w:after="100"/>
      </w:pPr>
      <w:r>
        <w:rPr>
          <w:b/>
          <w:bCs/>
        </w:rPr>
        <w:t xml:space="preserve">Inversión y circulante.</w:t>
      </w:r>
    </w:p>
    <w:p>
      <w:pPr>
        <w:spacing w:after="100"/>
      </w:pPr>
      <w:r>
        <w:t xml:space="preserve">Capex propio del 1,1 % de las ventas (291 M en 2025) más ~2,5 % para compras de corredurías (570-980 M al año sin contar JLT ni McGriff), en total el 3,6 % [1, 4]. Amortización del 3,4 %: 1,3 % de inmovilizado y 2,0 % de intangibles comprados [1]. Circulante (clientes menos acreedores) del 14,9 % de las ventas, el de 2025. Tipo impositivo del 24,5 % (23,6 % en 2025 y 24,6 % en el 1S26) [9].</w:t>
      </w:r>
    </w:p>
    <w:p>
      <w:pPr>
        <w:keepNext/>
        <w:spacing w:after="100"/>
      </w:pPr>
      <w:r>
        <w:rPr>
          <w:b/>
          <w:bCs/>
        </w:rPr>
        <w:t xml:space="preserve">Coste del capital.</w:t>
      </w:r>
    </w:p>
    <w:p>
      <w:pPr>
        <w:spacing w:after="100"/>
      </w:pPr>
      <w:r>
        <w:t xml:space="preserve">Tasa libre del 5,21 % (bono a 10 años del Tesoro del 13-oct-2026) [37]. Beta 0,75: la mensual de cinco años es 0,56 y la semanal de cinco años ajustada 0,75; usamos la ajustada porque la mensual sale baja para un negocio ligado al ciclo del seguro [30]. Prima de mercado del 5,5 %. Coste de la deuda del 5,0 % antes de impuestos (gasto por intereses de 960 M sobre 19.767 M de deuda media en 2025; último bono al 4,95 % a 2036) [1, 12]. Peso de la deuda del 19,6 % a valor de mercado. Resultado: WACC del 8,25 %.</w:t>
      </w:r>
    </w:p>
    <w:p>
      <w:pPr>
        <w:keepNext/>
        <w:spacing w:after="100"/>
      </w:pPr>
      <w:r>
        <w:rPr>
          <w:b/>
          <w:bCs/>
        </w:rPr>
        <w:t xml:space="preserve">Valor terminal.</w:t>
      </w:r>
    </w:p>
    <w:p>
      <w:pPr>
        <w:spacing w:after="100"/>
      </w:pPr>
      <w:r>
        <w:t xml:space="preserve">Media de Gordon con un crecimiento del 3,0 % (2 puntos de inflación más 1 real, por debajo del bono al 5,21 %) y un múltiplo de salida de 14 veces el EBITDA, en la zona de las transacciones pequeñas (10-11x EBITDAC) y por debajo de las grandes (14-22x) [35]; el sector cotiza hoy a 10-12 veces el EBITDA ajustado de los próximos 12 meses [18, 19, 20, 21, 22].</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246,06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1.857 M (4 % del NOPAT)</w:t>
            </w:r>
          </w:p>
        </w:tc>
      </w:tr>
    </w:tbl>
    <w:p>
      <w:pPr>
        <w:spacing w:after="160" w:before="0"/>
      </w:pPr>
    </w:p>
    <w:p>
      <w:pPr>
        <w:spacing w:after="100"/>
      </w:pPr>
      <w:r>
        <w:t xml:space="preserve">La proyección apenas necesita inversión neta de la amortización (reinversión acumulada de 1.857 M, el 4 % del NOPAT, con un capex bruto medio del 3,6 % de las ventas). En un negocio de activos ligeros, el crecimiento medio del 4,4 %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(clientes nuevos y exposición asegurada; Marsh Risk +4 % subyacente en el 1S26), precio 1 % (las tarifas caen, pero los honorarios de consultoría suben) y otros 1,5 % (divisa, +2 puntos en el semestre, y compras)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Subyacente del 4 % repartido entre volumen y precio, y 1 punto de compras pequeñas pagadas en el capex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supone que las tarifas dejan de restar.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volumen: el mercado madura y la IA abarata la colocación de riesgos sencillos.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terminal.</w:t>
            </w:r>
          </w:p>
        </w:tc>
      </w:tr>
    </w:tbl>
    <w:p>
      <w:pPr>
        <w:spacing w:after="160" w:before="0"/>
      </w:pPr>
    </w:p>
    <w:p>
      <w:pPr>
        <w:spacing w:after="100"/>
      </w:pPr>
      <w:r>
        <w:t xml:space="preserve">Sí. El crecimiento proyectado (4,4 % anual) está por debajo del que la empresa ha logrado en los últimos cinco años (subyacente del 4-10 % y 8,4 % anual con compras) y no exige capital: la reinversión acumulada es solo el 4 % del NOPAT, por debajo del 15 % que el motor necesita para hacer la prueba, así que la hacemos a mano. El crecimiento comprado (~1 punto al año) se paga en el capex: 2,5 % de las ventas en compras a unas 10-11 veces el EBITDAC, unos 3 veces las ventas, compran ~0,8 puntos de crecimiento [35]. Cuota: con el mercado de corredores al 9,1 % anual según Global Market Insights, la cuota de Risk &amp; Insurance Services (≈6 %) bajaría; incluso con un mercado al 4 %, se mantiene [13]. El foso (renovaciones, escala en grandes riesgos y reaseguro) y el ROIC 6,8 puntos por encima del WACC sostienen ese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 (base: 29,0 %)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(WACC: 8,3 %)</w:t>
            </w:r>
          </w:p>
        </w:tc>
      </w:tr>
    </w:tbl>
    <w:p>
      <w:pPr>
        <w:spacing w:after="160" w:before="0"/>
      </w:pPr>
    </w:p>
    <w:p>
      <w:pPr>
        <w:spacing w:after="100"/>
      </w:pPr>
      <w:r>
        <w:t xml:space="preserve">El DCF da 202,40 USD por acción, un 14,3 % por encima del precio, con un 75 % del valor en el terminal. El DCF inverso es la clave: al precio de 177,01 el mercado descuenta un crecimiento de las ventas del 1,8 % anual en 2027-2032 (nuestro caso base, 4,2 %) o, con nuestro crecimiento, un margen EBITDA final del 26,2 % frente al 29,0 % que proyectamos y al 26,4 % de 2025. Dicho de otra forma: el precio supone que Marsh deja de mejorar el margen y crece a la mitad de lo que ha crecido en el peor año reciente (4 % subyacente en 2025), con una rentabilidad implícita del 9,3 % frente a un WACC del 8,25 %. Es una hipótesis conservadora frente a la historia (18 años de mejora del margen ajustado), y coherente con un escenario en el que la IA y el ciclo blando frenan el crecimiento durante años. Con la prima de riesgo que hoy pide el mercado (4,2 %) el DCF sube a 227,79. La sensibilidad es alta: medio punto de WACC o de crecimiento terminal mueve el valor entre 182,83 y 229,76.</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tarifas siguen cayendo dos años más, la IA lleva a los clientes medianos a cotizar directo y las aseguradoras presionan las comisiones: el crecimiento subyacente baja al 2 % (como en 2009-2010) y el margen pierde 1,5 puntos. Más Greensill: una sentencia adversa en el juicio con Credit Suisse.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5 % en 2027-2028 (4 % subyacente más compras pequeñas), margen EBITDA que sube hasta el 29 % con los ahorros de Thrive y dividendo creciente.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año de grandes catástrofes endurece las tarifas en 2027, la IA rebaja costes más que ingresos y el subyacente vuelve al 6-7 % de 2022-2024, con 1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7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196,23 USD (+10,9 %).</w:t>
      </w:r>
    </w:p>
    <w:p>
      <w:pPr>
        <w:spacing w:after="100"/>
      </w:pPr>
      <w:r>
        <w:t xml:space="preserve">El bajista vale 135,25 USD (−23,6 %) y el alcista 244,86 (+38,3 %): la asimetría es de 1,62 veces a favor. El bajista no es cosmético: replica un subyacente del 2 % y un margen que retrocede al nivel de 2024, algo que el sector vivió en 2009-2010, más un WACC medio punto mayor y un múltiplo de salida de 11 veces. El alcista exige un ciclo de tarifas duro, que no controla la empresa. Con probabilidades de 25/50/25 el valor ponderado es de 196,23.</w:t>
      </w:r>
    </w:p>
    <w:p>
      <w:pPr>
        <w:pStyle w:val="Heading1"/>
      </w:pPr>
      <w:r>
        <w:t xml:space="preserve">22. Suma de partes</w:t>
      </w:r>
    </w:p>
    <w:p>
      <w:pPr>
        <w:pStyle w:val="Confianza"/>
        <w:spacing w:after="100"/>
      </w:pPr>
      <w:r>
        <w:t xml:space="preserve">Confianza: Media</w:t>
      </w:r>
    </w:p>
    <w:p>
      <w:pPr>
        <w:spacing w:after="100"/>
      </w:pPr>
      <w:r>
        <w:t xml:space="preserve">No se usa: los dos segmentos (correduría y consultoría) comparten clientes y marca, y la consultoría (36 % de los ingresos, 29 % del resultado de los segmentos) no tiene comparables cotizados puros con cifras homogéneas; el DCF y los comparables de corredores ya recogen la mezcla.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7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177,90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190,43 USD (+7,6 % sobre 177,01).</w:t>
      </w:r>
    </w:p>
    <w:p>
      <w:pPr>
        <w:spacing w:after="100"/>
      </w:pPr>
      <w:r>
        <w:t xml:space="preserve">Pesos: DCF 40 %, escenarios 35 % y comparables 25 %; las transacciones (244,21) no se usan porque llevan prima de control y Marsh no es objetivo plausible. El DCF es el método más fiable en un negocio sin inversión y de flujos estables. Los comparables dan menos (163,17) porque comparan nuestro EBITDA publicado con el ajustado de los demás y porque el sector entero ha caído de múltiplo; su PER (180,63) es más justo. El valor objetivo es de 190,43 USD (+7,6 %); con la prima del mercado, 208,94. La dispersión (163-244) dice que el valor depende del múltiplo que el mercado quiera pagar por un corredor tras el susto de la 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(17.6x) × 1.1 (tope: la mediana de 5 años, 23.2x,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r>
    </w:tbl>
    <w:p>
      <w:pPr>
        <w:spacing w:after="160" w:before="0"/>
      </w:pPr>
    </w:p>
    <w:p>
      <w:pPr>
        <w:spacing w:after="100"/>
      </w:pPr>
      <w:r>
        <w:rPr>
          <w:b/>
          <w:bCs/>
        </w:rPr>
        <w:t xml:space="preserve">Objetivo a 12 meses (ponderado):</w:t>
      </w:r>
      <w:r>
        <w:t xml:space="preserve"> 211,80 USD · rentabilidad +21,7 % (base +21,3 %) · señal Comprar.</w:t>
      </w:r>
    </w:p>
    <w:p>
      <w:pPr>
        <w:keepNext/>
        <w:spacing w:after="100"/>
      </w:pPr>
      <w:r>
        <w:rPr>
          <w:b/>
          <w:bCs/>
        </w:rPr>
        <w:t xml:space="preserve">Frente al consenso (solo contraste).</w:t>
      </w:r>
    </w:p>
    <w:p>
      <w:pPr>
        <w:spacing w:after="100"/>
      </w:pPr>
      <w:r>
        <w:t xml:space="preserve">Nuestro BPA de 2028e (10,88) queda un 2,8 % por debajo del consenso en base publicada (11,19), porque no suponemos recompras no anunciadas (la empresa recompra 2.000-3.000 M al año, un 3 % del capital). En 2027e coincidimos (10,07 frente a 10,08) [31]. La diferencia está en el múltiplo: nuestro base (211,07) supera en un 4,1 % al objetivo medio de los analistas (202,67), que vienen recortando objetivos en octubre (ocho de diez cambios a la baja) [32]; la regla v3 supone que el PER adelantado se acerca a su mediana de cinco años, con el tope de un 10 % de subida (de 17,6x a 19,4x).</w:t>
      </w:r>
    </w:p>
    <w:p>
      <w:pPr>
        <w:keepNext/>
        <w:spacing w:after="100"/>
      </w:pPr>
      <w:r>
        <w:rPr>
          <w:b/>
          <w:bCs/>
        </w:rPr>
        <w:t xml:space="preserve">Del valor intrínseco al objetivo a 12 meses.</w:t>
      </w:r>
    </w:p>
    <w:p>
      <w:pPr>
        <w:spacing w:after="100"/>
      </w:pPr>
      <w:r>
        <w:t xml:space="preserve">El objetivo a 12 meses (211,80 USD ponderado; 211,07 en el base) queda un 11,2 % por encima del valor intrínseco (190,43): la regla común supone que el PER recupera parte de su historia, mientras que el DCF ya da algo de prima con el WACC alto del 8,25 %. Para que el precio se acerque al objetivo hace falta que el crecimiento subyacente aguante en el 4-5 % y que el mercado deje de descontar la IA como amenaza; los catalizadores con fecha son los resultados del 3T26 (15-oct-2026) y la guía de 2027 con los del 4T26 (finales de enero de 2027). Con la regla anterior (v2, historia al cierre), el base sería el PER actual y la ponderada de un 14,7 %, justo por debajo del umbral de compra.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frente al 4-5 % de la guía; el 3T25 restó un 8,5 % en el día [30,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perspectivas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subyacente, ahorros de Thrive y renovaciones del 1 de enero.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temporada de huracanes del Atlántico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año de catástrofes grandes frenaría la caída de tarifas de daños y reaseguro (−12 % en daños en el 2T26)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 de Greensill con los fondos de Credit Suisse (previsto desde septiembre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Reclaman unos 2.000 M; dotados 425 M para todo el litigio; un acuerdo despejaría el riesgo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anual del dividendo (julio de 2026: +10 %)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confianza; dividendo de 3,96 USD anualizado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Reuniones de la Reserva Federal (dic-2026,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de tipos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Restan intereses fiduciarios (403 M en 2025) pero bajan la tasa de descuento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blando largo de tarifas comerciales y de reaseguro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(2 puntos menos de crecimiento y 1,5 de margen: bajista 135,25)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exposición asegurada y los clientes nuevos han mantenido el 4 % subyacente en ocho trimestres de bajadas.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de Marsh Risk por debajo del 3 % o Guy Carpenter en negativo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la intermediación (venta directa y comisiones más bajas)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−25 % si el crecimiento cae al 2 % y el margen no mejora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Marsh vive de grandes cuentas, reaseguro y consultoría (la venta directa ataca primero a particulares y pymes); usa la IA para bajar costes (46.000 empleados formados) [1,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retención de clientes de pymes y particulares, o comisiones medias a la baja en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Greensill: condena por encima de lo dotado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 (1.000-2.000 M adicionales ≈ 2-4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Greensill Bank en junio de 2026 y seguro de errores y omisiones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Dotación adicional en un 10-Q o sentencia en Australia.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menos intereses fiduciarios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(cada 100 pb son ~120-150 M de margen;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a tipo fijo y los pagarés abaratan el coste financiero.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Intereses fiduciarios trimestrales por debajo de 80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Fuga de equipos de productores hacia rivales de capital privado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Pactos de no competencia y litigios (gasto legal por pactos restrictivos en el 2T26)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Pleitos por fichajes masivos o caída del crecimiento en EE. UU./Canadá.</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que diluyen el ROIC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(ROIC de 15 % a 13 %)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reciente: compras de 2026 pequeñas (181 M) y prioridad a recompras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de más de 5.000 M a más de 18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Recesión: menos consultoría y menos activos en Mercer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correduría es defensiva; la consultoría es el 36 %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Management Consulting por debajo del 0 % subyacente.</w:t>
            </w:r>
          </w:p>
        </w:tc>
      </w:tr>
    </w:tbl>
    <w:p>
      <w:pPr>
        <w:spacing w:after="160" w:before="0"/>
      </w:pPr>
    </w:p>
    <w:p>
      <w:pPr>
        <w:pStyle w:val="Heading2"/>
      </w:pPr>
      <w:r>
        <w:t xml:space="preserve">Pre-mortem</w:t>
      </w:r>
    </w:p>
    <w:p>
      <w:pPr>
        <w:spacing w:after="100"/>
      </w:pPr>
      <w:r>
        <w:t xml:space="preserve">Octubre de 2029: la acción vale 106 USD, un 40 % menos. La historia más probable empieza con un ciclo blando que dura hasta 2028 porque el capital alternativo y el reaseguro barato inundan el mercado: Guy Carpenter cae dos años seguidos y Marsh Risk crece un 2 %. A la vez, las aseguradoras lanzan agentes de IA que cotizan pólizas de pymes en minutos y negocian comisiones más bajas con los corredores para el riesgo estándar; los rivales de capital privado responden bajando precios. Marsh mantiene el margen recortando plantilla, pero el BPA se queda plano en 10-11 USD y el mercado deja de pagar 18 veces por un negocio que ya no crece: el PER baja a 12-13 veces, como el de una aseguradora. Encima, la sentencia de Greensill sale por 1.500 M más de lo dotado. Los indicadores que lo habrían anticipado: el crecimiento subyacente de Marsh Risk en EE. UU. por debajo del 3 % durante tres trimestres, la caída de comisiones medias en pymes y el índice de tarifas de la propia Marsh negativo en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el capital humano (personal = 56 % de los ingresos; retener a los productores) y la ética comercial (conflictos de interés en la remuneración de las aseguradoras, sanciones y anticorrupción) [1, 5]. El cambio climático es a la vez riesgo y negocio: las catástrofes endurecen el mercado y suben las comisiones [15]. La huella de carbono es pequeña (oficinas y viajes).</w:t>
      </w:r>
    </w:p>
    <w:p>
      <w:pPr>
        <w:pStyle w:val="Heading2"/>
      </w:pPr>
      <w:r>
        <w:t xml:space="preserve">Controversias</w:t>
      </w:r>
    </w:p>
    <w:p>
      <w:pPr>
        <w:spacing w:after="100"/>
      </w:pPr>
      <w:r>
        <w:t xml:space="preserve">Litigio Greensill: Marsh fue corredor de los seguros de crédito de Greensill; 425 M dotados en el 1T26, acuerdo con Greensill Bank en junio de 2026 y juicio con fondos de Credit Suisse (2.000 M reclamados) previsto para septiembre de 2026 [9 de A]. No hay sanciones regulatorias relevantes recientes localizadas.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comisiones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Marsh Risk viene de riesgos de pymes y particulares colocados con tarifas estándar, y cómo han evolucionado las comisiones medias en 2025-2026?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expuesta a la venta directa con IA; decide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Greensill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425 M corresponde al acuerdo con Greensill Bank y cuánto a la demanda de Credit Suisse, y qué cubre el seguro de errores y omisiones?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condena de 1.000-2.000 M más resta 2-4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subyacente daría Marsh Risk con tarifas planas, y cuánto restan hoy las bajadas de daños?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ciclo de estructura en la desaceleración del 7 % al 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Thrive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400 M de ahorro se reinvierte y cuánto llega al margen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sube el margen 0,5 puntos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financiar recompras con pagarés (1.024 M en el 1S26) con el bono al 5 %, y qué deuda neta/EBITDA se fija como techo?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subió con McGriff y no ha bajado.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Intereses fiduciarios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sensibilidad de los intereses fiduciarios a 100 puntos básicos de tipos?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todo es margen y los tipos bajan.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externos)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los últimos tres meses son alcistas: «valor profundo», «mantengo la compra tras el 2T» y 16 años de dividendo creciente; argumentan que la caída es de múltiplo y no de beneficio [41, 42,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de batidas pequeñas del BPA ajustado, subida del dividendo y compras pequeñas; ningún tema nuevo de riesgo salvo los seguros de centros de datos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Blogs de inversión (IA y valoración)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 barata la acción tras una caída de ≈28 % desde máximos por miedo a la IA y tarifas blandas, pero recogen el argumento bajista de que la desintermediación podría bajar comisiones si la IA llega a seguros comerciales [44, 45,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API pública no devolvió mensajes: sin debate apreciable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la 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susto de febrero vino de seguros personales (comparadores con ChatGPT); Marsh vive de grandes cuentas, reaseguro y consultoría, donde la sustitución es lenta; el crecimiento subyacente del 2T26 (5 %) no muestra pérdida de clientes [44, 46].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mínimos de una década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PER adelantado de ≈17,6 veces frente a una mediana de 23 en cinco años; pero la historia se hizo con tarifas al alza y tipos que inflaban los intereses fiduciarios [42, 44].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blando de tarifas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por el índice de la propia Marsh (−6 % en el 2T26, daños −12 %) y por Guy Carpenter (−2 %) [41].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+10 % en julio y 1.512 M recomprados en el semestre, en parte con pagarés [41, 43].</w:t>
            </w:r>
          </w:p>
        </w:tc>
      </w:tr>
    </w:tbl>
    <w:p>
      <w:pPr>
        <w:spacing w:after="160" w:before="0"/>
      </w:pPr>
    </w:p>
    <w:p>
      <w:pPr>
        <w:spacing w:after="100"/>
      </w:pPr>
      <w:r>
        <w:t xml:space="preserve">El inversor particular que escribe sobre Marsh es mayoritariamente alcista por valoración y dividendo, mientras los analistas recortan objetivos (ocho recortes en dos semanas) y se quedan en «mantener». No hay euforia ni capitulación: el debate es si la caída de múltiplo por la IA y el ciclo blando es temporal. El riesgo de la IA está en el informe (sección de riesgos) y ninguna cifra sale de estas fuentes. Aporta poco a la decisión salvo confirmar que el mercado ya descuenta el miedo a la IA.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47 (18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14,9 % frente a 14,9 % real: genera una variación de circulante de 223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4,1 %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 3, 6, 8,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y comparación con el consenso de 3T24-2T25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3T25 a 2T26 en EDGAR (solo traen el trimestre comparable); 2) feed de Seeking Alpha (solo 2026); 3) no se descargaron las notas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10-K 2025 (solo calendario de cinco años); 2) 10-Q 2T26; 3) no se calcula sin la lista completa de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(portada, sin año de inicio); 2) proxy 2026 (no localizado con grep); 3) sin fuente secundaria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(sin cuotas); 2) Mordor Intelligence (solo «concentración media»); 3) suma de ingresos de los cinco grandes sobre el mercado (≈22 %, mezcla perímetros: no se usa)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2026 (sin notas ESG); 2) búsqueda MSCI/Sustainalytics no hecha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varios consejeros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fichas del proxy 2026 (texto mal extraído en la tabla de comisiones); 2) grep de «Committees:»;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(n.d. en la tabla)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(no la da); 2) FINRA (no consultado por presupuesto); 3) Yahoo (sin dato en la ficha)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gráfico); 2) Stock Analysis («Hold» sin desglose); 3) Yahoo («hold»,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comentarios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(403, según lecciones); 2) búsqueda web de hilos de Reddit (sin resultados); 3) Stocktwits API (vacía)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competidores con el mismo criterio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descargados por presupuesto); 2) Yahoo: EBIT y capital invertido de 2025 (usado, con su definición); 3) MarketScreener (solo ROE)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consolidadas, segmentos, deuda, rating, plantilla)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https://www.sec.gov/Archives/edgar/data/62709/000006270926000022/mrsh-20251231.htm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2023 (segmentos 2021-2023, dividendos por acción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https://www.sec.gov/Archives/edgar/data/62709/000006270924000016/mmc-20231231.htm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(dividendos por acción 2019-2021)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https://www.sec.gov/Archives/edgar/data/62709/000006270922000009/mmc-20211231.htm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(serie 2019-2025 de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https://data.sec.gov/api/xbrl/companyfacts/CIK0000062709.json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2T26 (Exhibit 99.1): cuenta, balance y flujos del semestre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https://www.sec.gov/Archives/edgar/data/62709/000006270926000193/mmc2q2026ex991newsrelease.htm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https://www.sec.gov/Archives/edgar/data/62709/000006270926000096/mmc1q2026ex991newsrelease.htm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4T25 y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https://www.sec.gov/Archives/edgar/data/62709/000006270926000014/mmc4q2025ex991newsrelease.htm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https://www.sec.gov/Archives/edgar/data/62709/000006270925000123/mmc3q2025ex991newsrelease.htm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(nota 17: litigio Greensill; reestructuración Thrive; adquisiciones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https://www.sec.gov/Archives/edgar/data/62709/000006270926000195/mrsh-20260630.htm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Q2 2026 Earnings Call Transcript (titular y resumen del feed)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https://seekingalpha.com/article/4923819-marsh-and-mclennan-companies-inc-mrsh-q2-2026-earnings-call-transcript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expects 2026 underlying revenue growth similar to 2025 while targeting $400M Thrive savings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https://seekingalpha.com/symbol/MRSH/news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emisión de 600 M USD de bonos al 4,950 % con vencimiento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https://www.sec.gov/Archives/edgar/data/62709/000119312526059544/d112193d8k.htm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Brokers and Agents Market Size (276.500 M USD en 2025; 9,1 % anual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https://www.gminsights.com/industry-analysis/insurance-brokers-and-agents-market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Brokerage Market (359.270 M USD en 2026; 572.470 M en 2031; concentración media)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https://www.mordorintelligence.com/industry-reports/insurance-brokerage-market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commercial insurance rates fall 6% in Q2 2026; eighth consecutive quarterly decline (Global Insurance Market Index)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https://www.marsh.com/en/corp/about/news/global-commercial-insurance-falls-6-percent-q2-2026.html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brokers plunge on AI fears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Leader's Edge (The Council)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https://www.leadersedge.com/industry/insurance-brokers-plunge-on-ai-fears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AI-Fueled Selloff in Insurance Brokers Overdone, Analysts Say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https://news.bloomberglaw.com/insurance/ai-fueled-selloff-in-insurance-brokers-overdone-analysts-say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Aon plc: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https://www.marketscreener.com/quote/stock/AON-PLC-11994390/finances/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WTW: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https://www.marketscreener.com/quote/stock/WILLIS-TOWERS-WATSON-PUBL-25623167/finances/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Arthur J. Gallagher &amp; Co.: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https://www.marketscreener.com/quote/stock/ARTHUR-J-GALLAGHER-CO-11601/finances/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 &amp; Brown: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https://www.marketscreener.com/quote/stock/BROWN-BROWN-INC-11919/finances/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Ryan Specialty: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https://www.marketscreener.com/quote/stock/RYAN-SPECIALTY-HOLDINGS-I-124966529/finances/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(ingresos, EBIT y capital invertido 2025 de Aon, WTW, Gallagher, Brown &amp; Brown, Ryan)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https://finance.yahoo.com/quote/MRSH/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ratio salarial,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https://www.sec.gov/Archives/edgar/data/62709/000119312526133303/d94896ddef14a.htm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2026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https://www.sec.gov/Archives/edgar/data/62709/000006270926000128/a2026mmcagmresultsform8-k.htm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2025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https://www.sec.gov/Archives/edgar/data/62709/000095010325006177/dp228999_8k.htm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https://www.sec.gov/cgi-bin/browse-edgar?action=getcompany&amp;CIK=0000062709&amp;type=4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appoints Mark McGivney as EVP and COO in addition to CFO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https://www.sec.gov/Archives/edgar/data/62709/000095010326005674/dp245126_ex9901.htm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appoints Nick Studer President and CEO of Marsh Risk and Martin South Chief Client Officer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https://www.sec.gov/Archives/edgar/data/62709/000006270926000071/ex_991martinsouthpressrele.htm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MRSH, ^GSPC e IAK (precio, rango, volumen, beta, rentabilidades,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https://finance.yahoo.com/quote/MRSH/history/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https://www.marketscreener.com/quote/stock/MARSH-MCLENNAN-COMPANIES-13573/finances/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Companies: consensus and target prices (23 analistas; cambios de objetivo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https://www.marketscreener.com/quote/stock/MARSH-MCLENNAN-COMPANIES-13573/consensus/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MRSH stock forecast (23 analistas, objetivo medio 202,67; BPA ajustado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https://stockanalysis.com/stocks/mrsh/forecast/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precio, capitalización, acciones, EBIT y capital invertido de MRSH, AON, WTW, AJG, BRO y RYAN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https://finance.yahoo.com/quote/MRSH/key-statistics/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Gallagher set to ramp up M&amp;A deals after $13B purchase of AssuredPartners (múltiplos de AssuredPartners, NFP y McGriff)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Insurance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https://www.businessinsurance.com/gallagher-set-to-ramp-up-ma-deals-after-13b-purchase-of-assuredpartners/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made this Boston agency worth $9.8 billion to buyers (Accession: ≈15,6 veces el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Agency Checklists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https://agencychecklists.com/2025/06/16/what-made-this-boston-agency-worth-9-8-billion-to-buyers-76080/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to host third quarter earnings investor call on October 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https://www.marsh.com/en/corp/about/news/marsh-to-host-third-quarter-earnings-investor-call-on-october-15.html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Business: Gallagher acquires AssuredPartners in $13-billion megadeal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https://www.insurancebusinessmag.com/uk/news/breaking-news/gallagher-acquires-assuredpartners-in-13billion-megadeal-517199.aspx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Feed de Seeking Alpha de MRSH (artículos y noticias,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https://seekingalpha.com/api/sa/combined/MRSH.xml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A Deep-Value Insurance Broker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https://seekingalpha.com/article/4948778-marsh-a-deep-value-insurance-broker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Maintaining My Buy Recommendation Following Q2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externo)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https://seekingalpha.com/article/4924289-marsh-and-mclennan-maintaining-my-buy-recommendation-following-q2-earnings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&amp; McLennan shares look cheap as AI fears drive a 28%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Complete AI Training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https://completeaitraining.com/news/marsh-mclennan-shares-look-cheap-as-ai-fears-drive-a-28/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stock price (MRSH) dips as bond sale filing lands and AI fears linger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 Tech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https://ts2.tech/en/marsh-stock-price-mrsh-dips-as-bond-sale-filing-lands-and-ai-fears-linger/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 McLennan: Why AI Can’t Threaten This Insurance Giant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Capwolf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https://capwolf.com/marsh-mclennan-why-ai-cant-threaten-this-insurance-giant/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de Stocktwits de MRSH (API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https://api.stocktwits.com/api/2/streams/symbol/MRSH.json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90,2 %</w:t>
      </w:r>
      <w:r>
        <w:t xml:space="preserve"> · Secciones con menos del 60 % de campos cubiertos: </w:t>
      </w:r>
      <w:r>
        <w:rPr>
          <w:b/>
          <w:bCs/>
        </w:rPr>
        <w:t xml:space="preserve">ninguna</w:t>
      </w:r>
      <w:r>
        <w:t xml:space="preserve"> · Generado el 14 oct 2026.</w:t>
      </w:r>
    </w:p>
    <w:p>
      <w:pPr>
        <w:pStyle w:val="Nota"/>
        <w:spacing w:after="100"/>
      </w:pPr>
      <w:r>
        <w:t xml:space="preserve">La empresa cambió su nombre comercial a «Marsh» y su ticker de MMC a MRSH el 14-ene-2026; el nombre legal sigue siendo Marsh &amp; McLennan Companies, Inc. (CIK 62709) y las cuentas de EDGAR mantienen la serie. El precio es el cierre del 13-oct-2026 (177,01 USD): la sesión del 14-oct no había cerrado al hacer el informe. Los resultados del 3T26 se publican el 15-oct-2026, un día después del corte: este informe no los recoge. Balance sin efectivo ni pasivos fiduciarios (dinero de clientes y aseguradoras que se compensa exactamente; en balance desde 2022): las cifras de 2021-2025 se han restado a mano con el estado de flujos y el 10-K. El balance de 2019-2021 y la amortización total de 2019-2021 salen del XBRL de la SEC; desde 2022 se suma la amortización de intangibles. Los arrendamientos operativos (US GAAP) no van a la deuda ni al puente. El EBITDA de los comparables y del consenso es el ajustado de MarketScreener (sin partidas destacadas); el de Marsh, el publicado. Solo una fuente con estimaciones completas (MarketScreener); el objetivo medio se contrasta con Stock Analysis.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Marsh &amp; McLennan Companies, Inc. (marca comercial «Marsh») (MRSH)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177,01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(156,60 – 206,04)</c:v>
                </c:pt>
                <c:pt idx="1">
                  <c:v>Precio objetivo de los analistas (177,00 – 238,00)</c:v>
                </c:pt>
                <c:pt idx="2">
                  <c:v>Comparables: EV/EBITDA NTM (144,04 – 158,98)</c:v>
                </c:pt>
                <c:pt idx="3">
                  <c:v>Comparables: PER NTM (172,82 – 241,17)</c:v>
                </c:pt>
                <c:pt idx="4">
                  <c:v>Transacciones precedentes (EV/EBITDA) (197,47 – 289,78)</c:v>
                </c:pt>
                <c:pt idx="5">
                  <c:v>DCF (WACC y g ± 0,5) (182,83 – 229,76)</c:v>
                </c:pt>
                <c:pt idx="6">
                  <c:v>Escenarios (bajista – alcista) (135,25 – 244,86)</c:v>
                </c:pt>
                <c:pt idx="7">
                  <c:v>DCF con la prima implícita del mercado (4,2 %)</c:v>
                </c:pt>
                <c:pt idx="8">
                  <c:v>Precio actual (177,01)</c:v>
                </c:pt>
              </c:strCache>
            </c:strRef>
          </c:cat>
          <c:val>
            <c:numRef>
              <c:f>Hoja1!$B$2:$B$10</c:f>
              <c:numCache>
                <c:formatCode>#,##0</c:formatCode>
                <c:ptCount val="9"/>
                <c:pt idx="0">
                  <c:v>156.6</c:v>
                </c:pt>
                <c:pt idx="1">
                  <c:v>177</c:v>
                </c:pt>
                <c:pt idx="2">
                  <c:v>144.04</c:v>
                </c:pt>
                <c:pt idx="3">
                  <c:v>172.82</c:v>
                </c:pt>
                <c:pt idx="4">
                  <c:v>197.47</c:v>
                </c:pt>
                <c:pt idx="5">
                  <c:v>182.83</c:v>
                </c:pt>
                <c:pt idx="6">
                  <c:v>135.25</c:v>
                </c:pt>
                <c:pt idx="7">
                  <c:v>210.82</c:v>
                </c:pt>
                <c:pt idx="8">
                  <c:v>176.12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(156,60 – 206,04)</c:v>
                </c:pt>
                <c:pt idx="1">
                  <c:v>Precio objetivo de los analistas (177,00 – 238,00)</c:v>
                </c:pt>
                <c:pt idx="2">
                  <c:v>Comparables: EV/EBITDA NTM (144,04 – 158,98)</c:v>
                </c:pt>
                <c:pt idx="3">
                  <c:v>Comparables: PER NTM (172,82 – 241,17)</c:v>
                </c:pt>
                <c:pt idx="4">
                  <c:v>Transacciones precedentes (EV/EBITDA) (197,47 – 289,78)</c:v>
                </c:pt>
                <c:pt idx="5">
                  <c:v>DCF (WACC y g ± 0,5) (182,83 – 229,76)</c:v>
                </c:pt>
                <c:pt idx="6">
                  <c:v>Escenarios (bajista – alcista) (135,25 – 244,86)</c:v>
                </c:pt>
                <c:pt idx="7">
                  <c:v>DCF con la prima implícita del mercado (4,2 %)</c:v>
                </c:pt>
                <c:pt idx="8">
                  <c:v>Precio actual (177,01)</c:v>
                </c:pt>
              </c:strCache>
            </c:strRef>
          </c:cat>
          <c:val>
            <c:numRef>
              <c:f>Hoja1!$C$2:$C$10</c:f>
              <c:numCache>
                <c:formatCode>#,##0</c:formatCode>
                <c:ptCount val="9"/>
                <c:pt idx="0">
                  <c:v>49.44</c:v>
                </c:pt>
                <c:pt idx="1">
                  <c:v>61</c:v>
                </c:pt>
                <c:pt idx="2">
                  <c:v>14.939999999999998</c:v>
                </c:pt>
                <c:pt idx="3">
                  <c:v>68.35</c:v>
                </c:pt>
                <c:pt idx="4">
                  <c:v>92.30999999999997</c:v>
                </c:pt>
                <c:pt idx="5">
                  <c:v>46.92999999999998</c:v>
                </c:pt>
                <c:pt idx="6">
                  <c:v>109.61000000000001</c:v>
                </c:pt>
                <c:pt idx="7">
                  <c:v>37.53</c:v>
                </c:pt>
                <c:pt idx="8">
                  <c:v>1.7800000000000011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Risk &amp; Insurance Services (Marsh Risk y Guy Carpenter)</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12085</c:v>
                </c:pt>
                <c:pt idx="1">
                  <c:v>12645</c:v>
                </c:pt>
                <c:pt idx="2">
                  <c:v>14089</c:v>
                </c:pt>
                <c:pt idx="3">
                  <c:v>15395</c:v>
                </c:pt>
                <c:pt idx="4">
                  <c:v>17265</c:v>
                </c:pt>
              </c:numCache>
            </c:numRef>
          </c:val>
        </c:ser>
        <c:ser>
          <c:idx val="1"/>
          <c:order val="1"/>
          <c:tx>
            <c:strRef>
              <c:f>Hoja1!$C$1</c:f>
              <c:strCache>
                <c:ptCount val="1"/>
                <c:pt idx="0">
                  <c:v>Consulting (Mercer y Marsh Management Consulting)</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7789</c:v>
                </c:pt>
                <c:pt idx="1">
                  <c:v>8139</c:v>
                </c:pt>
                <c:pt idx="2">
                  <c:v>8709</c:v>
                </c:pt>
                <c:pt idx="3">
                  <c:v>9133</c:v>
                </c:pt>
                <c:pt idx="4">
                  <c:v>9794</c:v>
                </c:pt>
              </c:numCache>
            </c:numRef>
          </c:val>
        </c:ser>
        <c:ser>
          <c:idx val="2"/>
          <c:order val="2"/>
          <c:tx>
            <c:strRef>
              <c:f>Hoja1!$D$1</c:f>
              <c:strCache>
                <c:ptCount val="1"/>
                <c:pt idx="0">
                  <c:v>Corporativo y eliminaciones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-54</c:v>
                </c:pt>
                <c:pt idx="1">
                  <c:v>-64</c:v>
                </c:pt>
                <c:pt idx="2">
                  <c:v>-62</c:v>
                </c:pt>
                <c:pt idx="3">
                  <c:v>-70</c:v>
                </c:pt>
                <c:pt idx="4">
                  <c:v>-78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Risk &amp; Insurance Services (Marsh Risk y Guy Carpenter)</c:v>
                </c:pt>
                <c:pt idx="1">
                  <c:v>Consulting (Mercer y Marsh Management Consulting)</c:v>
                </c:pt>
                <c:pt idx="2">
                  <c:v>Corporativo y eliminaciones</c:v>
                </c:pt>
              </c:strCache>
            </c:strRef>
          </c:cat>
          <c:val>
            <c:numRef>
              <c:f>Hoja1!$B$2:$B$4</c:f>
              <c:numCache>
                <c:formatCode>General</c:formatCode>
                <c:ptCount val="3"/>
                <c:pt idx="0">
                  <c:v>64</c:v>
                </c:pt>
                <c:pt idx="1">
                  <c:v>36.3</c:v>
                </c:pt>
                <c:pt idx="2">
                  <c:v>-0.3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c:v>
                </c:pt>
                <c:pt idx="1">
                  <c:v>Resto del mundo</c:v>
                </c:pt>
              </c:strCache>
            </c:strRef>
          </c:cat>
          <c:val>
            <c:numRef>
              <c:f>Hoja1!$B$2:$B$3</c:f>
              <c:numCache>
                <c:formatCode>0"%"</c:formatCode>
                <c:ptCount val="2"/>
                <c:pt idx="0">
                  <c:v>49</c:v>
                </c:pt>
                <c:pt idx="1">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2025</c:v>
                </c:pt>
                <c:pt idx="1">
                  <c:v>2026e</c:v>
                </c:pt>
                <c:pt idx="2">
                  <c:v>2027e</c:v>
                </c:pt>
                <c:pt idx="3">
                  <c:v>2028e</c:v>
                </c:pt>
                <c:pt idx="4">
                  <c:v>2030e</c:v>
                </c:pt>
              </c:strCache>
            </c:strRef>
          </c:cat>
          <c:val>
            <c:numRef>
              <c:f>Hoja1!$B$2:$B$6</c:f>
              <c:numCache>
                <c:formatCode>#,##0</c:formatCode>
                <c:ptCount val="5"/>
                <c:pt idx="0">
                  <c:v>276500</c:v>
                </c:pt>
                <c:pt idx="1">
                  <c:v>301700</c:v>
                </c:pt>
                <c:pt idx="2">
                  <c:v>329100</c:v>
                </c:pt>
                <c:pt idx="3">
                  <c:v>359100</c:v>
                </c:pt>
                <c:pt idx="4">
                  <c:v>427400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Marsh</c:v>
                </c:pt>
                <c:pt idx="1">
                  <c:v>Aon</c:v>
                </c:pt>
                <c:pt idx="2">
                  <c:v>Arthur J. Gallagher</c:v>
                </c:pt>
                <c:pt idx="3">
                  <c:v>WTW</c:v>
                </c:pt>
                <c:pt idx="4">
                  <c:v>Brown &amp; Brown</c:v>
                </c:pt>
                <c:pt idx="5">
                  <c:v>Ryan Specialty</c:v>
                </c:pt>
                <c:pt idx="6">
                  <c:v>Hub International</c:v>
                </c:pt>
              </c:strCache>
            </c:strRef>
          </c:cat>
          <c:val>
            <c:numRef>
              <c:f>Hoja1!$B$2:$B$8</c:f>
              <c:numCache>
                <c:formatCode>0.0"%"</c:formatCode>
                <c:ptCount val="7"/>
                <c:pt idx="0">
                  <c:v>23.1</c:v>
                </c:pt>
                <c:pt idx="1">
                  <c:v>32.4</c:v>
                </c:pt>
                <c:pt idx="2">
                  <c:v>24.5</c:v>
                </c:pt>
                <c:pt idx="3">
                  <c:v>25.2</c:v>
                </c:pt>
                <c:pt idx="4">
                  <c:v>28.7</c:v>
                </c:pt>
                <c:pt idx="5">
                  <c:v>16.2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strCache>
            </c:strRef>
          </c:cat>
          <c:val>
            <c:numRef>
              <c:f>Hoja1!$B$2:$B$15</c:f>
              <c:numCache>
                <c:formatCode>#,##0</c:formatCode>
                <c:ptCount val="14"/>
                <c:pt idx="0">
                  <c:v>16652</c:v>
                </c:pt>
                <c:pt idx="1">
                  <c:v>17224</c:v>
                </c:pt>
                <c:pt idx="2">
                  <c:v>19820</c:v>
                </c:pt>
                <c:pt idx="3">
                  <c:v>20720</c:v>
                </c:pt>
                <c:pt idx="4">
                  <c:v>22736</c:v>
                </c:pt>
                <c:pt idx="5">
                  <c:v>24458</c:v>
                </c:pt>
                <c:pt idx="6">
                  <c:v>26981</c:v>
                </c:pt>
                <c:pt idx="7">
                  <c:v>28465</c:v>
                </c:pt>
                <c:pt idx="8">
                  <c:v>29888</c:v>
                </c:pt>
                <c:pt idx="9">
                  <c:v>31383</c:v>
                </c:pt>
                <c:pt idx="10">
                  <c:v>32795</c:v>
                </c:pt>
                <c:pt idx="11">
                  <c:v>34107</c:v>
                </c:pt>
                <c:pt idx="12">
                  <c:v>35300</c:v>
                </c:pt>
                <c:pt idx="13">
                  <c:v>36359</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strCache>
            </c:strRef>
          </c:cat>
          <c:val>
            <c:numRef>
              <c:f>Hoja1!$C$2:$C$15</c:f>
              <c:numCache>
                <c:formatCode>#,##0</c:formatCode>
                <c:ptCount val="14"/>
                <c:pt idx="0">
                  <c:v>3324</c:v>
                </c:pt>
                <c:pt idx="1">
                  <c:v>3807</c:v>
                </c:pt>
                <c:pt idx="2">
                  <c:v>5059</c:v>
                </c:pt>
                <c:pt idx="3">
                  <c:v>4999</c:v>
                </c:pt>
                <c:pt idx="4">
                  <c:v>5995</c:v>
                </c:pt>
                <c:pt idx="5">
                  <c:v>6563</c:v>
                </c:pt>
                <c:pt idx="6">
                  <c:v>7133</c:v>
                </c:pt>
                <c:pt idx="7">
                  <c:v>7686</c:v>
                </c:pt>
                <c:pt idx="8">
                  <c:v>8249</c:v>
                </c:pt>
                <c:pt idx="9">
                  <c:v>8819</c:v>
                </c:pt>
                <c:pt idx="10">
                  <c:v>9347</c:v>
                </c:pt>
                <c:pt idx="11">
                  <c:v>9823</c:v>
                </c:pt>
                <c:pt idx="12">
                  <c:v>10237</c:v>
                </c:pt>
                <c:pt idx="13">
                  <c:v>10544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20</c:v>
                </c:pt>
                <c:pt idx="1">
                  <c:v>22.1</c:v>
                </c:pt>
                <c:pt idx="2">
                  <c:v>25.5</c:v>
                </c:pt>
                <c:pt idx="3">
                  <c:v>24.1</c:v>
                </c:pt>
                <c:pt idx="4">
                  <c:v>26.4</c:v>
                </c:pt>
                <c:pt idx="5">
                  <c:v>26.8</c:v>
                </c:pt>
                <c:pt idx="6">
                  <c:v>26.4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16.1</c:v>
                </c:pt>
                <c:pt idx="1">
                  <c:v>17.8</c:v>
                </c:pt>
                <c:pt idx="2">
                  <c:v>21.8</c:v>
                </c:pt>
                <c:pt idx="3">
                  <c:v>20.7</c:v>
                </c:pt>
                <c:pt idx="4">
                  <c:v>23.2</c:v>
                </c:pt>
                <c:pt idx="5">
                  <c:v>23.8</c:v>
                </c:pt>
                <c:pt idx="6">
                  <c:v>23.1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10.5</c:v>
                </c:pt>
                <c:pt idx="1">
                  <c:v>11.7</c:v>
                </c:pt>
                <c:pt idx="2">
                  <c:v>15.9</c:v>
                </c:pt>
                <c:pt idx="3">
                  <c:v>14.7</c:v>
                </c:pt>
                <c:pt idx="4">
                  <c:v>16.5</c:v>
                </c:pt>
                <c:pt idx="5">
                  <c:v>16.6</c:v>
                </c:pt>
                <c:pt idx="6">
                  <c:v>15.4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11.5</c:v>
                </c:pt>
                <c:pt idx="5">
                  <c:v>8.7</c:v>
                </c:pt>
                <c:pt idx="6">
                  <c:v>7.6</c:v>
                </c:pt>
                <c:pt idx="7">
                  <c:v>6.2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4</c:v>
                </c:pt>
                <c:pt idx="5">
                  <c:v>4</c:v>
                </c:pt>
                <c:pt idx="6">
                  <c:v>4</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115</c:v>
                </c:pt>
                <c:pt idx="1">
                  <c:v>113</c:v>
                </c:pt>
                <c:pt idx="2">
                  <c:v>103</c:v>
                </c:pt>
                <c:pt idx="3">
                  <c:v>103</c:v>
                </c:pt>
                <c:pt idx="4">
                  <c:v>103</c:v>
                </c:pt>
                <c:pt idx="5">
                  <c:v>107</c:v>
                </c:pt>
                <c:pt idx="6">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1940</c:v>
                </c:pt>
                <c:pt idx="1">
                  <c:v>3034</c:v>
                </c:pt>
                <c:pt idx="2">
                  <c:v>3110</c:v>
                </c:pt>
                <c:pt idx="3">
                  <c:v>2995</c:v>
                </c:pt>
                <c:pt idx="4">
                  <c:v>3842</c:v>
                </c:pt>
                <c:pt idx="5">
                  <c:v>3986</c:v>
                </c:pt>
                <c:pt idx="6">
                  <c:v>5001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1742</c:v>
                </c:pt>
                <c:pt idx="1">
                  <c:v>2016</c:v>
                </c:pt>
                <c:pt idx="2">
                  <c:v>3143</c:v>
                </c:pt>
                <c:pt idx="3">
                  <c:v>3050</c:v>
                </c:pt>
                <c:pt idx="4">
                  <c:v>3756</c:v>
                </c:pt>
                <c:pt idx="5">
                  <c:v>4060</c:v>
                </c:pt>
                <c:pt idx="6">
                  <c:v>4160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9.8</c:v>
                </c:pt>
                <c:pt idx="1">
                  <c:v>11.5</c:v>
                </c:pt>
                <c:pt idx="2">
                  <c:v>16.5</c:v>
                </c:pt>
                <c:pt idx="3">
                  <c:v>15.6</c:v>
                </c:pt>
                <c:pt idx="4">
                  <c:v>18.4</c:v>
                </c:pt>
                <c:pt idx="5">
                  <c:v>16.3</c:v>
                </c:pt>
                <c:pt idx="6">
                  <c:v>15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8.2</c:v>
                </c:pt>
                <c:pt idx="1">
                  <c:v>8.2</c:v>
                </c:pt>
                <c:pt idx="2">
                  <c:v>8.2</c:v>
                </c:pt>
                <c:pt idx="3">
                  <c:v>8.2</c:v>
                </c:pt>
                <c:pt idx="4">
                  <c:v>8.2</c:v>
                </c:pt>
                <c:pt idx="5">
                  <c:v>8.2</c:v>
                </c:pt>
                <c:pt idx="6">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22.4</c:v>
                </c:pt>
                <c:pt idx="1">
                  <c:v>23.9</c:v>
                </c:pt>
                <c:pt idx="2">
                  <c:v>31.3</c:v>
                </c:pt>
                <c:pt idx="3">
                  <c:v>28.3</c:v>
                </c:pt>
                <c:pt idx="4">
                  <c:v>33.1</c:v>
                </c:pt>
                <c:pt idx="5">
                  <c:v>31.8</c:v>
                </c:pt>
                <c:pt idx="6">
                  <c:v>29.3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3.61</c:v>
                </c:pt>
                <c:pt idx="1">
                  <c:v>2.56</c:v>
                </c:pt>
                <c:pt idx="2">
                  <c:v>1.82</c:v>
                </c:pt>
                <c:pt idx="3">
                  <c:v>2.06</c:v>
                </c:pt>
                <c:pt idx="4">
                  <c:v>1.69</c:v>
                </c:pt>
                <c:pt idx="5">
                  <c:v>2.67</c:v>
                </c:pt>
                <c:pt idx="6">
                  <c:v>2.37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1300</c:v>
                </c:pt>
                <c:pt idx="1">
                  <c:v>1300</c:v>
                </c:pt>
                <c:pt idx="2">
                  <c:v>22</c:v>
                </c:pt>
                <c:pt idx="3">
                  <c:v>1500</c:v>
                </c:pt>
                <c:pt idx="4">
                  <c:v>2400</c:v>
                </c:pt>
                <c:pt idx="5">
                  <c:v>13065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4229</c:v>
                </c:pt>
                <c:pt idx="1">
                  <c:v>647</c:v>
                </c:pt>
                <c:pt idx="2">
                  <c:v>859</c:v>
                </c:pt>
                <c:pt idx="3">
                  <c:v>572</c:v>
                </c:pt>
                <c:pt idx="4">
                  <c:v>976</c:v>
                </c:pt>
                <c:pt idx="5">
                  <c:v>8542</c:v>
                </c:pt>
                <c:pt idx="6">
                  <c:v>652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890</c:v>
                </c:pt>
                <c:pt idx="1">
                  <c:v>943</c:v>
                </c:pt>
                <c:pt idx="2">
                  <c:v>1026</c:v>
                </c:pt>
                <c:pt idx="3">
                  <c:v>1138</c:v>
                </c:pt>
                <c:pt idx="4">
                  <c:v>1298</c:v>
                </c:pt>
                <c:pt idx="5">
                  <c:v>1513</c:v>
                </c:pt>
                <c:pt idx="6">
                  <c:v>1699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485</c:v>
                </c:pt>
                <c:pt idx="1">
                  <c:v>0</c:v>
                </c:pt>
                <c:pt idx="2">
                  <c:v>1159</c:v>
                </c:pt>
                <c:pt idx="3">
                  <c:v>1950</c:v>
                </c:pt>
                <c:pt idx="4">
                  <c:v>1150</c:v>
                </c:pt>
                <c:pt idx="5">
                  <c:v>900</c:v>
                </c:pt>
                <c:pt idx="6">
                  <c:v>2012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Consejeros y directivos</c:v>
                </c:pt>
                <c:pt idx="3">
                  <c:v>Autocartera</c:v>
                </c:pt>
              </c:strCache>
            </c:strRef>
          </c:cat>
          <c:val>
            <c:numRef>
              <c:f>Hoja1!$B$2:$B$5</c:f>
              <c:numCache>
                <c:formatCode>0.0"%"</c:formatCode>
                <c:ptCount val="4"/>
                <c:pt idx="0">
                  <c:v>9</c:v>
                </c:pt>
                <c:pt idx="1">
                  <c:v>8.4</c:v>
                </c:pt>
                <c:pt idx="2">
                  <c:v>1</c:v>
                </c:pt>
                <c:pt idx="3">
                  <c:v>13.9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21.9</c:v>
                </c:pt>
                <c:pt idx="1">
                  <c:v>20.4</c:v>
                </c:pt>
                <c:pt idx="2">
                  <c:v>-2</c:v>
                </c:pt>
                <c:pt idx="3">
                  <c:v>39.7</c:v>
                </c:pt>
                <c:pt idx="4">
                  <c:v>5</c:v>
                </c:pt>
                <c:pt idx="5">
                  <c:v>48.6</c:v>
                </c:pt>
                <c:pt idx="6">
                  <c:v>-4.8</c:v>
                </c:pt>
                <c:pt idx="7">
                  <c:v>14.5</c:v>
                </c:pt>
                <c:pt idx="8">
                  <c:v>12.1</c:v>
                </c:pt>
                <c:pt idx="9">
                  <c:v>-12.7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20.8</c:v>
                </c:pt>
                <c:pt idx="1">
                  <c:v>18.3</c:v>
                </c:pt>
                <c:pt idx="2">
                  <c:v>19.5</c:v>
                </c:pt>
                <c:pt idx="3">
                  <c:v>18.8</c:v>
                </c:pt>
                <c:pt idx="4">
                  <c:v>17.5</c:v>
                </c:pt>
                <c:pt idx="5">
                  <c:v>18.8</c:v>
                </c:pt>
                <c:pt idx="6">
                  <c:v>15.2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18.6</c:v>
                </c:pt>
                <c:pt idx="1">
                  <c:v>18.6</c:v>
                </c:pt>
                <c:pt idx="2">
                  <c:v>18.6</c:v>
                </c:pt>
                <c:pt idx="3">
                  <c:v>18.6</c:v>
                </c:pt>
                <c:pt idx="4">
                  <c:v>18.6</c:v>
                </c:pt>
                <c:pt idx="5">
                  <c:v>18.6</c:v>
                </c:pt>
                <c:pt idx="6">
                  <c:v>18.6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Marsh</c:v>
                </c:pt>
                <c:pt idx="1">
                  <c:v>Aon</c:v>
                </c:pt>
                <c:pt idx="2">
                  <c:v>WTW</c:v>
                </c:pt>
                <c:pt idx="3">
                  <c:v>Arthur J. Gallagher</c:v>
                </c:pt>
                <c:pt idx="4">
                  <c:v>Brown &amp; Brown</c:v>
                </c:pt>
                <c:pt idx="5">
                  <c:v>Ryan Specialty</c:v>
                </c:pt>
              </c:strCache>
            </c:strRef>
          </c:cat>
          <c:val>
            <c:numRef>
              <c:f>Hoja1!$B$2:$B$7</c:f>
              <c:numCache>
                <c:formatCode>0.0"x"</c:formatCode>
                <c:ptCount val="6"/>
                <c:pt idx="0">
                  <c:v>13</c:v>
                </c:pt>
                <c:pt idx="1">
                  <c:v>11</c:v>
                </c:pt>
                <c:pt idx="2">
                  <c:v>9.8</c:v>
                </c:pt>
                <c:pt idx="3">
                  <c:v>12.2</c:v>
                </c:pt>
                <c:pt idx="4">
                  <c:v>11.1</c:v>
                </c:pt>
                <c:pt idx="5">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Marsh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4.7</c:v>
                </c:pt>
              </c:numCache>
            </c:numRef>
          </c:xVal>
          <c:yVal>
            <c:numRef>
              <c:f>Hoja1!$C$2</c:f>
              <c:numCache>
                <c:formatCode>0.0"x"</c:formatCode>
                <c:ptCount val="1"/>
                <c:pt idx="0">
                  <c:v>13</c:v>
                </c:pt>
              </c:numCache>
            </c:numRef>
          </c:yVal>
          <c:smooth val="0"/>
        </c:ser>
        <c:ser>
          <c:idx val="1"/>
          <c:order val="1"/>
          <c:tx>
            <c:strRef>
              <c:f>Hoja1!$A$3</c:f>
              <c:strCache>
                <c:ptCount val="1"/>
                <c:pt idx="0">
                  <c:v>Aon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6.9</c:v>
                </c:pt>
              </c:numCache>
            </c:numRef>
          </c:xVal>
          <c:yVal>
            <c:numRef>
              <c:f>Hoja1!$C$3</c:f>
              <c:numCache>
                <c:formatCode>0.0"x"</c:formatCode>
                <c:ptCount val="1"/>
                <c:pt idx="0">
                  <c:v>11</c:v>
                </c:pt>
              </c:numCache>
            </c:numRef>
          </c:yVal>
          <c:smooth val="0"/>
        </c:ser>
        <c:ser>
          <c:idx val="2"/>
          <c:order val="2"/>
          <c:tx>
            <c:strRef>
              <c:f>Hoja1!$A$4</c:f>
              <c:strCache>
                <c:ptCount val="1"/>
                <c:pt idx="0">
                  <c:v>WTW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8.1</c:v>
                </c:pt>
              </c:numCache>
            </c:numRef>
          </c:xVal>
          <c:yVal>
            <c:numRef>
              <c:f>Hoja1!$C$4</c:f>
              <c:numCache>
                <c:formatCode>0.0"x"</c:formatCode>
                <c:ptCount val="1"/>
                <c:pt idx="0">
                  <c:v>9.8</c:v>
                </c:pt>
              </c:numCache>
            </c:numRef>
          </c:yVal>
          <c:smooth val="0"/>
        </c:ser>
        <c:ser>
          <c:idx val="3"/>
          <c:order val="3"/>
          <c:tx>
            <c:strRef>
              <c:f>Hoja1!$A$5</c:f>
              <c:strCache>
                <c:ptCount val="1"/>
                <c:pt idx="0">
                  <c:v>Arthur J. Gallagher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c:v>
                </c:pt>
              </c:numCache>
            </c:numRef>
          </c:xVal>
          <c:yVal>
            <c:numRef>
              <c:f>Hoja1!$C$5</c:f>
              <c:numCache>
                <c:formatCode>0.0"x"</c:formatCode>
                <c:ptCount val="1"/>
                <c:pt idx="0">
                  <c:v>12.2</c:v>
                </c:pt>
              </c:numCache>
            </c:numRef>
          </c:yVal>
          <c:smooth val="0"/>
        </c:ser>
        <c:ser>
          <c:idx val="4"/>
          <c:order val="4"/>
          <c:tx>
            <c:strRef>
              <c:f>Hoja1!$A$6</c:f>
              <c:strCache>
                <c:ptCount val="1"/>
                <c:pt idx="0">
                  <c:v>Brown &amp; Brown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12.2</c:v>
                </c:pt>
              </c:numCache>
            </c:numRef>
          </c:xVal>
          <c:yVal>
            <c:numRef>
              <c:f>Hoja1!$C$6</c:f>
              <c:numCache>
                <c:formatCode>0.0"x"</c:formatCode>
                <c:ptCount val="1"/>
                <c:pt idx="0">
                  <c:v>11.1</c:v>
                </c:pt>
              </c:numCache>
            </c:numRef>
          </c:yVal>
          <c:smooth val="0"/>
        </c:ser>
        <c:ser>
          <c:idx val="5"/>
          <c:order val="5"/>
          <c:tx>
            <c:strRef>
              <c:f>Hoja1!$A$7</c:f>
              <c:strCache>
                <c:ptCount val="1"/>
                <c:pt idx="0">
                  <c:v>Ryan Specialty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9.7</c:v>
                </c:pt>
              </c:numCache>
            </c:numRef>
          </c:xVal>
          <c:yVal>
            <c:numRef>
              <c:f>Hoja1!$C$7</c:f>
              <c:numCache>
                <c:formatCode>0.0"x"</c:formatCode>
                <c:ptCount val="1"/>
                <c:pt idx="0">
                  <c:v>11.9</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AssuredPartners</c:v>
                </c:pt>
                <c:pt idx="1">
                  <c:v>McGriff Insurance Services</c:v>
                </c:pt>
                <c:pt idx="2">
                  <c:v>NFP</c:v>
                </c:pt>
                <c:pt idx="3">
                  <c:v>Accession (Risk Strategies)</c:v>
                </c:pt>
              </c:strCache>
            </c:strRef>
          </c:cat>
          <c:val>
            <c:numRef>
              <c:f>Hoja1!$B$2:$B$5</c:f>
              <c:numCache>
                <c:formatCode>0.0"x"</c:formatCode>
                <c:ptCount val="4"/>
                <c:pt idx="0">
                  <c:v>14.3</c:v>
                </c:pt>
                <c:pt idx="1">
                  <c:v>21</c:v>
                </c:pt>
                <c:pt idx="2">
                  <c:v>22</c:v>
                </c:pt>
                <c:pt idx="3">
                  <c:v>15.6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4792</c:v>
                </c:pt>
                <c:pt idx="1">
                  <c:v>5189</c:v>
                </c:pt>
                <c:pt idx="2">
                  <c:v>5567</c:v>
                </c:pt>
                <c:pt idx="3">
                  <c:v>5939</c:v>
                </c:pt>
                <c:pt idx="4">
                  <c:v>6277</c:v>
                </c:pt>
                <c:pt idx="5">
                  <c:v>6574</c:v>
                </c:pt>
                <c:pt idx="6">
                  <c:v>6797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29079</c:v>
                </c:pt>
                <c:pt idx="1">
                  <c:v>85895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177,01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135.25</c:v>
                </c:pt>
                <c:pt idx="1">
                  <c:v>202.4</c:v>
                </c:pt>
                <c:pt idx="2">
                  <c:v>244.86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177,01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(156,60 – 206,04)</c:v>
                </c:pt>
                <c:pt idx="1">
                  <c:v>Precio objetivo de los analistas (177,00 – 238,00)</c:v>
                </c:pt>
                <c:pt idx="2">
                  <c:v>Comparables: EV/EBITDA NTM (144,04 – 158,98)</c:v>
                </c:pt>
                <c:pt idx="3">
                  <c:v>Comparables: PER NTM (172,82 – 241,17)</c:v>
                </c:pt>
                <c:pt idx="4">
                  <c:v>Transacciones precedentes (EV/EBITDA) (197,47 – 289,78)</c:v>
                </c:pt>
                <c:pt idx="5">
                  <c:v>DCF (WACC y g ± 0,5) (182,83 – 229,76)</c:v>
                </c:pt>
                <c:pt idx="6">
                  <c:v>Escenarios (bajista – alcista) (135,25 – 244,86)</c:v>
                </c:pt>
                <c:pt idx="7">
                  <c:v>DCF con la prima implícita del mercado (4,2 %)</c:v>
                </c:pt>
                <c:pt idx="8">
                  <c:v>Precio actual (177,01)</c:v>
                </c:pt>
              </c:strCache>
            </c:strRef>
          </c:cat>
          <c:val>
            <c:numRef>
              <c:f>Hoja1!$B$2:$B$10</c:f>
              <c:numCache>
                <c:formatCode>#,##0</c:formatCode>
                <c:ptCount val="9"/>
                <c:pt idx="0">
                  <c:v>156.6</c:v>
                </c:pt>
                <c:pt idx="1">
                  <c:v>177</c:v>
                </c:pt>
                <c:pt idx="2">
                  <c:v>144.04</c:v>
                </c:pt>
                <c:pt idx="3">
                  <c:v>172.82</c:v>
                </c:pt>
                <c:pt idx="4">
                  <c:v>197.47</c:v>
                </c:pt>
                <c:pt idx="5">
                  <c:v>182.83</c:v>
                </c:pt>
                <c:pt idx="6">
                  <c:v>135.25</c:v>
                </c:pt>
                <c:pt idx="7">
                  <c:v>210.82</c:v>
                </c:pt>
                <c:pt idx="8">
                  <c:v>176.12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(156,60 – 206,04)</c:v>
                </c:pt>
                <c:pt idx="1">
                  <c:v>Precio objetivo de los analistas (177,00 – 238,00)</c:v>
                </c:pt>
                <c:pt idx="2">
                  <c:v>Comparables: EV/EBITDA NTM (144,04 – 158,98)</c:v>
                </c:pt>
                <c:pt idx="3">
                  <c:v>Comparables: PER NTM (172,82 – 241,17)</c:v>
                </c:pt>
                <c:pt idx="4">
                  <c:v>Transacciones precedentes (EV/EBITDA) (197,47 – 289,78)</c:v>
                </c:pt>
                <c:pt idx="5">
                  <c:v>DCF (WACC y g ± 0,5) (182,83 – 229,76)</c:v>
                </c:pt>
                <c:pt idx="6">
                  <c:v>Escenarios (bajista – alcista) (135,25 – 244,86)</c:v>
                </c:pt>
                <c:pt idx="7">
                  <c:v>DCF con la prima implícita del mercado (4,2 %)</c:v>
                </c:pt>
                <c:pt idx="8">
                  <c:v>Precio actual (177,01)</c:v>
                </c:pt>
              </c:strCache>
            </c:strRef>
          </c:cat>
          <c:val>
            <c:numRef>
              <c:f>Hoja1!$C$2:$C$10</c:f>
              <c:numCache>
                <c:formatCode>#,##0</c:formatCode>
                <c:ptCount val="9"/>
                <c:pt idx="0">
                  <c:v>49.44</c:v>
                </c:pt>
                <c:pt idx="1">
                  <c:v>61</c:v>
                </c:pt>
                <c:pt idx="2">
                  <c:v>14.939999999999998</c:v>
                </c:pt>
                <c:pt idx="3">
                  <c:v>68.35</c:v>
                </c:pt>
                <c:pt idx="4">
                  <c:v>92.30999999999997</c:v>
                </c:pt>
                <c:pt idx="5">
                  <c:v>46.92999999999998</c:v>
                </c:pt>
                <c:pt idx="6">
                  <c:v>109.61000000000001</c:v>
                </c:pt>
                <c:pt idx="7">
                  <c:v>37.53</c:v>
                </c:pt>
                <c:pt idx="8">
                  <c:v>1.7800000000000011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