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1e409bfef5b9c6a5d4738a91f33c9ed9065771"/>
    <w:p>
      <w:pPr>
        <w:pStyle w:val="Heading1"/>
      </w:pPr>
      <w:r>
        <w:t xml:space="preserve">Palantir Technologies (PLTR): análisis growth, 14-oct-2026</w:t>
      </w:r>
    </w:p>
    <w:p>
      <w:pPr>
        <w:pStyle w:val="FirstParagraph"/>
      </w:pPr>
      <w:r>
        <w:rPr>
          <w:bCs/>
          <w:b/>
        </w:rPr>
        <w:t xml:space="preserve">Señal (método v4): Vender (no comprar; no está en cartera)</w:t>
      </w:r>
      <w:r>
        <w:t xml:space="preserve"> </w:t>
      </w:r>
      <w:r>
        <w:t xml:space="preserve">· Puntuación 93,8/100 · Señales de cambio de tendencia 7/8 · EV/beneficio bruto 52,2x</w:t>
      </w:r>
      <w:r>
        <w:t xml:space="preserve"> </w:t>
      </w:r>
      <w:r>
        <w:t xml:space="preserve">Precio 208,67 USD · Objetivo 12 m 176,3 USD (ponderada -15,5 %, base -13,3 %, bajista -63,9 %, alcista +28,5 %) · Compra hasta 141,2 USD</w:t>
      </w:r>
      <w:r>
        <w:t xml:space="preserve"> </w:t>
      </w:r>
      <w:r>
        <w:t xml:space="preserve">Peso orientativo: no entra · Por qué: ponderada ≤ -10 %</w:t>
      </w:r>
    </w:p>
    <w:p>
      <w:pPr>
        <w:pStyle w:val="BlockText"/>
      </w:pPr>
      <w:r>
        <w:rPr>
          <w:bCs/>
          <w:b/>
        </w:rPr>
        <w:t xml:space="preserve">Recalculado el 14-oct con el método v4</w:t>
      </w:r>
      <w:r>
        <w:t xml:space="preserve"> </w:t>
      </w:r>
      <w:r>
        <w:t xml:space="preserve">(tras el backtest,</w:t>
      </w:r>
      <w:r>
        <w:t xml:space="preserve"> </w:t>
      </w:r>
      <w:r>
        <w:rPr>
          <w:rStyle w:val="VerbatimChar"/>
        </w:rPr>
        <w:t xml:space="preserve">verticales/growth/metodo.md</w:t>
      </w:r>
      <w:r>
        <w:t xml:space="preserve"> </w:t>
      </w:r>
      <w:r>
        <w:t xml:space="preserve">§6). La sección 9 conserva la valoración del primer borrador (v1) con la proyección del analista; las cifras que mandan son las de arriba: ventas con la regla mecánica (14.873 M en el base), múltiplo de hoy con rebaja por desaceleración (18,6x / 30,9x / 40,2x).</w:t>
      </w:r>
    </w:p>
    <w:bookmarkStart w:id="20" w:name="la-tesis-en-cinco-líneas"/>
    <w:p>
      <w:pPr>
        <w:pStyle w:val="Heading2"/>
      </w:pPr>
      <w:r>
        <w:t xml:space="preserve">1. La tesis en cinco líneas</w:t>
      </w:r>
    </w:p>
    <w:p>
      <w:pPr>
        <w:numPr>
          <w:ilvl w:val="0"/>
          <w:numId w:val="1001"/>
        </w:numPr>
        <w:pStyle w:val="Compact"/>
      </w:pPr>
      <w:r>
        <w:t xml:space="preserve">Es probablemente el mejor negocio growth del mercado: ventas +93 % en el 2T26, aceleración de 26,5 pp sobre la media de los cuatro trimestres anteriores, margen FCF del 56 % y regla del 40 en 135 [1][3].</w:t>
      </w:r>
    </w:p>
    <w:p>
      <w:pPr>
        <w:numPr>
          <w:ilvl w:val="0"/>
          <w:numId w:val="1001"/>
        </w:numPr>
        <w:pStyle w:val="Compact"/>
      </w:pPr>
      <w:r>
        <w:t xml:space="preserve">La percepción ha girado: del −34 % del primer semestre (Burry, miedo a que los modelos de Anthropic u OpenAI la sustituyan) al cierre récord de octubre, con mejoras de Goldman y Barclays; 7 de 8 señales de cambio de tendencia activas [6][7][9].</w:t>
      </w:r>
    </w:p>
    <w:p>
      <w:pPr>
        <w:numPr>
          <w:ilvl w:val="0"/>
          <w:numId w:val="1001"/>
        </w:numPr>
        <w:pStyle w:val="Compact"/>
      </w:pPr>
      <w:r>
        <w:t xml:space="preserve">El problema es el precio: ~44x EV/ventas de los próximos 12 meses y un DCF inverso que exige ~37 % anual durante 10 años (≈139.000 M USD de ventas en 2036).</w:t>
      </w:r>
    </w:p>
    <w:p>
      <w:pPr>
        <w:numPr>
          <w:ilvl w:val="0"/>
          <w:numId w:val="1001"/>
        </w:numPr>
        <w:pStyle w:val="Compact"/>
      </w:pPr>
      <w:r>
        <w:t xml:space="preserve">Con la regla cerrada (el múltiplo se comprime cuando el crecimiento baja de ~93 % a ~38 % en 2028), el caso base vale 165 USD y el ponderado 166,2 USD: −20 % desde aquí.</w:t>
      </w:r>
    </w:p>
    <w:p>
      <w:pPr>
        <w:numPr>
          <w:ilvl w:val="0"/>
          <w:numId w:val="1001"/>
        </w:numPr>
        <w:pStyle w:val="Compact"/>
      </w:pPr>
      <w:r>
        <w:t xml:space="preserve">Calidad sobresaliente, precio que ya descuenta el éxito: no entra. Pasaría a Comprar por debajo de 138,5 USD sin cambio de tesis.</w:t>
      </w:r>
    </w:p>
    <w:bookmarkEnd w:id="20"/>
    <w:bookmarkStart w:id="21" w:name="negocio-y-tecnología"/>
    <w:p>
      <w:pPr>
        <w:pStyle w:val="Heading2"/>
      </w:pPr>
      <w:r>
        <w:t xml:space="preserve">2. Negocio y tecnología</w:t>
      </w:r>
    </w:p>
    <w:p>
      <w:pPr>
        <w:pStyle w:val="FirstParagraph"/>
      </w:pPr>
      <w:r>
        <w:t xml:space="preserve">Palantir vende software para integrar datos dispersos de una organización y tomar decisiones operativas sobre ellos:</w:t>
      </w:r>
      <w:r>
        <w:t xml:space="preserve"> </w:t>
      </w:r>
      <w:r>
        <w:rPr>
          <w:bCs/>
          <w:b/>
        </w:rPr>
        <w:t xml:space="preserve">Gotham</w:t>
      </w:r>
      <w:r>
        <w:t xml:space="preserve"> </w:t>
      </w:r>
      <w:r>
        <w:t xml:space="preserve">(defensa e inteligencia),</w:t>
      </w:r>
      <w:r>
        <w:t xml:space="preserve"> </w:t>
      </w:r>
      <w:r>
        <w:rPr>
          <w:bCs/>
          <w:b/>
        </w:rPr>
        <w:t xml:space="preserve">Foundry</w:t>
      </w:r>
      <w:r>
        <w:t xml:space="preserve"> </w:t>
      </w:r>
      <w:r>
        <w:t xml:space="preserve">(empresas),</w:t>
      </w:r>
      <w:r>
        <w:t xml:space="preserve"> </w:t>
      </w:r>
      <w:r>
        <w:rPr>
          <w:bCs/>
          <w:b/>
        </w:rPr>
        <w:t xml:space="preserve">Apollo</w:t>
      </w:r>
      <w:r>
        <w:t xml:space="preserve"> </w:t>
      </w:r>
      <w:r>
        <w:t xml:space="preserve">(despliegue continuo en nubes clasificadas y en el borde) y</w:t>
      </w:r>
      <w:r>
        <w:t xml:space="preserve"> </w:t>
      </w:r>
      <w:r>
        <w:rPr>
          <w:bCs/>
          <w:b/>
        </w:rPr>
        <w:t xml:space="preserve">AIP</w:t>
      </w:r>
      <w:r>
        <w:t xml:space="preserve"> </w:t>
      </w:r>
      <w:r>
        <w:t xml:space="preserve">(2023), la capa que conecta los modelos de lenguaje con la «ontología» de la empresa (un modelo digital de sus objetos, relaciones y acciones) para automatizar procesos con permisos y trazabilidad. Lo nuevo no es el modelo de IA, que compra a terceros, sino la capa operativa y de gobierno que lo pone a trabajar sobre datos reales, con acreditaciones de seguridad (IL5/IL6, FedRAMP High) que pocos rivales tienen.</w:t>
      </w:r>
    </w:p>
    <w:p>
      <w:pPr>
        <w:pStyle w:val="BodyText"/>
      </w:pPr>
      <w:r>
        <w:t xml:space="preserve">Clientes: 1.049 a 30-jun-2026 (+24 %), de ellos 870 comerciales y 653 comerciales en EE. UU. (+35 %) [3]. Las ventas se reparten casi a partes iguales entre Gobierno de EE. UU. (809 M en el 2T26, +90 %) y comercial de EE. UU. (764 M, +149 %); el resto internacional crece mucho menos (comercial internacional ~+26 %) [1][3].</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Comercial EE. UU.</w:t>
            </w:r>
          </w:p>
        </w:tc>
      </w:tr>
      <w:tr>
        <w:tc>
          <w:tcPr/>
          <w:p>
            <w:pPr>
              <w:pStyle w:val="Compact"/>
              <w:jc w:val="left"/>
            </w:pPr>
            <w:r>
              <w:t xml:space="preserve">2T25</w:t>
            </w:r>
          </w:p>
        </w:tc>
        <w:tc>
          <w:tcPr/>
          <w:p>
            <w:pPr>
              <w:pStyle w:val="Compact"/>
              <w:jc w:val="left"/>
            </w:pPr>
            <w:r>
              <w:t xml:space="preserve">1.004</w:t>
            </w:r>
          </w:p>
        </w:tc>
        <w:tc>
          <w:tcPr/>
          <w:p>
            <w:pPr>
              <w:pStyle w:val="Compact"/>
              <w:jc w:val="left"/>
            </w:pPr>
            <w:r>
              <w:t xml:space="preserve">+48 %</w:t>
            </w:r>
          </w:p>
        </w:tc>
        <w:tc>
          <w:tcPr/>
          <w:p>
            <w:pPr>
              <w:pStyle w:val="Compact"/>
              <w:jc w:val="left"/>
            </w:pPr>
            <w:r>
              <w:t xml:space="preserve">—</w:t>
            </w:r>
          </w:p>
        </w:tc>
      </w:tr>
      <w:tr>
        <w:tc>
          <w:tcPr/>
          <w:p>
            <w:pPr>
              <w:pStyle w:val="Compact"/>
              <w:jc w:val="left"/>
            </w:pPr>
            <w:r>
              <w:t xml:space="preserve">3T25</w:t>
            </w:r>
          </w:p>
        </w:tc>
        <w:tc>
          <w:tcPr/>
          <w:p>
            <w:pPr>
              <w:pStyle w:val="Compact"/>
              <w:jc w:val="left"/>
            </w:pPr>
            <w:r>
              <w:t xml:space="preserve">1.181</w:t>
            </w:r>
          </w:p>
        </w:tc>
        <w:tc>
          <w:tcPr/>
          <w:p>
            <w:pPr>
              <w:pStyle w:val="Compact"/>
              <w:jc w:val="left"/>
            </w:pPr>
            <w:r>
              <w:t xml:space="preserve">+63 %</w:t>
            </w:r>
          </w:p>
        </w:tc>
        <w:tc>
          <w:tcPr/>
          <w:p>
            <w:pPr>
              <w:pStyle w:val="Compact"/>
              <w:jc w:val="left"/>
            </w:pPr>
            <w:r>
              <w:t xml:space="preserve">+121 %</w:t>
            </w:r>
          </w:p>
        </w:tc>
      </w:tr>
      <w:tr>
        <w:tc>
          <w:tcPr/>
          <w:p>
            <w:pPr>
              <w:pStyle w:val="Compact"/>
              <w:jc w:val="left"/>
            </w:pPr>
            <w:r>
              <w:t xml:space="preserve">4T25</w:t>
            </w:r>
          </w:p>
        </w:tc>
        <w:tc>
          <w:tcPr/>
          <w:p>
            <w:pPr>
              <w:pStyle w:val="Compact"/>
              <w:jc w:val="left"/>
            </w:pPr>
            <w:r>
              <w:t xml:space="preserve">1.407</w:t>
            </w:r>
          </w:p>
        </w:tc>
        <w:tc>
          <w:tcPr/>
          <w:p>
            <w:pPr>
              <w:pStyle w:val="Compact"/>
              <w:jc w:val="left"/>
            </w:pPr>
            <w:r>
              <w:t xml:space="preserve">+70 %</w:t>
            </w:r>
          </w:p>
        </w:tc>
        <w:tc>
          <w:tcPr/>
          <w:p>
            <w:pPr>
              <w:pStyle w:val="Compact"/>
              <w:jc w:val="left"/>
            </w:pPr>
            <w:r>
              <w:t xml:space="preserve">+137 %</w:t>
            </w:r>
          </w:p>
        </w:tc>
      </w:tr>
      <w:tr>
        <w:tc>
          <w:tcPr/>
          <w:p>
            <w:pPr>
              <w:pStyle w:val="Compact"/>
              <w:jc w:val="left"/>
            </w:pPr>
            <w:r>
              <w:t xml:space="preserve">1T26</w:t>
            </w:r>
          </w:p>
        </w:tc>
        <w:tc>
          <w:tcPr/>
          <w:p>
            <w:pPr>
              <w:pStyle w:val="Compact"/>
              <w:jc w:val="left"/>
            </w:pPr>
            <w:r>
              <w:t xml:space="preserve">1.633</w:t>
            </w:r>
          </w:p>
        </w:tc>
        <w:tc>
          <w:tcPr/>
          <w:p>
            <w:pPr>
              <w:pStyle w:val="Compact"/>
              <w:jc w:val="left"/>
            </w:pPr>
            <w:r>
              <w:t xml:space="preserve">+85 %</w:t>
            </w:r>
          </w:p>
        </w:tc>
        <w:tc>
          <w:tcPr/>
          <w:p>
            <w:pPr>
              <w:pStyle w:val="Compact"/>
              <w:jc w:val="left"/>
            </w:pPr>
            <w:r>
              <w:t xml:space="preserve">595 M</w:t>
            </w:r>
          </w:p>
        </w:tc>
      </w:tr>
      <w:tr>
        <w:tc>
          <w:tcPr/>
          <w:p>
            <w:pPr>
              <w:pStyle w:val="Compact"/>
              <w:jc w:val="left"/>
            </w:pPr>
            <w:r>
              <w:t xml:space="preserve">2T26</w:t>
            </w:r>
          </w:p>
        </w:tc>
        <w:tc>
          <w:tcPr/>
          <w:p>
            <w:pPr>
              <w:pStyle w:val="Compact"/>
              <w:jc w:val="left"/>
            </w:pPr>
            <w:r>
              <w:t xml:space="preserve">1.935</w:t>
            </w:r>
          </w:p>
        </w:tc>
        <w:tc>
          <w:tcPr/>
          <w:p>
            <w:pPr>
              <w:pStyle w:val="Compact"/>
              <w:jc w:val="left"/>
            </w:pPr>
            <w:r>
              <w:t xml:space="preserve">+93 %</w:t>
            </w:r>
          </w:p>
        </w:tc>
        <w:tc>
          <w:tcPr/>
          <w:p>
            <w:pPr>
              <w:pStyle w:val="Compact"/>
              <w:jc w:val="left"/>
            </w:pPr>
            <w:r>
              <w:t xml:space="preserve">764 M (+149 %)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2024</w:t>
            </w:r>
          </w:p>
        </w:tc>
        <w:tc>
          <w:tcPr/>
          <w:p>
            <w:pPr>
              <w:pStyle w:val="Compact"/>
              <w:jc w:val="left"/>
            </w:pPr>
            <w:r>
              <w:t xml:space="preserve">2.866</w:t>
            </w:r>
          </w:p>
        </w:tc>
        <w:tc>
          <w:tcPr/>
          <w:p>
            <w:pPr>
              <w:pStyle w:val="Compact"/>
              <w:jc w:val="left"/>
            </w:pPr>
            <w:r>
              <w:t xml:space="preserve">+29 %</w:t>
            </w:r>
          </w:p>
        </w:tc>
      </w:tr>
      <w:tr>
        <w:tc>
          <w:tcPr/>
          <w:p>
            <w:pPr>
              <w:pStyle w:val="Compact"/>
              <w:jc w:val="left"/>
            </w:pPr>
            <w:r>
              <w:t xml:space="preserve">2025</w:t>
            </w:r>
          </w:p>
        </w:tc>
        <w:tc>
          <w:tcPr/>
          <w:p>
            <w:pPr>
              <w:pStyle w:val="Compact"/>
              <w:jc w:val="left"/>
            </w:pPr>
            <w:r>
              <w:t xml:space="preserve">4.475</w:t>
            </w:r>
          </w:p>
        </w:tc>
        <w:tc>
          <w:tcPr/>
          <w:p>
            <w:pPr>
              <w:pStyle w:val="Compact"/>
              <w:jc w:val="left"/>
            </w:pPr>
            <w:r>
              <w:t xml:space="preserve">+56 %</w:t>
            </w:r>
          </w:p>
        </w:tc>
      </w:tr>
      <w:tr>
        <w:tc>
          <w:tcPr/>
          <w:p>
            <w:pPr>
              <w:pStyle w:val="Compact"/>
              <w:jc w:val="left"/>
            </w:pPr>
            <w:r>
              <w:t xml:space="preserve">2026 guía (3-ago)</w:t>
            </w:r>
          </w:p>
        </w:tc>
        <w:tc>
          <w:tcPr/>
          <w:p>
            <w:pPr>
              <w:pStyle w:val="Compact"/>
              <w:jc w:val="left"/>
            </w:pPr>
            <w:r>
              <w:t xml:space="preserve">8.150-8.158</w:t>
            </w:r>
          </w:p>
        </w:tc>
        <w:tc>
          <w:tcPr/>
          <w:p>
            <w:pPr>
              <w:pStyle w:val="Compact"/>
              <w:jc w:val="left"/>
            </w:pPr>
            <w:r>
              <w:t xml:space="preserve">+82 %</w:t>
            </w:r>
          </w:p>
        </w:tc>
      </w:tr>
      <w:tr>
        <w:tc>
          <w:tcPr/>
          <w:p>
            <w:pPr>
              <w:pStyle w:val="Compact"/>
              <w:jc w:val="left"/>
            </w:pPr>
            <w:r>
              <w:t xml:space="preserve">2026 propio</w:t>
            </w:r>
          </w:p>
        </w:tc>
        <w:tc>
          <w:tcPr/>
          <w:p>
            <w:pPr>
              <w:pStyle w:val="Compact"/>
              <w:jc w:val="left"/>
            </w:pPr>
            <w:r>
              <w:t xml:space="preserve">8.400</w:t>
            </w:r>
          </w:p>
        </w:tc>
        <w:tc>
          <w:tcPr/>
          <w:p>
            <w:pPr>
              <w:pStyle w:val="Compact"/>
              <w:jc w:val="left"/>
            </w:pPr>
            <w:r>
              <w:t xml:space="preserve">+88 %</w:t>
            </w:r>
          </w:p>
        </w:tc>
      </w:tr>
    </w:tbl>
    <w:p>
      <w:pPr>
        <w:numPr>
          <w:ilvl w:val="0"/>
          <w:numId w:val="1002"/>
        </w:numPr>
        <w:pStyle w:val="Compact"/>
      </w:pPr>
      <w:r>
        <w:t xml:space="preserve">Ventas de los últimos 12 meses: 6.156 M USD,</w:t>
      </w:r>
      <w:r>
        <w:t xml:space="preserve"> </w:t>
      </w:r>
      <w:r>
        <w:rPr>
          <w:bCs/>
          <w:b/>
        </w:rPr>
        <w:t xml:space="preserve">+78,8 %</w:t>
      </w:r>
      <w:r>
        <w:t xml:space="preserve">; CAGR propio a 2 años</w:t>
      </w:r>
      <w:r>
        <w:t xml:space="preserve"> </w:t>
      </w:r>
      <w:r>
        <w:rPr>
          <w:bCs/>
          <w:b/>
        </w:rPr>
        <w:t xml:space="preserve">57,6 %</w:t>
      </w:r>
      <w:r>
        <w:t xml:space="preserve">.</w:t>
      </w:r>
    </w:p>
    <w:p>
      <w:pPr>
        <w:numPr>
          <w:ilvl w:val="0"/>
          <w:numId w:val="1002"/>
        </w:numPr>
        <w:pStyle w:val="Compact"/>
      </w:pPr>
      <w:r>
        <w:rPr>
          <w:bCs/>
          <w:b/>
        </w:rPr>
        <w:t xml:space="preserve">Aceleración: +26,5 pp</w:t>
      </w:r>
      <w:r>
        <w:t xml:space="preserve"> </w:t>
      </w:r>
      <w:r>
        <w:t xml:space="preserve">(93 % frente a la media de 66,5 % de los cuatro trimestres anteriores). Cinco trimestres seguidos acelerando.</w:t>
      </w:r>
    </w:p>
    <w:p>
      <w:pPr>
        <w:numPr>
          <w:ilvl w:val="0"/>
          <w:numId w:val="1002"/>
        </w:numPr>
        <w:pStyle w:val="Compact"/>
      </w:pPr>
      <w:r>
        <w:t xml:space="preserve">Retención neta de ingresos (NRR)</w:t>
      </w:r>
      <w:r>
        <w:t xml:space="preserve"> </w:t>
      </w:r>
      <w:r>
        <w:rPr>
          <w:bCs/>
          <w:b/>
        </w:rPr>
        <w:t xml:space="preserve">157 %</w:t>
      </w:r>
      <w:r>
        <w:t xml:space="preserve"> </w:t>
      </w:r>
      <w:r>
        <w:t xml:space="preserve">(150 % en el 1T26) [3].</w:t>
      </w:r>
    </w:p>
    <w:p>
      <w:pPr>
        <w:numPr>
          <w:ilvl w:val="0"/>
          <w:numId w:val="1002"/>
        </w:numPr>
        <w:pStyle w:val="Compact"/>
      </w:pPr>
      <w:r>
        <w:t xml:space="preserve">TCV cerrado 3.373 M (+49 %), de ellos 2.132 M comercial EE. UU. (récord); valor de contratos pendiente comercial EE. UU. 6.238 M (+124 %) [3].</w:t>
      </w:r>
    </w:p>
    <w:p>
      <w:pPr>
        <w:numPr>
          <w:ilvl w:val="0"/>
          <w:numId w:val="1002"/>
        </w:numPr>
        <w:pStyle w:val="Compact"/>
      </w:pPr>
      <w:r>
        <w:t xml:space="preserve">Guía 3T26: 2.160-2.164 M (+83 % aprox.); resultado el 2-nov-2026 [1][5].</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 2028</w:t>
      </w:r>
      <w:r>
        <w:t xml:space="preserve">: 153.000 M USD, el software de plataformas de IA según IDC [14]. Se descarta el «gasto en software de IA generativa» de Gartner (895.000 M en 2028) por inflado para lo que Palantir puede vender. Penetración actual:</w:t>
      </w:r>
      <w:r>
        <w:t xml:space="preserve"> </w:t>
      </w:r>
      <w:r>
        <w:rPr>
          <w:bCs/>
          <w:b/>
        </w:rPr>
        <w:t xml:space="preserve">4,0 %</w:t>
      </w:r>
      <w:r>
        <w:t xml:space="preserve"> </w:t>
      </w:r>
      <w:r>
        <w:t xml:space="preserve">(sin contar el software de defensa, donde su cuota es mayor).</w:t>
      </w:r>
    </w:p>
    <w:p>
      <w:pPr>
        <w:numPr>
          <w:ilvl w:val="0"/>
          <w:numId w:val="1003"/>
        </w:numPr>
        <w:pStyle w:val="Compact"/>
      </w:pPr>
      <w:r>
        <w:rPr>
          <w:bCs/>
          <w:b/>
        </w:rPr>
        <w:t xml:space="preserve">Rivales</w:t>
      </w:r>
      <w:r>
        <w:t xml:space="preserve">: en defensa, Anduril, los integradores clásicos (Lockheed, RTX, Booz Allen) y los hiperescaladores; en empresas, Databricks, Snowflake, ServiceNow, Salesforce, Microsoft (Fabric, Copilot) y, cada vez más, los agentes de Anthropic y OpenAI, que son la amenaza que agitó Burry en abril [8].</w:t>
      </w:r>
    </w:p>
    <w:p>
      <w:pPr>
        <w:numPr>
          <w:ilvl w:val="0"/>
          <w:numId w:val="1003"/>
        </w:numPr>
        <w:pStyle w:val="Compact"/>
      </w:pPr>
      <w:r>
        <w:rPr>
          <w:bCs/>
          <w:b/>
        </w:rPr>
        <w:t xml:space="preserve">Por qué gana</w:t>
      </w:r>
      <w:r>
        <w:t xml:space="preserve">: la ontología y la capa de acción con permisos convierten la IA en procesos auditables; las acreditaciones de seguridad y el despliegue en el borde son difíciles de replicar; y los «bootcamps» de cinco días acortan mucho el ciclo de venta. Tecnología 4/5 (diferencial, pero con alternativas creíbles en 3 años por parte de los laboratorios de IA); posición 5/5 (líder en IA operativa para defensa y gran empresa, cuota creciente).</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Consenso 2026 de ~6.300 a ~8.200 M tras el 2T26; Goldman a Comprar (230) el 8-oct; Barclays inicia con 265</w:t>
            </w:r>
          </w:p>
        </w:tc>
        <w:tc>
          <w:tcPr/>
          <w:p>
            <w:pPr>
              <w:pStyle w:val="Compact"/>
              <w:jc w:val="left"/>
            </w:pPr>
            <w:r>
              <w:t xml:space="preserve">[6][7][9]</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Sí</w:t>
            </w:r>
          </w:p>
        </w:tc>
        <w:tc>
          <w:tcPr/>
          <w:p>
            <w:pPr>
              <w:pStyle w:val="Compact"/>
              <w:jc w:val="left"/>
            </w:pPr>
            <w:r>
              <w:t xml:space="preserve">208,67 frente a una media estimada de ~150, girando al alza</w:t>
            </w:r>
          </w:p>
        </w:tc>
        <w:tc>
          <w:tcPr/>
          <w:p>
            <w:pPr>
              <w:pStyle w:val="Compact"/>
              <w:jc w:val="left"/>
            </w:pPr>
            <w:r>
              <w:t xml:space="preserve">[5][6]</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Sí</w:t>
            </w:r>
          </w:p>
        </w:tc>
        <w:tc>
          <w:tcPr/>
          <w:p>
            <w:pPr>
              <w:pStyle w:val="Compact"/>
              <w:jc w:val="left"/>
            </w:pPr>
            <w:r>
              <w:t xml:space="preserve">+60 % aprox. desde mediados de abril; +60,3 % en el 3T26</w:t>
            </w:r>
          </w:p>
        </w:tc>
        <w:tc>
          <w:tcPr/>
          <w:p>
            <w:pPr>
              <w:pStyle w:val="Compact"/>
              <w:jc w:val="left"/>
            </w:pPr>
            <w:r>
              <w:t xml:space="preserve">[6][8]</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EV/ventas 12 m siguientes de ~27x (30-jun) a ~44x: +64 %</w:t>
            </w:r>
          </w:p>
        </w:tc>
        <w:tc>
          <w:tcPr/>
          <w:p>
            <w:pPr>
              <w:pStyle w:val="Compact"/>
              <w:jc w:val="left"/>
            </w:pPr>
            <w:r>
              <w:t xml:space="preserve">cálculo propio</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Margen operativo GAAP 47 % frente a ~27 % un año antes (+20 pp)</w:t>
            </w:r>
          </w:p>
        </w:tc>
        <w:tc>
          <w:tcPr/>
          <w:p>
            <w:pPr>
              <w:pStyle w:val="Compact"/>
              <w:jc w:val="left"/>
            </w:pPr>
            <w:r>
              <w:t xml:space="preserve">[1][2]</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Sí</w:t>
            </w:r>
          </w:p>
        </w:tc>
        <w:tc>
          <w:tcPr/>
          <w:p>
            <w:pPr>
              <w:pStyle w:val="Compact"/>
              <w:jc w:val="left"/>
            </w:pPr>
            <w:r>
              <w:t xml:space="preserve">De negativo (1S26) a positivo (récord, mejoras de analistas)</w:t>
            </w:r>
          </w:p>
        </w:tc>
        <w:tc>
          <w:tcPr/>
          <w:p>
            <w:pPr>
              <w:pStyle w:val="Compact"/>
              <w:jc w:val="left"/>
            </w:pPr>
            <w:r>
              <w:t xml:space="preserve">[8]-[11]</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Ventas recurrentes de Karp y Cohen (10b5-1); ya está en S&amp;P 500 y Nasdaq-100</w:t>
            </w:r>
          </w:p>
        </w:tc>
        <w:tc>
          <w:tcPr/>
          <w:p>
            <w:pPr>
              <w:pStyle w:val="Compact"/>
              <w:jc w:val="left"/>
            </w:pPr>
            <w:r>
              <w:t xml:space="preserve">[12]</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TCV comercial récord, memorando del Pentágono (+244 M), guía elevada</w:t>
            </w:r>
          </w:p>
        </w:tc>
        <w:tc>
          <w:tcPr/>
          <w:p>
            <w:pPr>
              <w:pStyle w:val="Compact"/>
              <w:jc w:val="left"/>
            </w:pPr>
            <w:r>
              <w:t xml:space="preserve">[1][3][13]</w:t>
            </w:r>
          </w:p>
        </w:tc>
      </w:tr>
    </w:tbl>
    <w:p>
      <w:pPr>
        <w:pStyle w:val="BodyText"/>
      </w:pPr>
      <w:r>
        <w:rPr>
          <w:bCs/>
          <w:b/>
        </w:rPr>
        <w:t xml:space="preserve">Euforia: no</w:t>
      </w:r>
      <w:r>
        <w:t xml:space="preserve"> </w:t>
      </w:r>
      <w:r>
        <w:t xml:space="preserve">según la regla del método (la subida a 12 meses es de ~+14 %, lejos del 150 %), aunque el rebote de 3 meses (+60 %) y el récord tienen algo de euforia en StockTwits.</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t xml:space="preserve">Margen bruto GAAP</w:t>
      </w:r>
      <w:r>
        <w:t xml:space="preserve"> </w:t>
      </w:r>
      <w:r>
        <w:rPr>
          <w:bCs/>
          <w:b/>
        </w:rPr>
        <w:t xml:space="preserve">85 %</w:t>
      </w:r>
      <w:r>
        <w:t xml:space="preserve"> </w:t>
      </w:r>
      <w:r>
        <w:t xml:space="preserve">en el 2T26 (81 % un año antes) [2].</w:t>
      </w:r>
    </w:p>
    <w:p>
      <w:pPr>
        <w:numPr>
          <w:ilvl w:val="0"/>
          <w:numId w:val="1004"/>
        </w:numPr>
        <w:pStyle w:val="Compact"/>
      </w:pPr>
      <w:r>
        <w:t xml:space="preserve">FCF ajustado últimos 12 meses: 540 + 791 + 925 + 1.220 =</w:t>
      </w:r>
      <w:r>
        <w:t xml:space="preserve"> </w:t>
      </w:r>
      <w:r>
        <w:rPr>
          <w:bCs/>
          <w:b/>
        </w:rPr>
        <w:t xml:space="preserve">3.476 M USD, margen 56,5 %</w:t>
      </w:r>
      <w:r>
        <w:t xml:space="preserve"> </w:t>
      </w:r>
      <w:r>
        <w:t xml:space="preserve">[1][4]. Guía 2026: 4.500-4.700 M.</w:t>
      </w:r>
    </w:p>
    <w:p>
      <w:pPr>
        <w:numPr>
          <w:ilvl w:val="0"/>
          <w:numId w:val="1004"/>
        </w:numPr>
        <w:pStyle w:val="Compact"/>
      </w:pPr>
      <w:r>
        <w:rPr>
          <w:bCs/>
          <w:b/>
        </w:rPr>
        <w:t xml:space="preserve">Regla del 40: 135,3</w:t>
      </w:r>
      <w:r>
        <w:t xml:space="preserve"> </w:t>
      </w:r>
      <w:r>
        <w:t xml:space="preserve">(78,8 % de crecimiento + 56,5 % de margen FCF); la empresa la calcula en 155 con margen operativo ajustado [3].</w:t>
      </w:r>
    </w:p>
    <w:p>
      <w:pPr>
        <w:numPr>
          <w:ilvl w:val="0"/>
          <w:numId w:val="1004"/>
        </w:numPr>
        <w:pStyle w:val="Compact"/>
      </w:pPr>
      <w:r>
        <w:t xml:space="preserve">Margen operativo ajustado 62 % y GAAP 47 % en el 2T26; beneficio neto 1.070 M [1].</w:t>
      </w:r>
    </w:p>
    <w:p>
      <w:pPr>
        <w:numPr>
          <w:ilvl w:val="0"/>
          <w:numId w:val="1004"/>
        </w:numPr>
        <w:pStyle w:val="Compact"/>
      </w:pPr>
      <w:r>
        <w:t xml:space="preserve">Apalancamiento operativo evidente: las ventas crecen al 93 % y el coste de ventas al ~54 %. Camino a la rentabilidad:</w:t>
      </w:r>
      <w:r>
        <w:t xml:space="preserve"> </w:t>
      </w:r>
      <w:r>
        <w:rPr>
          <w:bCs/>
          <w:b/>
        </w:rPr>
        <w:t xml:space="preserve">FCF creciente</w:t>
      </w:r>
      <w:r>
        <w:t xml:space="preserve"> </w:t>
      </w:r>
      <w:r>
        <w:t xml:space="preserve">(5/5).</w:t>
      </w:r>
    </w:p>
    <w:bookmarkEnd w:id="25"/>
    <w:bookmarkStart w:id="26" w:name="caja-deuda-y-dilución"/>
    <w:p>
      <w:pPr>
        <w:pStyle w:val="Heading2"/>
      </w:pPr>
      <w:r>
        <w:t xml:space="preserve">7. Caja, deuda y dilución</w:t>
      </w:r>
    </w:p>
    <w:p>
      <w:pPr>
        <w:numPr>
          <w:ilvl w:val="0"/>
          <w:numId w:val="1005"/>
        </w:numPr>
        <w:pStyle w:val="Compact"/>
      </w:pPr>
      <w:r>
        <w:t xml:space="preserve">Caja y letras del Tesoro:</w:t>
      </w:r>
      <w:r>
        <w:t xml:space="preserve"> </w:t>
      </w:r>
      <w:r>
        <w:rPr>
          <w:bCs/>
          <w:b/>
        </w:rPr>
        <w:t xml:space="preserve">9.200 M USD</w:t>
      </w:r>
      <w:r>
        <w:t xml:space="preserve">, sin deuda financiera [1][3]. Pista: infinita (FCF positivo).</w:t>
      </w:r>
    </w:p>
    <w:p>
      <w:pPr>
        <w:numPr>
          <w:ilvl w:val="0"/>
          <w:numId w:val="1005"/>
        </w:numPr>
        <w:pStyle w:val="Compact"/>
      </w:pPr>
      <w:r>
        <w:t xml:space="preserve">Acciones diluidas:</w:t>
      </w:r>
      <w:r>
        <w:t xml:space="preserve"> </w:t>
      </w:r>
      <w:r>
        <w:rPr>
          <w:bCs/>
          <w:b/>
        </w:rPr>
        <w:t xml:space="preserve">2.569 M</w:t>
      </w:r>
      <w:r>
        <w:t xml:space="preserve"> </w:t>
      </w:r>
      <w:r>
        <w:t xml:space="preserve">(media ponderada 2T26) [2]; en el 1T26 eran 2.570,9 M frente a 2.552,8 M un año antes (+0,7 %). Se usa</w:t>
      </w:r>
      <w:r>
        <w:t xml:space="preserve"> </w:t>
      </w:r>
      <w:r>
        <w:rPr>
          <w:bCs/>
          <w:b/>
        </w:rPr>
        <w:t xml:space="preserve">1,0 %</w:t>
      </w:r>
      <w:r>
        <w:t xml:space="preserve"> </w:t>
      </w:r>
      <w:r>
        <w:t xml:space="preserve">de dilución anual por prudencia.</w:t>
      </w:r>
    </w:p>
    <w:p>
      <w:pPr>
        <w:numPr>
          <w:ilvl w:val="0"/>
          <w:numId w:val="1005"/>
        </w:numPr>
        <w:pStyle w:val="Compact"/>
      </w:pPr>
      <w:r>
        <w:t xml:space="preserve">Pagos en acciones: 265 M en el 2T26 (+66 %); en 12 meses ≈</w:t>
      </w:r>
      <w:r>
        <w:t xml:space="preserve"> </w:t>
      </w:r>
      <w:r>
        <w:rPr>
          <w:bCs/>
          <w:b/>
        </w:rPr>
        <w:t xml:space="preserve">836 M, 13,6 % de las ventas</w:t>
      </w:r>
      <w:r>
        <w:t xml:space="preserve"> </w:t>
      </w:r>
      <w:r>
        <w:t xml:space="preserve">(estimado: 684 M en 2025 según fuente secundaria, sin confirmar en el 10-K). Por debajo del 15 % de alerta, y en fuerte bajada desde el &gt;20 % de 2023, pero crece rápido.</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5/5</w:t>
      </w:r>
      <w:r>
        <w:t xml:space="preserve">: supera su guía y la eleva trimestre tras trimestre; el 2T26 trajo la mayor subida de guía de su historia (de 7.650 a 8.150 M en ventas 2026) [1][4].</w:t>
      </w:r>
    </w:p>
    <w:p>
      <w:pPr>
        <w:numPr>
          <w:ilvl w:val="0"/>
          <w:numId w:val="1006"/>
        </w:numPr>
        <w:pStyle w:val="Compact"/>
      </w:pPr>
      <w:r>
        <w:rPr>
          <w:bCs/>
          <w:b/>
        </w:rPr>
        <w:t xml:space="preserve">Dirección 4/5</w:t>
      </w:r>
      <w:r>
        <w:t xml:space="preserve">: Alex Karp (cofundador) y Stephen Cohen controlan el voto con acciones de clase F; Peter Thiel sigue como presidente. Asignación de capital sensata (sin deuda, sin adquisiciones caras, dilución contenida). Resta un punto por las</w:t>
      </w:r>
      <w:r>
        <w:t xml:space="preserve"> </w:t>
      </w:r>
      <w:r>
        <w:rPr>
          <w:bCs/>
          <w:b/>
        </w:rPr>
        <w:t xml:space="preserve">ventas recurrentes de los directivos</w:t>
      </w:r>
      <w:r>
        <w:t xml:space="preserve"> </w:t>
      </w:r>
      <w:r>
        <w:t xml:space="preserve">(Karp ~54 M y Cohen ~44 M en mayo; Karp de nuevo en agosto), aunque son planes 10b5-1 y retenciones fiscales [12], y por un gobierno de doble clase.</w:t>
      </w:r>
    </w:p>
    <w:bookmarkEnd w:id="27"/>
    <w:bookmarkStart w:id="28" w:name="valoración"/>
    <w:p>
      <w:pPr>
        <w:pStyle w:val="Heading2"/>
      </w:pPr>
      <w:r>
        <w:t xml:space="preserve">9. Valoración</w:t>
      </w:r>
    </w:p>
    <w:p>
      <w:pPr>
        <w:pStyle w:val="FirstParagraph"/>
      </w:pPr>
      <w:r>
        <w:t xml:space="preserve">Precio de cierre 13-oct:</w:t>
      </w:r>
      <w:r>
        <w:t xml:space="preserve"> </w:t>
      </w:r>
      <w:r>
        <w:rPr>
          <w:bCs/>
          <w:b/>
        </w:rPr>
        <w:t xml:space="preserve">208,67 USD</w:t>
      </w:r>
      <w:r>
        <w:t xml:space="preserve"> </w:t>
      </w:r>
      <w:r>
        <w:t xml:space="preserve">(Yahoo Finance y Google Finance; 9-oct, récord de 209,05 según TIKR) [5][7]. Capitalización diluida ≈ 536.000 M;</w:t>
      </w:r>
      <w:r>
        <w:t xml:space="preserve"> </w:t>
      </w:r>
      <w:r>
        <w:rPr>
          <w:bCs/>
          <w:b/>
        </w:rPr>
        <w:t xml:space="preserve">EV ≈ 526.900 M USD</w:t>
      </w:r>
      <w:r>
        <w:t xml:space="preserve">.</w:t>
      </w:r>
    </w:p>
    <w:p>
      <w:pPr>
        <w:numPr>
          <w:ilvl w:val="0"/>
          <w:numId w:val="1007"/>
        </w:numPr>
        <w:pStyle w:val="Compact"/>
      </w:pPr>
      <w:r>
        <w:rPr>
          <w:bCs/>
          <w:b/>
        </w:rPr>
        <w:t xml:space="preserve">Ventas 12 m siguientes (propias)</w:t>
      </w:r>
      <w:r>
        <w:t xml:space="preserve">: ~11.900 M (4T26 ~2.560; 2027 ~13.000 M).</w:t>
      </w:r>
      <w:r>
        <w:t xml:space="preserve"> </w:t>
      </w:r>
      <w:r>
        <w:rPr>
          <w:bCs/>
          <w:b/>
        </w:rPr>
        <w:t xml:space="preserve">EV/ventas actual: 44,2x</w:t>
      </w:r>
      <w:r>
        <w:t xml:space="preserve"> </w:t>
      </w:r>
      <w:r>
        <w:t xml:space="preserve">(85,6x sobre las de los últimos 12 meses).</w:t>
      </w:r>
    </w:p>
    <w:p>
      <w:pPr>
        <w:numPr>
          <w:ilvl w:val="0"/>
          <w:numId w:val="1007"/>
        </w:numPr>
        <w:pStyle w:val="Compact"/>
      </w:pPr>
      <w:r>
        <w:rPr>
          <w:bCs/>
          <w:b/>
        </w:rPr>
        <w:t xml:space="preserve">Mediana 3 años: 39x; mínimo 3 años: 13x</w:t>
      </w:r>
      <w:r>
        <w:t xml:space="preserve"> </w:t>
      </w:r>
      <w:r>
        <w:t xml:space="preserve">(reconstrucción propia trimestral oct-23 a oct-26, EV sobre las ventas que realmente llegaron en los 12 meses siguientes: 13x a fin de 2023, 42x a fin de 2024, 64x en sep-25, 27x en jun-26). Contraste: P/S adelantado 30,7x a 22-jul-2026 y mediana desde 2020 de 22,8x (Capital.com con LSEG) [15].</w:t>
      </w:r>
    </w:p>
    <w:p>
      <w:pPr>
        <w:numPr>
          <w:ilvl w:val="0"/>
          <w:numId w:val="1007"/>
        </w:numPr>
        <w:pStyle w:val="Compact"/>
      </w:pPr>
      <w:r>
        <w:rPr>
          <w:bCs/>
          <w:b/>
        </w:rPr>
        <w:t xml:space="preserve">Comparables</w:t>
      </w:r>
      <w:r>
        <w:t xml:space="preserve">: sin cifra fiable por empresa (null). Solo diez compañías de software cotizan por encima de 10x ventas (Meritech) [17]; no cambia el cálculo porque la mediana propia (39x) es mayor.</w:t>
      </w:r>
    </w:p>
    <w:p>
      <w:pPr>
        <w:numPr>
          <w:ilvl w:val="0"/>
          <w:numId w:val="1007"/>
        </w:numPr>
        <w:pStyle w:val="Compact"/>
      </w:pPr>
      <w:r>
        <w:rPr>
          <w:bCs/>
          <w:b/>
        </w:rPr>
        <w:t xml:space="preserve">Rebaja por desaceleración</w:t>
      </w:r>
      <w:r>
        <w:t xml:space="preserve">: crecimiento de los próximos 12 meses ~93 % y del 2028 ~38 % → factor 0,41, con suelo</w:t>
      </w:r>
      <w:r>
        <w:t xml:space="preserve"> </w:t>
      </w:r>
      <w:r>
        <w:rPr>
          <w:bCs/>
          <w:b/>
        </w:rPr>
        <w:t xml:space="preserve">0,6</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2028 (M USD)</w:t>
            </w:r>
          </w:p>
        </w:tc>
        <w:tc>
          <w:tcPr/>
          <w:p>
            <w:pPr>
              <w:pStyle w:val="Compact"/>
              <w:jc w:val="left"/>
            </w:pPr>
            <w:r>
              <w:t xml:space="preserve">EV/ventas</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14.700 (2027 +40 %, 2028 +25 %)</w:t>
            </w:r>
          </w:p>
        </w:tc>
        <w:tc>
          <w:tcPr/>
          <w:p>
            <w:pPr>
              <w:pStyle w:val="Compact"/>
              <w:jc w:val="left"/>
            </w:pPr>
            <w:r>
              <w:t xml:space="preserve">13,0x</w:t>
            </w:r>
          </w:p>
        </w:tc>
        <w:tc>
          <w:tcPr/>
          <w:p>
            <w:pPr>
              <w:pStyle w:val="Compact"/>
              <w:jc w:val="left"/>
            </w:pPr>
            <w:r>
              <w:t xml:space="preserve">77,2</w:t>
            </w:r>
          </w:p>
        </w:tc>
        <w:tc>
          <w:tcPr/>
          <w:p>
            <w:pPr>
              <w:pStyle w:val="Compact"/>
              <w:jc w:val="left"/>
            </w:pPr>
            <w:r>
              <w:t xml:space="preserve">−63,0 %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17.900 (2027 +55 %, 2028 +38 %)</w:t>
            </w:r>
          </w:p>
        </w:tc>
        <w:tc>
          <w:tcPr/>
          <w:p>
            <w:pPr>
              <w:pStyle w:val="Compact"/>
              <w:jc w:val="left"/>
            </w:pPr>
            <w:r>
              <w:t xml:space="preserve">23,4x</w:t>
            </w:r>
          </w:p>
        </w:tc>
        <w:tc>
          <w:tcPr/>
          <w:p>
            <w:pPr>
              <w:pStyle w:val="Compact"/>
              <w:jc w:val="left"/>
            </w:pPr>
            <w:r>
              <w:t xml:space="preserve">165,0</w:t>
            </w:r>
          </w:p>
        </w:tc>
        <w:tc>
          <w:tcPr/>
          <w:p>
            <w:pPr>
              <w:pStyle w:val="Compact"/>
              <w:jc w:val="left"/>
            </w:pPr>
            <w:r>
              <w:t xml:space="preserve">−20,9 %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20.100 (2027 +65 %, 2028 +45 %)</w:t>
            </w:r>
          </w:p>
        </w:tc>
        <w:tc>
          <w:tcPr/>
          <w:p>
            <w:pPr>
              <w:pStyle w:val="Compact"/>
              <w:jc w:val="left"/>
            </w:pPr>
            <w:r>
              <w:t xml:space="preserve">32,8x</w:t>
            </w:r>
          </w:p>
        </w:tc>
        <w:tc>
          <w:tcPr/>
          <w:p>
            <w:pPr>
              <w:pStyle w:val="Compact"/>
              <w:jc w:val="left"/>
            </w:pPr>
            <w:r>
              <w:t xml:space="preserve">257,6</w:t>
            </w:r>
          </w:p>
        </w:tc>
        <w:tc>
          <w:tcPr/>
          <w:p>
            <w:pPr>
              <w:pStyle w:val="Compact"/>
              <w:jc w:val="left"/>
            </w:pPr>
            <w:r>
              <w:t xml:space="preserve">+23,4 %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166,2</w:t>
            </w:r>
          </w:p>
        </w:tc>
        <w:tc>
          <w:tcPr/>
          <w:p>
            <w:pPr>
              <w:pStyle w:val="Compact"/>
              <w:jc w:val="left"/>
            </w:pPr>
            <w:r>
              <w:rPr>
                <w:bCs/>
                <w:b/>
              </w:rPr>
              <w:t xml:space="preserve">−20,4 %</w:t>
            </w:r>
          </w:p>
        </w:tc>
        <w:tc>
          <w:tcPr/>
          <w:p>
            <w:pPr>
              <w:pStyle w:val="Compact"/>
            </w:pPr>
          </w:p>
        </w:tc>
      </w:tr>
    </w:tbl>
    <w:p>
      <w:pPr>
        <w:pStyle w:val="BodyText"/>
      </w:pPr>
      <w:r>
        <w:t xml:space="preserve">Asimetría 0,4 (el bajista pesa 2,5 veces más que el alcista). Precio máximo de compra:</w:t>
      </w:r>
      <w:r>
        <w:t xml:space="preserve"> </w:t>
      </w:r>
      <w:r>
        <w:rPr>
          <w:bCs/>
          <w:b/>
        </w:rPr>
        <w:t xml:space="preserve">138,5 USD</w:t>
      </w:r>
      <w:r>
        <w:t xml:space="preserve">.</w:t>
      </w:r>
    </w:p>
    <w:p>
      <w:pPr>
        <w:numPr>
          <w:ilvl w:val="0"/>
          <w:numId w:val="1008"/>
        </w:numPr>
        <w:pStyle w:val="Compact"/>
      </w:pPr>
      <w:r>
        <w:rPr>
          <w:bCs/>
          <w:b/>
        </w:rPr>
        <w:t xml:space="preserve">Contraste con el consenso</w:t>
      </w:r>
      <w:r>
        <w:t xml:space="preserve">: ventas 2028 ~15.800 M (Tickflow, posiblemente anterior a la subida de guía del 2T26) [16], por debajo de nuestra base; precio objetivo medio 200,88 USD (−4 %), con Barclays en 265 y Goldman en 230 [7][9]. El mercado y los analistas dan por hecho que el múltiplo aguanta; la regla del método supone que se comprime como siempre ha pasado en growth.</w:t>
      </w:r>
    </w:p>
    <w:p>
      <w:pPr>
        <w:numPr>
          <w:ilvl w:val="0"/>
          <w:numId w:val="1008"/>
        </w:numPr>
        <w:pStyle w:val="Compact"/>
      </w:pPr>
      <w:r>
        <w:rPr>
          <w:bCs/>
          <w:b/>
        </w:rPr>
        <w:t xml:space="preserve">DCF inverso</w:t>
      </w:r>
      <w:r>
        <w:t xml:space="preserve">: el precio actual descuenta</w:t>
      </w:r>
      <w:r>
        <w:t xml:space="preserve"> </w:t>
      </w:r>
      <w:r>
        <w:rPr>
          <w:bCs/>
          <w:b/>
        </w:rPr>
        <w:t xml:space="preserve">~36,6 % anual de crecimiento durante 10 años</w:t>
      </w:r>
      <w:r>
        <w:t xml:space="preserve"> </w:t>
      </w:r>
      <w:r>
        <w:t xml:space="preserve">(margen FCF del 45 %, descuento del 10 %, crecimiento terminal del 4 %), es decir, ~139.000 M USD de ventas en 2036, cerca de la mitad del software de Microsoft hoy. Posible, pero exige que casi todo salga bien: no es razonable como caso central.</w:t>
      </w:r>
    </w:p>
    <w:bookmarkEnd w:id="28"/>
    <w:bookmarkStart w:id="29" w:name="foros-y-sentimiento"/>
    <w:p>
      <w:pPr>
        <w:pStyle w:val="Heading2"/>
      </w:pPr>
      <w:r>
        <w:t xml:space="preserve">10. Foros y sentimiento</w:t>
      </w:r>
    </w:p>
    <w:p>
      <w:pPr>
        <w:numPr>
          <w:ilvl w:val="0"/>
          <w:numId w:val="1009"/>
        </w:numPr>
        <w:pStyle w:val="Compact"/>
      </w:pPr>
      <w:r>
        <w:rPr>
          <w:bCs/>
          <w:b/>
        </w:rPr>
        <w:t xml:space="preserve">Reddit</w:t>
      </w:r>
      <w:r>
        <w:t xml:space="preserve"> </w:t>
      </w:r>
      <w:r>
        <w:t xml:space="preserve">(r/PLTR, r/stocks): no se pudo acceder directamente (dominio bloqueado para la herramienta). Por la prensa que lo recoge, el foro propio de PLTR es históricamente muy alcista y la comunidad «PLTR army» vuelve a celebrar máximos.</w:t>
      </w:r>
    </w:p>
    <w:p>
      <w:pPr>
        <w:numPr>
          <w:ilvl w:val="0"/>
          <w:numId w:val="1009"/>
        </w:numPr>
        <w:pStyle w:val="Compact"/>
      </w:pPr>
      <w:r>
        <w:rPr>
          <w:bCs/>
          <w:b/>
        </w:rPr>
        <w:t xml:space="preserve">StockTwits / X</w:t>
      </w:r>
      <w:r>
        <w:t xml:space="preserve">: PLTR vuelve a estar entre los más comentados; la lectura más citada en agosto era «extremadamente alcista», pero de fuentes poco fiables. En X el debate de 2026 lo marcó Michael Burry (abril): «Anthropic se come la comida de Palantir»; Dan Ives (Wedbush) lo rebatió [8].</w:t>
      </w:r>
    </w:p>
    <w:p>
      <w:pPr>
        <w:numPr>
          <w:ilvl w:val="0"/>
          <w:numId w:val="1009"/>
        </w:numPr>
        <w:pStyle w:val="Compact"/>
      </w:pPr>
      <w:r>
        <w:rPr>
          <w:bCs/>
          <w:b/>
        </w:rPr>
        <w:t xml:space="preserve">Seeking Alpha</w:t>
      </w:r>
      <w:r>
        <w:t xml:space="preserve">: dominan los artículos bajistas por valoración («Unlikely to end well», «Just too expensive», «strong sell») escritos entre 2025 y el 1S26; ningún cambio de calificación nuevo en octubre localizado [10].</w:t>
      </w:r>
    </w:p>
    <w:p>
      <w:pPr>
        <w:numPr>
          <w:ilvl w:val="0"/>
          <w:numId w:val="1009"/>
        </w:numPr>
        <w:pStyle w:val="Compact"/>
      </w:pPr>
      <w:r>
        <w:rPr>
          <w:bCs/>
          <w:b/>
        </w:rPr>
        <w:t xml:space="preserve">Castellano</w:t>
      </w:r>
      <w:r>
        <w:t xml:space="preserve">: en Rankia no aparecen hilos recientes; XTB España (4-ago) y RankiaItalia (jul-26) insisten en «altas expectativas» y en que la acción es cara y no paga dividendo [11].</w:t>
      </w:r>
    </w:p>
    <w:p>
      <w:pPr>
        <w:numPr>
          <w:ilvl w:val="0"/>
          <w:numId w:val="1009"/>
        </w:numPr>
        <w:pStyle w:val="Compact"/>
      </w:pPr>
      <w:r>
        <w:rPr>
          <w:bCs/>
          <w:b/>
        </w:rPr>
        <w:t xml:space="preserve">Contraste con los datos</w:t>
      </w:r>
      <w:r>
        <w:t xml:space="preserve">: el giro del sentimiento está justificado por el negocio (aceleración real y guía elevada), pero el precio ya recoge el giro: el múltiplo subió un 64 % desde junio. La reversión del sentimiento es aquí el riesgo principal.</w:t>
      </w:r>
    </w:p>
    <w:bookmarkEnd w:id="29"/>
    <w:bookmarkStart w:id="30" w:name="riesgos-y-qué-rompería-la-tesis"/>
    <w:p>
      <w:pPr>
        <w:pStyle w:val="Heading2"/>
      </w:pPr>
      <w:r>
        <w:t xml:space="preserve">11. Riesgos y qué rompería la tesis</w:t>
      </w:r>
    </w:p>
    <w:p>
      <w:pPr>
        <w:numPr>
          <w:ilvl w:val="0"/>
          <w:numId w:val="1010"/>
        </w:numPr>
        <w:pStyle w:val="Compact"/>
      </w:pPr>
      <w:r>
        <w:rPr>
          <w:bCs/>
          <w:b/>
        </w:rPr>
        <w:t xml:space="preserve">Valoración extrema</w:t>
      </w:r>
      <w:r>
        <w:t xml:space="preserve">: 44x ventas futuras y 86x pasadas (&gt;30x, en rojo). Un trimestre «solo bueno» puede costar un 20-30 %, como en 2025 y en abril de 2026.</w:t>
      </w:r>
    </w:p>
    <w:p>
      <w:pPr>
        <w:numPr>
          <w:ilvl w:val="0"/>
          <w:numId w:val="1010"/>
        </w:numPr>
        <w:pStyle w:val="Compact"/>
      </w:pPr>
      <w:r>
        <w:rPr>
          <w:bCs/>
          <w:b/>
        </w:rPr>
        <w:t xml:space="preserve">Reversión del sentimiento</w:t>
      </w:r>
      <w:r>
        <w:t xml:space="preserve">: el valor cayó un 45 % desde máximos entre nov-25 y jun-26 sin que el negocio empeorara.</w:t>
      </w:r>
    </w:p>
    <w:p>
      <w:pPr>
        <w:numPr>
          <w:ilvl w:val="0"/>
          <w:numId w:val="1010"/>
        </w:numPr>
        <w:pStyle w:val="Compact"/>
      </w:pPr>
      <w:r>
        <w:rPr>
          <w:bCs/>
          <w:b/>
        </w:rPr>
        <w:t xml:space="preserve">Sustitución por la IA de los laboratorios</w:t>
      </w:r>
      <w:r>
        <w:t xml:space="preserve">: si los agentes de Anthropic/OpenAI hacen el trabajo de integración de datos más barato, la ventaja de la ontología se reduce.</w:t>
      </w:r>
    </w:p>
    <w:p>
      <w:pPr>
        <w:numPr>
          <w:ilvl w:val="0"/>
          <w:numId w:val="1010"/>
        </w:numPr>
        <w:pStyle w:val="Compact"/>
      </w:pPr>
      <w:r>
        <w:rPr>
          <w:bCs/>
          <w:b/>
        </w:rPr>
        <w:t xml:space="preserve">Gobierno de EE. UU. (~42 % de las ventas)</w:t>
      </w:r>
      <w:r>
        <w:t xml:space="preserve">: presupuestos, cambios políticos, controversias (inmigración, vigilancia), techo de deuda.</w:t>
      </w:r>
    </w:p>
    <w:p>
      <w:pPr>
        <w:numPr>
          <w:ilvl w:val="0"/>
          <w:numId w:val="1010"/>
        </w:numPr>
        <w:pStyle w:val="Compact"/>
      </w:pPr>
      <w:r>
        <w:rPr>
          <w:bCs/>
          <w:b/>
        </w:rPr>
        <w:t xml:space="preserve">Pagos en acciones</w:t>
      </w:r>
      <w:r>
        <w:t xml:space="preserve"> </w:t>
      </w:r>
      <w:r>
        <w:t xml:space="preserve">creciendo al 66 % y ventas recurrentes de directivos.</w:t>
      </w:r>
    </w:p>
    <w:p>
      <w:pPr>
        <w:numPr>
          <w:ilvl w:val="0"/>
          <w:numId w:val="1010"/>
        </w:numPr>
        <w:pStyle w:val="Compact"/>
      </w:pPr>
      <w:r>
        <w:rPr>
          <w:bCs/>
          <w:b/>
        </w:rPr>
        <w:t xml:space="preserve">Señales de venta concretas</w:t>
      </w:r>
      <w:r>
        <w:t xml:space="preserve"> </w:t>
      </w:r>
      <w:r>
        <w:t xml:space="preserve">(si se tuviera): crecimiento interanual por debajo del 50 % dos trimestres seguidos; NRR por debajo de 130 %; comercial EE. UU. por debajo del +80 %; recorte de la guía anual; pérdida de un gran programa del Ejército (contrato marco de 10.000 M).</w:t>
      </w:r>
    </w:p>
    <w:bookmarkEnd w:id="30"/>
    <w:bookmarkStart w:id="31" w:name="catalizadores-con-fecha"/>
    <w:p>
      <w:pPr>
        <w:pStyle w:val="Heading2"/>
      </w:pPr>
      <w:r>
        <w:t xml:space="preserve">12. Catalizadores con fecha</w:t>
      </w:r>
    </w:p>
    <w:p>
      <w:pPr>
        <w:numPr>
          <w:ilvl w:val="0"/>
          <w:numId w:val="1011"/>
        </w:numPr>
        <w:pStyle w:val="Compact"/>
      </w:pPr>
      <w:r>
        <w:rPr>
          <w:bCs/>
          <w:b/>
        </w:rPr>
        <w:t xml:space="preserve">2-nov-2026</w:t>
      </w:r>
      <w:r>
        <w:t xml:space="preserve">: resultados del 3T26 (guía 2.160-2.164 M; el consenso está apenas por encima) [5][7].</w:t>
      </w:r>
    </w:p>
    <w:p>
      <w:pPr>
        <w:numPr>
          <w:ilvl w:val="0"/>
          <w:numId w:val="1011"/>
        </w:numPr>
        <w:pStyle w:val="Compact"/>
      </w:pPr>
      <w:r>
        <w:rPr>
          <w:bCs/>
          <w:b/>
        </w:rPr>
        <w:t xml:space="preserve">Feb-2027</w:t>
      </w:r>
      <w:r>
        <w:t xml:space="preserve">: resultados 4T26 y primera guía 2027 (lo que decide el múltiplo de 2027).</w:t>
      </w:r>
    </w:p>
    <w:p>
      <w:pPr>
        <w:numPr>
          <w:ilvl w:val="0"/>
          <w:numId w:val="1011"/>
        </w:numPr>
        <w:pStyle w:val="Compact"/>
      </w:pPr>
      <w:r>
        <w:t xml:space="preserve">Presupuesto de Defensa de EE. UU. 2027 (Golden Dome, Maven, TITAN) y AIPCon periódicas.</w:t>
      </w:r>
    </w:p>
    <w:p>
      <w:pPr>
        <w:numPr>
          <w:ilvl w:val="0"/>
          <w:numId w:val="1011"/>
        </w:numPr>
        <w:pStyle w:val="Compact"/>
      </w:pPr>
      <w:r>
        <w:t xml:space="preserve">Posibles nuevas acreditaciones y contratos soberanos de IA (OTAN, Reino Unido).</w:t>
      </w:r>
    </w:p>
    <w:bookmarkEnd w:id="31"/>
    <w:bookmarkStart w:id="32" w:name="encaje-en-cartera"/>
    <w:p>
      <w:pPr>
        <w:pStyle w:val="Heading2"/>
      </w:pPr>
      <w:r>
        <w:t xml:space="preserve">13. Encaje en cartera</w:t>
      </w:r>
    </w:p>
    <w:p>
      <w:pPr>
        <w:pStyle w:val="FirstParagraph"/>
      </w:pPr>
      <w:r>
        <w:t xml:space="preserve">La cartera value propuesta de Hotis (~29.800 EUR: IGLN, Edenred, Daiichi Sankyo, Uber, Viscofan, Alphabet, Netflix, SAP, Intuit, Nemetschek y LVMH, con ~6.300 EUR de liquidez) ya tiene exposición al software y a la IA con Alphabet, SAP, Intuit y Nemetschek, todas mucho más baratas. Según el método,</w:t>
      </w:r>
      <w:r>
        <w:t xml:space="preserve"> </w:t>
      </w:r>
      <w:r>
        <w:rPr>
          <w:bCs/>
          <w:b/>
        </w:rPr>
        <w:t xml:space="preserve">Palantir no merece hueco hoy en el bolsillo growth</w:t>
      </w:r>
      <w:r>
        <w:t xml:space="preserve">: la señal es Vender/no comprar porque la ponderada es −20,4 % (el listón de compra es +20 %) y la base −20,9 % (listón +10 %), aunque cumple de sobra la puntuación (93,8), las señales (7/8) y la caja.</w:t>
      </w:r>
    </w:p>
    <w:p>
      <w:pPr>
        <w:pStyle w:val="BodyText"/>
      </w:pPr>
      <w:r>
        <w:rPr>
          <w:bCs/>
          <w:b/>
        </w:rPr>
        <w:t xml:space="preserve">Qué la haría entrar</w:t>
      </w:r>
      <w:r>
        <w:t xml:space="preserve">: un precio de</w:t>
      </w:r>
      <w:r>
        <w:t xml:space="preserve"> </w:t>
      </w:r>
      <w:r>
        <w:rPr>
          <w:bCs/>
          <w:b/>
        </w:rPr>
        <w:t xml:space="preserve">138,5 USD o menos</w:t>
      </w:r>
      <w:r>
        <w:t xml:space="preserve"> </w:t>
      </w:r>
      <w:r>
        <w:t xml:space="preserve">(−34 % desde aquí) sin cambio de tesis. A ese precio cumpliría los seis requisitos (el bajista quedaría en −44 %, justo dentro del −45 %) con convicción</w:t>
      </w:r>
      <w:r>
        <w:t xml:space="preserve"> </w:t>
      </w:r>
      <w:r>
        <w:rPr>
          <w:bCs/>
          <w:b/>
        </w:rPr>
        <w:t xml:space="preserve">media</w:t>
      </w:r>
      <w:r>
        <w:t xml:space="preserve"> </w:t>
      </w:r>
      <w:r>
        <w:t xml:space="preserve">(puntuación ≥ 75, asimetría ~1,9), es decir,</w:t>
      </w:r>
      <w:r>
        <w:t xml:space="preserve"> </w:t>
      </w:r>
      <w:r>
        <w:rPr>
          <w:bCs/>
          <w:b/>
        </w:rPr>
        <w:t xml:space="preserve">4 % de la cartera ≈ 1.190 EUR</w:t>
      </w:r>
      <w:r>
        <w:t xml:space="preserve">, a cargo de la liquidez, en dos tramos (mitad al tocar el precio, mitad tras los siguientes resultados). Encaja en una orden límite de vigilancia, no en una compra hoy. También cambiaría el cálculo que las ventas 2028 superen claramente los 20.000 M (el alcista) con la guía de febrero.</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25,0</w:t>
            </w:r>
          </w:p>
        </w:tc>
        <w:tc>
          <w:tcPr/>
          <w:p>
            <w:pPr>
              <w:pStyle w:val="Compact"/>
              <w:jc w:val="left"/>
            </w:pPr>
            <w:r>
              <w:t xml:space="preserve">25</w:t>
            </w:r>
          </w:p>
        </w:tc>
        <w:tc>
          <w:tcPr/>
          <w:p>
            <w:pPr>
              <w:pStyle w:val="Compact"/>
              <w:jc w:val="left"/>
            </w:pPr>
            <w:r>
              <w:t xml:space="preserve">78,8 % en 12 m, CAGR 57,6 %, aceleración +26,5 pp</w:t>
            </w:r>
          </w:p>
        </w:tc>
      </w:tr>
      <w:tr>
        <w:tc>
          <w:tcPr/>
          <w:p>
            <w:pPr>
              <w:pStyle w:val="Compact"/>
              <w:jc w:val="left"/>
            </w:pPr>
            <w:r>
              <w:t xml:space="preserve">B. Mercado y tecnología</w:t>
            </w:r>
          </w:p>
        </w:tc>
        <w:tc>
          <w:tcPr/>
          <w:p>
            <w:pPr>
              <w:pStyle w:val="Compact"/>
              <w:jc w:val="left"/>
            </w:pPr>
            <w:r>
              <w:t xml:space="preserve">17,3</w:t>
            </w:r>
          </w:p>
        </w:tc>
        <w:tc>
          <w:tcPr/>
          <w:p>
            <w:pPr>
              <w:pStyle w:val="Compact"/>
              <w:jc w:val="left"/>
            </w:pPr>
            <w:r>
              <w:t xml:space="preserve">20</w:t>
            </w:r>
          </w:p>
        </w:tc>
        <w:tc>
          <w:tcPr/>
          <w:p>
            <w:pPr>
              <w:pStyle w:val="Compact"/>
              <w:jc w:val="left"/>
            </w:pPr>
            <w:r>
              <w:t xml:space="preserve">Penetración 4,0 %; tecnología 4; posición 5</w:t>
            </w:r>
          </w:p>
        </w:tc>
      </w:tr>
      <w:tr>
        <w:tc>
          <w:tcPr/>
          <w:p>
            <w:pPr>
              <w:pStyle w:val="Compact"/>
              <w:jc w:val="left"/>
            </w:pPr>
            <w:r>
              <w:t xml:space="preserve">C. Cambio de tendencia</w:t>
            </w:r>
          </w:p>
        </w:tc>
        <w:tc>
          <w:tcPr/>
          <w:p>
            <w:pPr>
              <w:pStyle w:val="Compact"/>
              <w:jc w:val="left"/>
            </w:pPr>
            <w:r>
              <w:t xml:space="preserve">17,5</w:t>
            </w:r>
          </w:p>
        </w:tc>
        <w:tc>
          <w:tcPr/>
          <w:p>
            <w:pPr>
              <w:pStyle w:val="Compact"/>
              <w:jc w:val="left"/>
            </w:pPr>
            <w:r>
              <w:t xml:space="preserve">20</w:t>
            </w:r>
          </w:p>
        </w:tc>
        <w:tc>
          <w:tcPr/>
          <w:p>
            <w:pPr>
              <w:pStyle w:val="Compact"/>
              <w:jc w:val="left"/>
            </w:pPr>
            <w:r>
              <w:t xml:space="preserve">7/8 señales; sin penalización por euforia</w:t>
            </w:r>
          </w:p>
        </w:tc>
      </w:tr>
      <w:tr>
        <w:tc>
          <w:tcPr/>
          <w:p>
            <w:pPr>
              <w:pStyle w:val="Compact"/>
              <w:jc w:val="left"/>
            </w:pPr>
            <w:r>
              <w:t xml:space="preserve">D. Economía unitaria</w:t>
            </w:r>
          </w:p>
        </w:tc>
        <w:tc>
          <w:tcPr/>
          <w:p>
            <w:pPr>
              <w:pStyle w:val="Compact"/>
              <w:jc w:val="left"/>
            </w:pPr>
            <w:r>
              <w:t xml:space="preserve">15,0</w:t>
            </w:r>
          </w:p>
        </w:tc>
        <w:tc>
          <w:tcPr/>
          <w:p>
            <w:pPr>
              <w:pStyle w:val="Compact"/>
              <w:jc w:val="left"/>
            </w:pPr>
            <w:r>
              <w:t xml:space="preserve">15</w:t>
            </w:r>
          </w:p>
        </w:tc>
        <w:tc>
          <w:tcPr/>
          <w:p>
            <w:pPr>
              <w:pStyle w:val="Compact"/>
              <w:jc w:val="left"/>
            </w:pPr>
            <w:r>
              <w:t xml:space="preserve">Margen bruto 85 %, regla del 40 = 135, FCF creciente</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sin deuda, dilución ~1 %</w:t>
            </w:r>
          </w:p>
        </w:tc>
      </w:tr>
      <w:tr>
        <w:tc>
          <w:tcPr/>
          <w:p>
            <w:pPr>
              <w:pStyle w:val="Compact"/>
              <w:jc w:val="left"/>
            </w:pPr>
            <w:r>
              <w:t xml:space="preserve">F. Ejecución y dirección</w:t>
            </w:r>
          </w:p>
        </w:tc>
        <w:tc>
          <w:tcPr/>
          <w:p>
            <w:pPr>
              <w:pStyle w:val="Compact"/>
              <w:jc w:val="left"/>
            </w:pPr>
            <w:r>
              <w:t xml:space="preserve">9,0</w:t>
            </w:r>
          </w:p>
        </w:tc>
        <w:tc>
          <w:tcPr/>
          <w:p>
            <w:pPr>
              <w:pStyle w:val="Compact"/>
              <w:jc w:val="left"/>
            </w:pPr>
            <w:r>
              <w:t xml:space="preserve">10</w:t>
            </w:r>
          </w:p>
        </w:tc>
        <w:tc>
          <w:tcPr/>
          <w:p>
            <w:pPr>
              <w:pStyle w:val="Compact"/>
              <w:jc w:val="left"/>
            </w:pPr>
            <w:r>
              <w:t xml:space="preserve">Historial 5, dirección 4</w:t>
            </w:r>
          </w:p>
        </w:tc>
      </w:tr>
      <w:tr>
        <w:tc>
          <w:tcPr/>
          <w:p>
            <w:pPr>
              <w:pStyle w:val="Compact"/>
              <w:jc w:val="left"/>
            </w:pPr>
            <w:r>
              <w:rPr>
                <w:bCs/>
                <w:b/>
              </w:rPr>
              <w:t xml:space="preserve">Total</w:t>
            </w:r>
          </w:p>
        </w:tc>
        <w:tc>
          <w:tcPr/>
          <w:p>
            <w:pPr>
              <w:pStyle w:val="Compact"/>
              <w:jc w:val="left"/>
            </w:pPr>
            <w:r>
              <w:rPr>
                <w:bCs/>
                <w:b/>
              </w:rPr>
              <w:t xml:space="preserve">93,8</w:t>
            </w:r>
          </w:p>
        </w:tc>
        <w:tc>
          <w:tcPr/>
          <w:p>
            <w:pPr>
              <w:pStyle w:val="Compact"/>
              <w:jc w:val="left"/>
            </w:pPr>
            <w:r>
              <w:rPr>
                <w:bCs/>
                <w:b/>
              </w:rPr>
              <w:t xml:space="preserve">100</w:t>
            </w:r>
          </w:p>
        </w:tc>
        <w:tc>
          <w:tcPr/>
          <w:p>
            <w:pPr>
              <w:pStyle w:val="Compact"/>
              <w:jc w:val="left"/>
            </w:pPr>
            <w:r>
              <w:t xml:space="preserve">Señal Vender: ponderada ≤ −10 %</w:t>
            </w:r>
          </w:p>
        </w:tc>
      </w:tr>
    </w:tbl>
    <w:bookmarkEnd w:id="33"/>
    <w:bookmarkStart w:id="34" w:name="fuentes"/>
    <w:p>
      <w:pPr>
        <w:pStyle w:val="Heading2"/>
      </w:pPr>
      <w:r>
        <w:t xml:space="preserve">Fuentes</w:t>
      </w:r>
    </w:p>
    <w:p>
      <w:pPr>
        <w:numPr>
          <w:ilvl w:val="0"/>
          <w:numId w:val="1012"/>
        </w:numPr>
        <w:pStyle w:val="Compact"/>
      </w:pPr>
      <w:r>
        <w:t xml:space="preserve">[1] Palantir, nota de resultados 2T26 (8-K, 3-ago-2026) y Business Update 2T26, investors.palantir.com.</w:t>
      </w:r>
    </w:p>
    <w:p>
      <w:pPr>
        <w:numPr>
          <w:ilvl w:val="0"/>
          <w:numId w:val="1012"/>
        </w:numPr>
        <w:pStyle w:val="Compact"/>
      </w:pPr>
      <w:r>
        <w:t xml:space="preserve">[2] Palantir, 10-Q a 30-jun-2026 (SEC, margen bruto 85 %, coste de ventas 296,9 M); sec-api.io sobre el 10-Q (SBC 265,2 M; 2.568,7 M acciones diluidas).</w:t>
      </w:r>
    </w:p>
    <w:p>
      <w:pPr>
        <w:numPr>
          <w:ilvl w:val="0"/>
          <w:numId w:val="1012"/>
        </w:numPr>
        <w:pStyle w:val="Compact"/>
      </w:pPr>
      <w:r>
        <w:t xml:space="preserve">[3] Pulse 2.0, Invezz, TIKR y GuruFocus: resumen del 2T26 (TCV, RDV, regla del 40 = 155 %, clientes, NRR 157 %).</w:t>
      </w:r>
    </w:p>
    <w:p>
      <w:pPr>
        <w:numPr>
          <w:ilvl w:val="0"/>
          <w:numId w:val="1012"/>
        </w:numPr>
        <w:pStyle w:val="Compact"/>
      </w:pPr>
      <w:r>
        <w:t xml:space="preserve">[4] Palantir, resultados 1T26 (4-may-2026), 4T25 (2-feb-2026) y 3T25 (3-nov-2025); 10-Q del 1T26.</w:t>
      </w:r>
    </w:p>
    <w:p>
      <w:pPr>
        <w:numPr>
          <w:ilvl w:val="0"/>
          <w:numId w:val="1012"/>
        </w:numPr>
        <w:pStyle w:val="Compact"/>
      </w:pPr>
      <w:r>
        <w:t xml:space="preserve">[5] Yahoo Finance y Google Finance: cierre del 13-oct-2026 a 208,67 USD; CNBC: rango de 52 semanas 106,37-212,94; próxima publicación 2-nov-2026.</w:t>
      </w:r>
    </w:p>
    <w:p>
      <w:pPr>
        <w:numPr>
          <w:ilvl w:val="0"/>
          <w:numId w:val="1012"/>
        </w:numPr>
        <w:pStyle w:val="Compact"/>
      </w:pPr>
      <w:r>
        <w:t xml:space="preserve">[6] TIKR, 2-oct-2026: cierre del 1-oct a 190,04; −34,36 % en el 1S26; +60,32 % en el 3T26; consenso 2026 de 6,3 a 8,2 mil M.</w:t>
      </w:r>
    </w:p>
    <w:p>
      <w:pPr>
        <w:numPr>
          <w:ilvl w:val="0"/>
          <w:numId w:val="1012"/>
        </w:numPr>
        <w:pStyle w:val="Compact"/>
      </w:pPr>
      <w:r>
        <w:t xml:space="preserve">[7] TIKR, 10-oct-2026: cierre récord de 209,05 el 9-oct; Barclays 265 USD; precio objetivo medio 200,88.</w:t>
      </w:r>
    </w:p>
    <w:p>
      <w:pPr>
        <w:numPr>
          <w:ilvl w:val="0"/>
          <w:numId w:val="1012"/>
        </w:numPr>
        <w:pStyle w:val="Compact"/>
      </w:pPr>
      <w:r>
        <w:t xml:space="preserve">[8] Motley Fool / Mitrade, 9-jul-2026; 24/7 Wall St, abril de 2026 (post de Michael Burry).</w:t>
      </w:r>
    </w:p>
    <w:p>
      <w:pPr>
        <w:numPr>
          <w:ilvl w:val="0"/>
          <w:numId w:val="1012"/>
        </w:numPr>
        <w:pStyle w:val="Compact"/>
      </w:pPr>
      <w:r>
        <w:t xml:space="preserve">[9] Yonhap Infomax vía Stockhub, 8-oct-2026: Goldman Sachs a Comprar con 230 USD.</w:t>
      </w:r>
    </w:p>
    <w:p>
      <w:pPr>
        <w:numPr>
          <w:ilvl w:val="0"/>
          <w:numId w:val="1012"/>
        </w:numPr>
        <w:pStyle w:val="Compact"/>
      </w:pPr>
      <w:r>
        <w:t xml:space="preserve">[10] Seeking Alpha: artículos bajistas por valoración (2025-2026).</w:t>
      </w:r>
    </w:p>
    <w:p>
      <w:pPr>
        <w:numPr>
          <w:ilvl w:val="0"/>
          <w:numId w:val="1012"/>
        </w:numPr>
        <w:pStyle w:val="Compact"/>
      </w:pPr>
      <w:r>
        <w:t xml:space="preserve">[11] RankiaItalia (jul-2026); XTB España (4-ago-2026); StockTwits (sin dato fiable de octubre).</w:t>
      </w:r>
    </w:p>
    <w:p>
      <w:pPr>
        <w:numPr>
          <w:ilvl w:val="0"/>
          <w:numId w:val="1012"/>
        </w:numPr>
        <w:pStyle w:val="Compact"/>
      </w:pPr>
      <w:r>
        <w:t xml:space="preserve">[12] SEC, Form 4 de A. Karp (20-ago-2026); Gotrade (20-may-2026).</w:t>
      </w:r>
    </w:p>
    <w:p>
      <w:pPr>
        <w:numPr>
          <w:ilvl w:val="0"/>
          <w:numId w:val="1012"/>
        </w:numPr>
        <w:pStyle w:val="Compact"/>
      </w:pPr>
      <w:r>
        <w:t xml:space="preserve">[13] Prensa sectorial: memorando del Pentágono (ago-2026, hasta 244 M USD); contrato TITAN (Pluang, sin confirmar).</w:t>
      </w:r>
    </w:p>
    <w:p>
      <w:pPr>
        <w:numPr>
          <w:ilvl w:val="0"/>
          <w:numId w:val="1012"/>
        </w:numPr>
        <w:pStyle w:val="Compact"/>
      </w:pPr>
      <w:r>
        <w:t xml:space="preserve">[14] IDC (jul-2024): software de plataformas de IA, 153.000 M USD en 2028.</w:t>
      </w:r>
    </w:p>
    <w:p>
      <w:pPr>
        <w:numPr>
          <w:ilvl w:val="0"/>
          <w:numId w:val="1012"/>
        </w:numPr>
        <w:pStyle w:val="Compact"/>
      </w:pPr>
      <w:r>
        <w:t xml:space="preserve">[15] Capital.com con datos de LSEG (22-jul-2026): P/S adelantado 30,7x; media desde 2020 29,6x; mediana 22,8x.</w:t>
      </w:r>
    </w:p>
    <w:p>
      <w:pPr>
        <w:numPr>
          <w:ilvl w:val="0"/>
          <w:numId w:val="1012"/>
        </w:numPr>
        <w:pStyle w:val="Compact"/>
      </w:pPr>
      <w:r>
        <w:t xml:space="preserve">[16] Tickflow: consenso trimestral 2027 (~10.400 M) y 2028 (~15.800 M), fecha sin precisar.</w:t>
      </w:r>
    </w:p>
    <w:p>
      <w:pPr>
        <w:numPr>
          <w:ilvl w:val="0"/>
          <w:numId w:val="1012"/>
        </w:numPr>
        <w:pStyle w:val="Compact"/>
      </w:pPr>
      <w:r>
        <w:t xml:space="preserve">[17] Meritech Software Pulse (14-ago-2026) y Dealroom (11-sep-2026): múltiplos del software cotizado.</w:t>
      </w:r>
    </w:p>
    <w:p>
      <w:pPr>
        <w:pStyle w:val="FirstParagraph"/>
      </w:pPr>
      <w:r>
        <w:rPr>
          <w:iCs/>
          <w:i/>
        </w:rPr>
        <w:t xml:space="preserve">Notas de datos</w:t>
      </w:r>
      <w:r>
        <w:t xml:space="preserve">: la búsqueda web no permitió abrir las páginas primarias (SEC, Business Wire); las cifras del 8-K y el 10-Q se tomaron de los extractos de esas páginas en los buscadores. Las ventas trimestrales de 2023-2025 anteriores al 2T25 son las publicadas por la empresa en su día. El historial de múltiplos es una reconstrucción propia y la media de 200 sesiones, una estimación a partir de los cierres trimestrales.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2026-10-14T14:53:15Z</dcterms:created>
  <dcterms:modified xsi:type="dcterms:W3CDTF">2026-10-14T14:53:15Z</dcterms:modified>
</cp:coreProperties>
</file>

<file path=docProps/custom.xml><?xml version="1.0" encoding="utf-8"?>
<Properties xmlns="http://schemas.openxmlformats.org/officeDocument/2006/custom-properties" xmlns:vt="http://schemas.openxmlformats.org/officeDocument/2006/docPropsVTypes"/>
</file>