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ca5af514b50ae5e1b7f85d563a8bc44361f4e1"/>
    <w:p>
      <w:pPr>
        <w:pStyle w:val="Heading1"/>
      </w:pPr>
      <w:r>
        <w:t xml:space="preserve">Affirm Holdings (AFRM): análisis growth, 15-oct-2026</w:t>
      </w:r>
    </w:p>
    <w:p>
      <w:pPr>
        <w:pStyle w:val="FirstParagraph"/>
      </w:pPr>
      <w:r>
        <w:rPr>
          <w:bCs/>
          <w:b/>
        </w:rPr>
        <w:t xml:space="preserve">Señal: Comprar (convicción baja)</w:t>
      </w:r>
      <w:r>
        <w:t xml:space="preserve"> </w:t>
      </w:r>
      <w:r>
        <w:t xml:space="preserve">· Puntuación 74,5/100 · Señales de cambio de tendencia 5/8</w:t>
      </w:r>
      <w:r>
        <w:t xml:space="preserve"> </w:t>
      </w:r>
      <w:r>
        <w:t xml:space="preserve">Precio 70,51 USD (cierre del 14-oct) · Objetivo 12 m 77,2 USD (ponderada +9,5 %, base +12,5 %, bajista −40,7 %, alcista +53,8 %) · Compra hasta 73,5 USD</w:t>
      </w:r>
      <w:r>
        <w:t xml:space="preserve"> </w:t>
      </w:r>
      <w:r>
        <w:t xml:space="preserve">Método v11 (vigente). Con v9 al lado: Comprar (baja), ponderada +17,5 %, base +20,6 %, bajista −40,7 %, compra hasta 78,9 USD.</w:t>
      </w:r>
      <w:r>
        <w:t xml:space="preserve"> </w:t>
      </w:r>
      <w:r>
        <w:t xml:space="preserve">Al precio de ahora (69,88 USD, última operación del 14-oct a las 23:53 UTC) y con el objetivo fijo: +10,5 %.</w:t>
      </w:r>
      <w:r>
        <w:t xml:space="preserve"> </w:t>
      </w:r>
      <w:r>
        <w:t xml:space="preserve">Peso orientativo: 3,5 % por la regla, pero</w:t>
      </w:r>
      <w:r>
        <w:t xml:space="preserve"> </w:t>
      </w:r>
      <w:r>
        <w:rPr>
          <w:bCs/>
          <w:b/>
        </w:rPr>
        <w:t xml:space="preserve">no entra</w:t>
      </w:r>
      <w:r>
        <w:t xml:space="preserve">: el bolsillo growth está lleno y no rinde más que la más floja de las cinco (Snowflake). Queda de suplente, en el puesto 10.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Affirm presta a plazos en el momento de pagar (en internet, en tienda con su tarjeta y dentro de Amazon, Shopify y Apple Pay) y cobra al comercio y al cliente. Las ventas crecen un 32 % y el volumen un 37 %, once trimestres seguidos por encima del 30 %.</w:t>
      </w:r>
    </w:p>
    <w:p>
      <w:pPr>
        <w:numPr>
          <w:ilvl w:val="0"/>
          <w:numId w:val="1001"/>
        </w:numPr>
        <w:pStyle w:val="Compact"/>
      </w:pPr>
      <w:r>
        <w:t xml:space="preserve">2026 es el primer ejercicio entero con beneficio operativo contable (417 M USD) y deja 993 M de caja libre. La guía de 2027 pide más margen todavía.</w:t>
      </w:r>
    </w:p>
    <w:p>
      <w:pPr>
        <w:numPr>
          <w:ilvl w:val="0"/>
          <w:numId w:val="1001"/>
        </w:numPr>
        <w:pStyle w:val="Compact"/>
      </w:pPr>
      <w:r>
        <w:t xml:space="preserve">Cotiza a 4,3 veces las ventas de los 12 meses siguientes, justo su mediana de 3 años, y a 8,7 veces lo que deja la venta tras los costes de cada préstamo. Para crecer al 29 % no es caro.</w:t>
      </w:r>
    </w:p>
    <w:p>
      <w:pPr>
        <w:numPr>
          <w:ilvl w:val="0"/>
          <w:numId w:val="1001"/>
        </w:numPr>
        <w:pStyle w:val="Compact"/>
      </w:pPr>
      <w:r>
        <w:t xml:space="preserve">El riesgo es de prestamista: si suben los tipos o empeoran los impagos, el margen se estrecha y la bolsa castiga más que el negocio. El 14-oct cayó un 9,5 % en un día por un dato de inflación.</w:t>
      </w:r>
    </w:p>
    <w:p>
      <w:pPr>
        <w:numPr>
          <w:ilvl w:val="0"/>
          <w:numId w:val="1001"/>
        </w:numPr>
        <w:pStyle w:val="Compact"/>
      </w:pPr>
      <w:r>
        <w:t xml:space="preserve">El cálculo da Comprar justo: rentabilidad ponderada del 9,5 % con un bajista del −41 %. Es buena empresa a un precio razonable, pero no mejor que lo que ya está en la cartera.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vende:</w:t>
      </w:r>
      <w:r>
        <w:t xml:space="preserve"> </w:t>
      </w:r>
      <w:r>
        <w:t xml:space="preserve">préstamos a plazos en el momento de la compra: con interés (72 % del volumen del 4T), al 0 % mensual pagado por el comercio (13 %) y «paga en 4» sin interés (15 %) [1]. Cobra una comisión al comercio, intereses al cliente, la ganancia al vender préstamos a inversores y la comisión por gestionarlos. Nunca cobra recargos por retraso.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quién:</w:t>
      </w:r>
      <w:r>
        <w:t xml:space="preserve"> </w:t>
      </w:r>
      <w:r>
        <w:t xml:space="preserve">27,8 M de consumidores activos (+21 %) que usan Affirm 7 veces al año, y 571.000 comercios (+51 %)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</w:p>
    <w:p>
      <w:pPr>
        <w:numPr>
          <w:ilvl w:val="1"/>
          <w:numId w:val="1003"/>
        </w:numPr>
        <w:pStyle w:val="Compact"/>
      </w:pPr>
      <w:r>
        <w:t xml:space="preserve">Concede cada préstamo con un modelo propio, compra a compra, con 15 años de datos.</w:t>
      </w:r>
    </w:p>
    <w:p>
      <w:pPr>
        <w:numPr>
          <w:ilvl w:val="1"/>
          <w:numId w:val="1003"/>
        </w:numPr>
        <w:pStyle w:val="Compact"/>
      </w:pPr>
      <w:r>
        <w:t xml:space="preserve">La tarjeta Affirm lleva el pago a plazos a la tienda física: 2.800 M de volumen en el 4T (+124 %) y 5,2 M de titulares [1].</w:t>
      </w:r>
    </w:p>
    <w:p>
      <w:pPr>
        <w:numPr>
          <w:ilvl w:val="1"/>
          <w:numId w:val="1003"/>
        </w:numPr>
        <w:pStyle w:val="Compact"/>
      </w:pPr>
      <w:r>
        <w:t xml:space="preserve">Affirm Edge vende ese mismo motor a bancos que emiten tarjetas de débito. Las primeras pruebas empiezan entre enero y junio de 2027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Financiación:</w:t>
      </w:r>
      <w:r>
        <w:t xml:space="preserve"> </w:t>
      </w:r>
      <w:r>
        <w:t xml:space="preserve">coloca los préstamos en titulizaciones, en líneas de almacén y en ventas a inversores (CPP Investments, entre otros). Tiene 30.000 M de capacidad, suficiente para más de 70.000 M de volumen al año [1]. En enero de 2026 pidió una licencia bancaria propia (Affirm Bank, en Nevada) [3].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(ejercicio a junio)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 sobre la guía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 (abr-jun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 (jul-sep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+9,1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 (oct-dic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(ene-mar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+6,9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(abr-jun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+8,1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Ejercicio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4.261,1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+32,2 %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Ejercicio 2025 /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3.224,4 / 2.323,0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+38,8 % / +46,3 %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Fuentes: [1][2][3].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Aceleración:</w:t>
      </w:r>
      <w:r>
        <w:t xml:space="preserve"> </w:t>
      </w:r>
      <w:r>
        <w:t xml:space="preserve">el último trimestre crece 0,8 puntos más que la media de los cuatro anteriores.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Crecimiento propio a 2 años:</w:t>
      </w:r>
      <w:r>
        <w:t xml:space="preserve"> </w:t>
      </w:r>
      <w:r>
        <w:t xml:space="preserve">35,4 % al año.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Guía para el ejercicio 2027:</w:t>
      </w:r>
      <w:r>
        <w:t xml:space="preserve"> </w:t>
      </w:r>
      <w:r>
        <w:t xml:space="preserve">más de 64.000 M de volumen y ventas del 8,49 % del volumen, unos 5.434 M (+27,5 %). Es un suelo, no un punto medio. La guía del 1T27 es de 1.190-1.220 M (+29 %).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Historial frente a la guía:</w:t>
      </w:r>
      <w:r>
        <w:t xml:space="preserve"> </w:t>
      </w:r>
      <w:r>
        <w:t xml:space="preserve">en los últimos cuatro trimestres batió el punto medio por 8,3 puntos de media. La guía anual de 2026 empezó en +20 % y el año acabó en +32 % [2][6].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Retención:</w:t>
      </w:r>
      <w:r>
        <w:t xml:space="preserve"> </w:t>
      </w:r>
      <w:r>
        <w:t xml:space="preserve">no publica una retención neta de ventas. Sí dice que el gasto de los comercios que ya estaban crece un 20 % de media al año (120 % en tres años) [1].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unos 120.000 M USD de ingresos en 2028. Sale de aplicar el ~8 % de Affirm a unos 1,5 billones de compras en internet y en tienda que se pueden pagar a plazos en EE. UU., Canadá y Reino Unido. Es una estimación propia [15]. Affirm vende hoy el 3,6 % de esa cifra.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Rivales:</w:t>
      </w:r>
    </w:p>
    <w:p>
      <w:pPr>
        <w:numPr>
          <w:ilvl w:val="1"/>
          <w:numId w:val="1006"/>
        </w:numPr>
        <w:pStyle w:val="Compact"/>
      </w:pPr>
      <w:r>
        <w:t xml:space="preserve">Klarna, la mayor de pagar a plazos fuera de EE. UU., que cotiza a 1,2 veces sus ventas.</w:t>
      </w:r>
    </w:p>
    <w:p>
      <w:pPr>
        <w:numPr>
          <w:ilvl w:val="1"/>
          <w:numId w:val="1006"/>
        </w:numPr>
        <w:pStyle w:val="Compact"/>
      </w:pPr>
      <w:r>
        <w:t xml:space="preserve">PayPal con su «Pay in 4» (1,4 veces).</w:t>
      </w:r>
    </w:p>
    <w:p>
      <w:pPr>
        <w:numPr>
          <w:ilvl w:val="1"/>
          <w:numId w:val="1006"/>
        </w:numPr>
        <w:pStyle w:val="Compact"/>
      </w:pPr>
      <w:r>
        <w:t xml:space="preserve">Afterpay, de Block.</w:t>
      </w:r>
    </w:p>
    <w:p>
      <w:pPr>
        <w:numPr>
          <w:ilvl w:val="1"/>
          <w:numId w:val="1006"/>
        </w:numPr>
        <w:pStyle w:val="Compact"/>
      </w:pPr>
      <w:r>
        <w:t xml:space="preserve">Las tarjetas de crédito de los bancos.</w:t>
      </w:r>
    </w:p>
    <w:p>
      <w:pPr>
        <w:numPr>
          <w:ilvl w:val="1"/>
          <w:numId w:val="1006"/>
        </w:numPr>
        <w:pStyle w:val="Compact"/>
      </w:pPr>
      <w:r>
        <w:t xml:space="preserve">Los bancos digitales, como SoFi (3,4 veces) [13].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es el primero de EE. UU. en compras de importe medio y alto (dato de memoria). Además tiene integraciones exclusivas o preferentes con Amazon (22 % del volumen), Shopify (Shop Pay Installments) y Apple Pay, y su coste de financiación es el más bajo de su historia (5,8 %) [1][3].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Concentración:</w:t>
      </w:r>
      <w:r>
        <w:t xml:space="preserve"> </w:t>
      </w:r>
      <w:r>
        <w:t xml:space="preserve">Amazon es el 22 % del volumen y los cinco mayores socios el 44 %. Este peso baja cada año [3]. Un comercio grande se llevó su volumen a su propia cartera digital durante 2026; la guía da ese efecto por terminado en el 1T27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Tecnología 3 de 5:</w:t>
      </w:r>
      <w:r>
        <w:t xml:space="preserve"> </w:t>
      </w:r>
      <w:r>
        <w:t xml:space="preserve">el modelo de riesgo y los datos son buenos, pero el producto se puede copiar y Klarna o PayPal lo ofrecen igual.</w:t>
      </w:r>
      <w:r>
        <w:t xml:space="preserve"> </w:t>
      </w:r>
      <w:r>
        <w:rPr>
          <w:bCs/>
          <w:b/>
        </w:rPr>
        <w:t xml:space="preserve">Posición 4 de 5:</w:t>
      </w:r>
      <w:r>
        <w:t xml:space="preserve"> </w:t>
      </w:r>
      <w:r>
        <w:t xml:space="preserve">es líder en EE. UU. y gana cuota, pero no domina en el resto del mundo.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(mixta)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el 4T la guía del 1T27 quedó por encima del consenso (1.205 M frente a unos 1.160 M). En octubre bajan los precios objetivo por los tipos: Goldman de 115 a 103 USD y TD Cowen de 124 a 110. No hay una serie de estimaciones [4][5]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 y la media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(justo)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70,51 frente a 66,81. La media sube poco: 66,24 hace 60 sesiones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+26,3 % frente a +16,0 % del Nasdaq-100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El múltiplo sube ≥ 20 % desde su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2,6 veces las ventas (27-mar) a 4,3 hoy (+64 %); sigue en su mediana de 3 años 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ejercicio con beneficio operativo contable (417 M frente a −87 M). Margen del 4T del 12,6 % frente al 6,6 % 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 del 9,5 % el 14-oct, recortes de precio objetivo y posiciones cortas al alza (6,3 % del capital flotante) [5][9][10]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de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hay ventas y ejercicios de opciones de los directivos (Formularios 4 y 144) 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el 5-nov, Affirm Edge con bancos, Amazon en el Reino Unido, acuerdo con Antom (Ant) y licencia bancaria [1][3][9]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En 12 meses la acción baja un 3,3 % y en 6 meses sube un 26 %. El múltiplo está en su mediana: no hay euforia que vigilar.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Margen bruto:</w:t>
      </w:r>
      <w:r>
        <w:t xml:space="preserve"> </w:t>
      </w:r>
      <w:r>
        <w:t xml:space="preserve">48,9 %. Es lo que queda de las ventas tras los costes directos de cada préstamo (financiación, impagos, procesado y la pérdida al comprometerse a comprar préstamos). Supone el 4,16 % del volumen, por encima del 3,75-4 % que se marca la empresa a medio plazo [1][3].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Caja libre (FCF):</w:t>
      </w:r>
      <w:r>
        <w:t xml:space="preserve"> </w:t>
      </w:r>
      <w:r>
        <w:t xml:space="preserve">993 M, el 23,3 % de las ventas (602 M un año antes). Es el flujo de las operaciones menos las inversiones en activos y software. No cuenta el dinero que se presta, que se financia con deuda respaldada por los préstamos.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Regla del 40:</w:t>
      </w:r>
      <w:r>
        <w:t xml:space="preserve"> </w:t>
      </w:r>
      <w:r>
        <w:t xml:space="preserve">55,5 (32,2 de crecimiento más 23,3 de margen de caja libre).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Apalancamiento operativo:</w:t>
      </w:r>
    </w:p>
    <w:p>
      <w:pPr>
        <w:numPr>
          <w:ilvl w:val="1"/>
          <w:numId w:val="1008"/>
        </w:numPr>
        <w:pStyle w:val="Compact"/>
      </w:pPr>
      <w:r>
        <w:t xml:space="preserve">Margen operativo contable del 9,8 % en el ejercicio 2026 y del 12,6 % en el 4T.</w:t>
      </w:r>
    </w:p>
    <w:p>
      <w:pPr>
        <w:numPr>
          <w:ilvl w:val="1"/>
          <w:numId w:val="1008"/>
        </w:numPr>
        <w:pStyle w:val="Compact"/>
      </w:pPr>
      <w:r>
        <w:t xml:space="preserve">La guía de 2027 pide más del 14,5 % contable y más del 30,5 % ajustado.</w:t>
      </w:r>
    </w:p>
    <w:p>
      <w:pPr>
        <w:numPr>
          <w:ilvl w:val="1"/>
          <w:numId w:val="1008"/>
        </w:numPr>
        <w:pStyle w:val="Compact"/>
      </w:pPr>
      <w:r>
        <w:t xml:space="preserve">Los gastos de tecnología crecen menos que el volumen y la plantilla se queda en unas 2.360 personas [1][3].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Calidad del crédito:</w:t>
      </w:r>
    </w:p>
    <w:p>
      <w:pPr>
        <w:numPr>
          <w:ilvl w:val="1"/>
          <w:numId w:val="1009"/>
        </w:numPr>
        <w:pStyle w:val="Compact"/>
      </w:pPr>
      <w:r>
        <w:t xml:space="preserve">Morosidad a más de 30 días del 2,5 % (+0,19 puntos en un año).</w:t>
      </w:r>
    </w:p>
    <w:p>
      <w:pPr>
        <w:numPr>
          <w:ilvl w:val="1"/>
          <w:numId w:val="1009"/>
        </w:numPr>
        <w:pStyle w:val="Compact"/>
      </w:pPr>
      <w:r>
        <w:t xml:space="preserve">Las cosechas de préstamos mensuales van hacia una pérdida final del 3,5 % del volumen, la de siempre, y las de «paga en 4», por debajo del 1 %.</w:t>
      </w:r>
    </w:p>
    <w:p>
      <w:pPr>
        <w:numPr>
          <w:ilvl w:val="1"/>
          <w:numId w:val="1009"/>
        </w:numPr>
        <w:pStyle w:val="Compact"/>
      </w:pPr>
      <w:r>
        <w:t xml:space="preserve">La provisión para impagos es el 5,9 % de los préstamos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Caja y valores:</w:t>
      </w:r>
      <w:r>
        <w:t xml:space="preserve"> </w:t>
      </w:r>
      <w:r>
        <w:t xml:space="preserve">2.635 M frente a 1.130 M de convertibles: caja neta de unos 1.500 M [1][3]. Los convertibles de 2026 (221 M) vencen en noviembre y hay autorización para recomprar hasta 176 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Deuda de financiación:</w:t>
      </w:r>
      <w:r>
        <w:t xml:space="preserve"> </w:t>
      </w:r>
      <w:r>
        <w:t xml:space="preserve">unos 8.700 M de titulizaciones y líneas de almacén. No se cuenta en el valor de empresa porque la respaldan los préstamos del balance (9.000 M netos). Si se contara, el valor de empresa sería de 32.100 M y el EV / beneficio bruto pasaría de 8,7 a 12 veces, todavía muy por debajo del tope de 35 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Pista:</w:t>
      </w:r>
      <w:r>
        <w:t xml:space="preserve"> </w:t>
      </w:r>
      <w:r>
        <w:t xml:space="preserve">no aplica, porque genera caja libre. El riesgo de caja es de otro tipo: que se cierre el mercado de titulizaciones, como en 2022.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Dilución:</w:t>
      </w:r>
      <w:r>
        <w:t xml:space="preserve"> </w:t>
      </w:r>
      <w:r>
        <w:t xml:space="preserve">+2,3 % en acciones diluidas medias en un año. La guía de 2027 implica un +2,1 %.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Pagos en acciones:</w:t>
      </w:r>
      <w:r>
        <w:t xml:space="preserve"> </w:t>
      </w:r>
      <w:r>
        <w:t xml:space="preserve">7,2 % de las ventas. Si se suman los warrants dados a Amazon y Shopify, el 11,7 %. No llega al rojo del 15 %.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Max Levchin</w:t>
      </w:r>
      <w:r>
        <w:t xml:space="preserve">, cofundador de PayPal, fundó Affirm, es su consejero delegado y presidente, y controla el voto con las acciones de clase B, que tienen 15 votos cada una [3].</w:t>
      </w:r>
    </w:p>
    <w:p>
      <w:pPr>
        <w:numPr>
          <w:ilvl w:val="0"/>
          <w:numId w:val="1011"/>
        </w:numPr>
        <w:pStyle w:val="Compact"/>
      </w:pPr>
      <w:r>
        <w:t xml:space="preserve">En agosto Michael Linford, antes director financiero y después de operaciones, pasó a presidente junto a Libor Michalek. Levchin dedica más tiempo a nuevos productos [1].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Historial 5 de 5:</w:t>
      </w:r>
      <w:r>
        <w:t xml:space="preserve"> </w:t>
      </w:r>
      <w:r>
        <w:t xml:space="preserve">ha batido su guía de ventas todos los trimestres que se han mirado y la guía anual de 2026 se subió cuatro veces [2].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Dirección 4 de 5:</w:t>
      </w:r>
      <w:r>
        <w:t xml:space="preserve"> </w:t>
      </w:r>
      <w:r>
        <w:t xml:space="preserve">gasto controlado desde 2023, recompra de convertibles y caja neta creciente. Resta que los directivos vendan con regularidad y que el voto doble blinde a Levchin.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Métrica: EV / ventas de los 12 meses siguientes.</w:t>
      </w:r>
      <w:r>
        <w:t xml:space="preserve"> </w:t>
      </w:r>
      <w:r>
        <w:t xml:space="preserve">Affirm ya gana dinero, pero solo desde hace un ejercicio, su margen sube unos 6 puntos al año y no tiene historia propia de EV/EBITDA. Valorarla hoy por beneficio fijaría un margen todavía bajo. Contraste por beneficio: con la guía de 2027, el valor de empresa es 14 veces el beneficio operativo ajustado y 29 veces el contable.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del ejercicio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Múltiplo 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41,8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108,4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Ventas:</w:t>
      </w:r>
      <w:r>
        <w:t xml:space="preserve"> </w:t>
      </w:r>
      <w:r>
        <w:t xml:space="preserve">la regla mecánica daría 7.360 M en el base. Manda la menor entre la regla y la del analista. El base y el alcista del analista siguen el</w:t>
      </w:r>
      <w:r>
        <w:t xml:space="preserve"> </w:t>
      </w:r>
      <w:r>
        <w:rPr>
          <w:bCs/>
          <w:b/>
        </w:rPr>
        <w:t xml:space="preserve">consenso</w:t>
      </w:r>
      <w:r>
        <w:t xml:space="preserve"> </w:t>
      </w:r>
      <w:r>
        <w:t xml:space="preserve">del ejercicio 2028 (6.840 M, +24,6 % tras +28,9 % en 2027) [4]. El bajista de la regla (5.706 M) es más duro que el del analista (6.100 M) y es el que cuenta.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Múltiplo:</w:t>
      </w:r>
      <w:r>
        <w:t xml:space="preserve"> </w:t>
      </w:r>
      <w:r>
        <w:t xml:space="preserve">el de hoy (4,3) rebajado un 8 % por la desaceleración da 4,0 en el base; el bajista es 0,6 veces el base. Los comparables cotizan mucho más baratos (mediana de 1,4 veces), pero crecen menos.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Objetivo ponderado:</w:t>
      </w:r>
      <w:r>
        <w:t xml:space="preserve"> </w:t>
      </w:r>
      <w:r>
        <w:t xml:space="preserve">77,2 USD, un +9,5 %. La asimetría es de 1,3 (lo que se gana en el alcista frente a lo que se pierde en el bajista).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precio objetivo medio de 98,59 USD, de 34 analistas (+40 %) [4]. Nuestro objetivo es bastante más prudente.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precio descuenta un crecimiento de ventas del 11,4 % al año durante 10 años, con un margen de caja libre maduro del 20 % [14]. Es la tercera parte del crecimiento actual.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Compra hasta 73,5 USD</w:t>
      </w:r>
      <w:r>
        <w:t xml:space="preserve">, el precio al que la ponderada baja al 5 %. Con v9 el límite era de 78,9 USD.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(15-oct, 30 mensajes): 5 alcistas, 3 bajistas y el resto sin etiqueta. Hay miedo al consumidor («some real fear about consumer»), quien la ve cara y quien compra en la caída por debajo de 70 [10].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Prensa:</w:t>
      </w:r>
    </w:p>
    <w:p>
      <w:pPr>
        <w:numPr>
          <w:ilvl w:val="1"/>
          <w:numId w:val="1014"/>
        </w:numPr>
        <w:pStyle w:val="Compact"/>
      </w:pPr>
      <w:r>
        <w:t xml:space="preserve">El 14-oct se atribuye la caída al dato de inflación: Affirm se financia en el mercado y le pesa más la subida de tipos que a Klarna o PayPal [5].</w:t>
      </w:r>
    </w:p>
    <w:p>
      <w:pPr>
        <w:numPr>
          <w:ilvl w:val="1"/>
          <w:numId w:val="1014"/>
        </w:numPr>
        <w:pStyle w:val="Compact"/>
      </w:pPr>
      <w:r>
        <w:t xml:space="preserve">En agosto los resultados se recibieron con un +9 % y mejoras de recomendación (Wolfe, a Comprar) [6].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Posiciones cortas:</w:t>
      </w:r>
      <w:r>
        <w:t xml:space="preserve"> </w:t>
      </w:r>
      <w:r>
        <w:t xml:space="preserve">17,9 M de acciones (6,3 % del capital flotante), al alza [9].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Reddit:</w:t>
      </w:r>
      <w:r>
        <w:t xml:space="preserve"> </w:t>
      </w:r>
      <w:r>
        <w:t xml:space="preserve">bloqueado desde aquí.</w:t>
      </w:r>
      <w:r>
        <w:t xml:space="preserve"> </w:t>
      </w:r>
      <w:r>
        <w:rPr>
          <w:bCs/>
          <w:b/>
        </w:rPr>
        <w:t xml:space="preserve">Rankia e Investing.com ES:</w:t>
      </w:r>
      <w:r>
        <w:t xml:space="preserve"> </w:t>
      </w:r>
      <w:r>
        <w:t xml:space="preserve">sin hilos recientes. Las dos quedan como laguna.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negocio no da señales de empeorar: impagos estables y financiación más barata. El sentimiento depende sobre todo de los tipos y del miedo a un frenazo del consumo. Es el patrón de siempre en Affirm, que cae más que el negocio cuando cambia la percepción.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herramientas/robustez-growth.mjs --precios</w:t>
      </w:r>
      <w:r>
        <w:t xml:space="preserve">).</w:t>
      </w:r>
      <w:r>
        <w:t xml:space="preserve"> </w:t>
      </w:r>
      <w:r>
        <w:rPr>
          <w:bCs/>
          <w:b/>
        </w:rPr>
        <w:t xml:space="preserve">Veredicto: SÓLIDA, Comprar.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calc.alertas</w:t>
      </w:r>
      <w:r>
        <w:t xml:space="preserve"> </w:t>
      </w:r>
      <w:r>
        <w:t xml:space="preserve">está vacío: ninguna alerta de v11.</w:t>
      </w:r>
      <w:r>
        <w:t xml:space="preserve"> </w:t>
      </w:r>
      <w:r>
        <w:t xml:space="preserve">- La regla mecánica no supera en más de 1,2 veces ni al analista ni al consenso (7.360 frente a 6.840 M).</w:t>
      </w:r>
      <w:r>
        <w:t xml:space="preserve"> </w:t>
      </w:r>
      <w:r>
        <w:t xml:space="preserve">- El múltiplo está en su mediana de 3 años, no en el doble.</w:t>
      </w:r>
      <w:r>
        <w:t xml:space="preserve"> </w:t>
      </w:r>
      <w:r>
        <w:t xml:space="preserve">- Hay guía anual, el exceso sobre la guía es de 8,3 puntos (por debajo de 10) y los pagos en acciones son el 7,2 %.</w:t>
      </w:r>
      <w:r>
        <w:t xml:space="preserve"> </w:t>
      </w:r>
      <w:r>
        <w:t xml:space="preserve">- Avisos de la prueba: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G2:</w:t>
      </w:r>
      <w:r>
        <w:t xml:space="preserve"> </w:t>
      </w:r>
      <w:r>
        <w:t xml:space="preserve">el objetivo se mueve con el precio (elasticidad 0,95). Por eso, al revisar el precio se deja fijo el objetivo de 77,2 USD y el límite es 73,5.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G6:</w:t>
      </w:r>
      <w:r>
        <w:t xml:space="preserve"> </w:t>
      </w:r>
      <w:r>
        <w:t xml:space="preserve">bajista del −41 %, así que posición pequeña y en dos tramos.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G9:</w:t>
      </w:r>
      <w:r>
        <w:t xml:space="preserve"> </w:t>
      </w:r>
      <w:r>
        <w:t xml:space="preserve">la convicción es baja (3,5 %).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 que más debilita la señal:</w:t>
      </w:r>
      <w:r>
        <w:t xml:space="preserve"> </w:t>
      </w:r>
      <w:r>
        <w:t xml:space="preserve">con probabilidades 35/50/15 (más peso al bajista) la ponderada cae al 0 % y saldría Mantener. Para un prestamista al consumo, ese reparto es defendible si se espera una recesión. La regla solo lo exige con un producto de más del 70 % de las ventas o con una decisión regulatoria abierta, y aquí no hay ninguna de las dos. Con v9 (sin el tope del consenso) daría +17,5 %. La señal es robusta, pero el margen sobre el listón es pequeño.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Puntuación:</w:t>
      </w:r>
      <w:r>
        <w:t xml:space="preserve"> </w:t>
      </w:r>
      <w:r>
        <w:t xml:space="preserve">74,5 puntos, a medio punto de la convicción media (75).</w:t>
      </w:r>
    </w:p>
    <w:p>
      <w:pPr>
        <w:pStyle w:val="BodyText"/>
      </w:pPr>
      <w:r>
        <w:rPr>
          <w:bCs/>
          <w:b/>
        </w:rPr>
        <w:t xml:space="preserve">Riesgos: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Crédito:</w:t>
      </w:r>
      <w:r>
        <w:t xml:space="preserve"> </w:t>
      </w:r>
      <w:r>
        <w:t xml:space="preserve">en una recesión los impagos subirían. Affirm se queda con parte de los préstamos (9.000 M en balance) y con el riesgo de los que vende con garantía.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Financiación y tipos:</w:t>
      </w:r>
      <w:r>
        <w:t xml:space="preserve"> </w:t>
      </w:r>
      <w:r>
        <w:t xml:space="preserve">es su mayor coste. Si los tipos a largo suben o se cierra el mercado de titulizaciones, el margen se estrecha (en 2022 la acción cayó cerca de un 90 %, dato de memoria).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Concentración:</w:t>
      </w:r>
      <w:r>
        <w:t xml:space="preserve"> </w:t>
      </w:r>
      <w:r>
        <w:t xml:space="preserve">Amazon es el 22 % del volumen y Shopify y Apple Pay son socios clave. Perder uno de ellos rompería la tesis. Ya pasó con un comercio grande que se llevó su volumen a su propia cartera digital.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Regulación:</w:t>
      </w:r>
      <w:r>
        <w:t xml:space="preserve"> </w:t>
      </w:r>
      <w:r>
        <w:t xml:space="preserve">leyes de Nueva York e Illinois para los préstamos a plazos, posibles reglas federales (la CFPB retiró la suya en 2025, dato de memoria) y el modelo de banco socio (Celtic y Lead), que podría cuestionarse en los tribunales [3][12].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Competencia:</w:t>
      </w:r>
      <w:r>
        <w:t xml:space="preserve"> </w:t>
      </w:r>
      <w:r>
        <w:t xml:space="preserve">Klarna, PayPal, Apple y los bancos con sus propios planes a plazos. Las comisiones a los comercios bajan con la mezcla (las ventas sobre volumen pasan del 8,46 % al 8,29 %).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Riesgo de IA: bajo y en parte a favor.</w:t>
      </w:r>
      <w:r>
        <w:t xml:space="preserve"> </w:t>
      </w:r>
      <w:r>
        <w:t xml:space="preserve">La IA no sustituye un préstamo, y Affirm la usa para abaratar el desarrollo (−30 % de coste por función entregada, según la carta [1]). El riesgo es indirecto: que los agentes de compra de IA (OpenAI, Google) elijan el medio de pago y favorezcan a otro. Affirm se ha sumado a los protocolos de pagos por agentes (dato de memoria). Se vigila.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Contabilidad:</w:t>
      </w:r>
      <w:r>
        <w:t xml:space="preserve"> </w:t>
      </w:r>
      <w:r>
        <w:t xml:space="preserve">el beneficio neto de 2026 (1.930 M) lleva 1.440 M de un ingreso fiscal que no se repite. Por eso aquí no se valora por PER.</w:t>
      </w:r>
    </w:p>
    <w:p>
      <w:pPr>
        <w:pStyle w:val="BodyTex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- Dos trimestres seguidos con las ventas por debajo del 20 %.</w:t>
      </w:r>
      <w:r>
        <w:t xml:space="preserve"> </w:t>
      </w:r>
      <w:r>
        <w:t xml:space="preserve">- Morosidad a más de 30 días por encima del 3,5 %, o cosechas de préstamos mensuales camino de más del 4,5 % de pérdida.</w:t>
      </w:r>
      <w:r>
        <w:t xml:space="preserve"> </w:t>
      </w:r>
      <w:r>
        <w:t xml:space="preserve">- Pérdida de Amazon o de Shopify.</w:t>
      </w:r>
      <w:r>
        <w:t xml:space="preserve"> </w:t>
      </w:r>
      <w:r>
        <w:t xml:space="preserve">- Coste de financiación otra vez por encima del 7 %.</w:t>
      </w:r>
      <w:r>
        <w:t xml:space="preserve"> </w:t>
      </w:r>
      <w:r>
        <w:t xml:space="preserve">- Guía de RLTC por debajo del 3,75 % del volumen.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5-nov-2026:</w:t>
      </w:r>
      <w:r>
        <w:t xml:space="preserve"> </w:t>
      </w:r>
      <w:r>
        <w:t xml:space="preserve">resultados del 1T27. Guía: 1.190-1.220 M de ventas.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Noviembre de 2026:</w:t>
      </w:r>
      <w:r>
        <w:t xml:space="preserve"> </w:t>
      </w:r>
      <w:r>
        <w:t xml:space="preserve">vencen los convertibles de 2026 (221 M), que se pagan con caja.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Enero a junio de 2027:</w:t>
      </w:r>
      <w:r>
        <w:t xml:space="preserve"> </w:t>
      </w:r>
      <w:r>
        <w:t xml:space="preserve">primeras tarjetas de débito de bancos con Affirm Edge. Se sabrá también el resultado de la licencia de Affirm Bank (fecha incierta).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Datos de inflación y reuniones de la Reserva Federal:</w:t>
      </w:r>
      <w:r>
        <w:t xml:space="preserve"> </w:t>
      </w:r>
      <w:r>
        <w:t xml:space="preserve">son los que mueven la acción a corto plazo.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Filtro previo, con los datos completos:</w:t>
      </w:r>
      <w:r>
        <w:t xml:space="preserve"> </w:t>
      </w:r>
      <w:r>
        <w:t xml:space="preserve">las cuatro pruebas se confirman.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(crecimiento ≥ 15 %):</w:t>
      </w:r>
      <w:r>
        <w:t xml:space="preserve"> </w:t>
      </w:r>
      <w:r>
        <w:t xml:space="preserve">32,2 %, sin compras de empresas. El filtro estimó un 30 %.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 (EV/EBITDA frente a su mediana):</w:t>
      </w:r>
      <w:r>
        <w:t xml:space="preserve"> </w:t>
      </w:r>
      <w:r>
        <w:t xml:space="preserve">no aplica. No es una empresa rentable estable y se valora por ventas; aun así, su múltiplo de ventas está en su mediana.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 (mayor cliente ≤ 40 %):</w:t>
      </w:r>
      <w:r>
        <w:t xml:space="preserve"> </w:t>
      </w:r>
      <w:r>
        <w:t xml:space="preserve">Amazon es el 22 % del volumen. El 10-K no da el peso del segundo, así que el dato de los dos mayores queda abierto.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 (≤ 0,8):</w:t>
      </w:r>
      <w:r>
        <w:t xml:space="preserve"> </w:t>
      </w:r>
      <w:r>
        <w:t xml:space="preserve">11,4 % ÷ 32,2 % = 0,35. Mejor que el 0,45 del filtro.</w:t>
      </w:r>
    </w:p>
    <w:p>
      <w:pPr>
        <w:pStyle w:val="BodyText"/>
      </w:pPr>
      <w:r>
        <w:rPr>
          <w:bCs/>
          <w:b/>
        </w:rPr>
        <w:t xml:space="preserve">Frente al bolsillo growth (lleno, ~20 %):</w:t>
      </w:r>
      <w:r>
        <w:t xml:space="preserve"> </w:t>
      </w:r>
      <w:r>
        <w:t xml:space="preserve">al precio de ahora y con v11, Nu rinde +22 %, Axon +35 %, Shopify +19 %, Snowflake +16 % y Samsara +17 %. No hay liquidez libre: solo cabe sustituir a una.</w:t>
      </w:r>
      <w:r>
        <w:t xml:space="preserve"> </w:t>
      </w:r>
      <w:r>
        <w:t xml:space="preserve">- La más floja es</w:t>
      </w:r>
      <w:r>
        <w:t xml:space="preserve"> </w:t>
      </w:r>
      <w:r>
        <w:rPr>
          <w:bCs/>
          <w:b/>
        </w:rPr>
        <w:t xml:space="preserve">Snowflake</w:t>
      </w:r>
      <w:r>
        <w:t xml:space="preserve"> </w:t>
      </w:r>
      <w:r>
        <w:t xml:space="preserve">(+16 %, convicción media). Affirm da +10,5 % al precio de ahora con convicción baja: rinde menos y con menos convicción.</w:t>
      </w:r>
      <w:r>
        <w:t xml:space="preserve"> </w:t>
      </w:r>
      <w:r>
        <w:rPr>
          <w:bCs/>
          <w:b/>
        </w:rPr>
        <w:t xml:space="preserve">No sustituye a ninguna.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Solapa con Nu:</w:t>
      </w:r>
      <w:r>
        <w:t xml:space="preserve"> </w:t>
      </w:r>
      <w:r>
        <w:t xml:space="preserve">las dos son crédito al consumo y sufren a la vez si se frena el consumo o suben los tipos. Con las dos, el bolsillo growth tendría alrededor de un 8 % en prestamistas.</w:t>
      </w:r>
      <w:r>
        <w:t xml:space="preserve"> </w:t>
      </w:r>
      <w:r>
        <w:t xml:space="preserve">- Affirm sí añadiría algo que la cartera no tiene: pagos y comercio electrónico en EE. UU. Pero Shopify ya cubre parte de esa idea, y Affirm es socio de Shopify.</w:t>
      </w:r>
      <w:r>
        <w:t xml:space="preserve"> </w:t>
      </w:r>
      <w:r>
        <w:t xml:space="preserve">- Alphabet se vende mañana y no cambia nada aquí.</w:t>
      </w:r>
    </w:p>
    <w:p>
      <w:pPr>
        <w:pStyle w:val="BodyText"/>
      </w:pPr>
      <w:r>
        <w:rPr>
          <w:bCs/>
          <w:b/>
        </w:rPr>
        <w:t xml:space="preserve">Puesto en suplentes:</w:t>
      </w:r>
      <w:r>
        <w:t xml:space="preserve"> </w:t>
      </w:r>
      <w:r>
        <w:rPr>
          <w:bCs/>
          <w:b/>
        </w:rPr>
        <w:t xml:space="preserve">10.º</w:t>
      </w:r>
      <w:r>
        <w:t xml:space="preserve">, detrás de Reddit (+12 %, baja) y delante de Saab (+6 %). Por rentabilidad podría ir algo más arriba, pero baja puestos por tres motivos:</w:t>
      </w:r>
      <w:r>
        <w:t xml:space="preserve"> </w:t>
      </w:r>
      <w:r>
        <w:t xml:space="preserve">- el bajista del −41 %;</w:t>
      </w:r>
      <w:r>
        <w:t xml:space="preserve"> </w:t>
      </w:r>
      <w:r>
        <w:t xml:space="preserve">- la señal frágil con 35/50/15;</w:t>
      </w:r>
      <w:r>
        <w:t xml:space="preserve"> </w:t>
      </w:r>
      <w:r>
        <w:t xml:space="preserve">- el solapamiento con Nu.</w:t>
      </w:r>
    </w:p>
    <w:p>
      <w:pPr>
        <w:pStyle w:val="BodyText"/>
      </w:pPr>
      <w:r>
        <w:rPr>
          <w:bCs/>
          <w:b/>
        </w:rPr>
        <w:t xml:space="preserve">Orden de suplentes:</w:t>
      </w:r>
      <w:r>
        <w:t xml:space="preserve"> </w:t>
      </w:r>
      <w:r>
        <w:t xml:space="preserve">MongoDB, Toast, Zscaler, Rubrik, dLocal, Dexcom, argenx, Datadog, Reddit,</w:t>
      </w:r>
      <w:r>
        <w:t xml:space="preserve"> </w:t>
      </w:r>
      <w:r>
        <w:rPr>
          <w:bCs/>
          <w:b/>
        </w:rPr>
        <w:t xml:space="preserve">Affirm</w:t>
      </w:r>
      <w:r>
        <w:t xml:space="preserve">, Saab, Natera, Ypsomed.</w:t>
      </w:r>
    </w:p>
    <w:p>
      <w:pPr>
        <w:pStyle w:val="BodyText"/>
      </w:pPr>
      <w:r>
        <w:rPr>
          <w:bCs/>
          <w:b/>
        </w:rPr>
        <w:t xml:space="preserve">Cuándo compraría:</w:t>
      </w:r>
      <w:r>
        <w:t xml:space="preserve"> </w:t>
      </w:r>
      <w:r>
        <w:t xml:space="preserve">si una de las cinco sale por tesis, en dos tramos (mitad ya y mitad tras los resultados del 5-nov) y por debajo de 73,5 USD. Subiría puestos si los resultados del 5-nov confirman más del 30 % de crecimiento del volumen con la morosidad estable.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 (5 de 8 señales)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Versiones candidatas</w:t>
      </w:r>
      <w:r>
        <w:t xml:space="preserve"> </w:t>
      </w:r>
      <w:r>
        <w:t xml:space="preserve">(no vigentes):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v12:</w:t>
      </w:r>
      <w:r>
        <w:t xml:space="preserve"> </w:t>
      </w:r>
      <w:r>
        <w:t xml:space="preserve">igual que v11 (+9,5 %, Comprar baja). No hay compras de empresas que muevan el crecimiento, así que no hace falta el dato orgánico.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v14:</w:t>
      </w:r>
      <w:r>
        <w:t xml:space="preserve"> </w:t>
      </w:r>
      <w:r>
        <w:t xml:space="preserve">+9,7 %, base +12,7 %, Comprar baja, compra hasta 73,7 USD. Solo cambia la dilución prevista (2,1 %). No se marca ningún producto de más del 70 % ni una decisión regulatoria abierta.</w:t>
      </w:r>
    </w:p>
    <w:p>
      <w:pPr>
        <w:pStyle w:val="BodyText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en los prestamistas (Affirm, Nu, Upstart), el reparto de probabilidades debería tener en cuenta el ciclo de crédito. Por ejemplo, 35/50/15 cuando más de la mitad del coste directo son impagos y financiación y el bajista pasa del −35 %, igual que la mejora 1 de v14 lo hace con los productos únicos. Con esa regla, Affirm pasaría a Mantener. Habría que probarla en el backtest antes de aplicarla.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Affirm, carta a los accionistas del 4T26 (27-ago-2026), 8-K ex. 99.1, SEC.</w:t>
      </w:r>
      <w:r>
        <w:t xml:space="preserve"> </w:t>
      </w:r>
      <w:r>
        <w:t xml:space="preserve">[2] Affirm, cartas a los accionistas del 4T25, 1T26, 2T26 y 3T26 (8-K ex. 99.1, SEC): guías trimestrales y anuales.</w:t>
      </w:r>
      <w:r>
        <w:t xml:space="preserve"> </w:t>
      </w:r>
      <w:r>
        <w:t xml:space="preserve">[3] Affirm, 10-K del ejercicio 2026 (27-ago-2026) y SEC XBRL companyfacts (CIK 1820953).</w:t>
      </w:r>
      <w:r>
        <w:t xml:space="preserve"> </w:t>
      </w:r>
      <w:r>
        <w:t xml:space="preserve">[4] StockAnalysis.com (S&amp;P Global), previsiones y precios objetivo de AFRM, 14-oct-2026.</w:t>
      </w:r>
      <w:r>
        <w:t xml:space="preserve"> </w:t>
      </w:r>
      <w:r>
        <w:t xml:space="preserve">[5] 24/7 Wall St., Invezz y Defense World, 14-oct-2026.</w:t>
      </w:r>
      <w:r>
        <w:t xml:space="preserve"> </w:t>
      </w:r>
      <w:r>
        <w:t xml:space="preserve">[6] Benzinga y TipRanks (28-ago-2025), Stocktwits News e Invezz (27-28-ago-2026).</w:t>
      </w:r>
      <w:r>
        <w:t xml:space="preserve"> </w:t>
      </w:r>
      <w:r>
        <w:t xml:space="preserve">[7] Yahoo Finance chart API, AFRM y QQQ, diario a 5 años; cierre del 14-oct-2026 y última operación fuera de hora.</w:t>
      </w:r>
      <w:r>
        <w:t xml:space="preserve"> </w:t>
      </w:r>
      <w:r>
        <w:t xml:space="preserve">[8] Cálculo propio del valor de empresa y del EV/ventas histórico.</w:t>
      </w:r>
      <w:r>
        <w:t xml:space="preserve"> </w:t>
      </w:r>
      <w:r>
        <w:t xml:space="preserve">[9] StockAnalysis.com, estadísticas de AFRM (cierre, posiciones cortas, valor de empresa con deuda de financiación); 24/7 Wall St. (5 y 14-oct-2026).</w:t>
      </w:r>
      <w:r>
        <w:t xml:space="preserve"> </w:t>
      </w:r>
      <w:r>
        <w:t xml:space="preserve">[10] StockTwits, API pública, 15-oct-2026.</w:t>
      </w:r>
      <w:r>
        <w:t xml:space="preserve"> </w:t>
      </w:r>
      <w:r>
        <w:t xml:space="preserve">[11] SEC, índice de presentaciones de Affirm (Formularios 4 y 144, jul-oct 2026).</w:t>
      </w:r>
      <w:r>
        <w:t xml:space="preserve"> </w:t>
      </w:r>
      <w:r>
        <w:t xml:space="preserve">[12] NBC News, American Banker y PaymentExpert (ene-2026), sobre el tope a los intereses de tarjetas.</w:t>
      </w:r>
      <w:r>
        <w:t xml:space="preserve"> </w:t>
      </w:r>
      <w:r>
        <w:t xml:space="preserve">[13] StockAnalysis.com, comparables (Klarna, PayPal, Upstart y SoFi), 14-oct-2026.</w:t>
      </w:r>
      <w:r>
        <w:t xml:space="preserve"> </w:t>
      </w:r>
      <w:r>
        <w:t xml:space="preserve">[14] Cálculo propio del DCF inverso.</w:t>
      </w:r>
      <w:r>
        <w:t xml:space="preserve"> </w:t>
      </w:r>
      <w:r>
        <w:t xml:space="preserve">[15] Estimación propia del mercado alcanzable y datos de memoria marcados en el texto.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2026-10-15T08:31:13Z</dcterms:created>
  <dcterms:modified xsi:type="dcterms:W3CDTF">2026-10-15T08:31:13Z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