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X572f7a0692754df89ac7113d0b06d0f4a845296"/>
    <w:p>
      <w:pPr>
        <w:pStyle w:val="Heading1"/>
      </w:pPr>
      <w:r>
        <w:t xml:space="preserve">Benefit Systems (BFT, Varsovia): análisis growth, 15-oct-2026</w:t>
      </w:r>
    </w:p>
    <w:p>
      <w:pPr>
        <w:pStyle w:val="FirstParagraph"/>
      </w:pPr>
      <w:r>
        <w:rPr>
          <w:bCs/>
          <w:b/>
        </w:rPr>
        <w:t xml:space="preserve">Señal (método vigente v11): Comprar (convicción baja)</w:t>
      </w:r>
      <w:r>
        <w:t xml:space="preserve"> </w:t>
      </w:r>
      <w:r>
        <w:t xml:space="preserve">· Puntuación 72/100 · Señales de cambio de tendencia 6/8 · EV/beneficio bruto 9,5 veces</w:t>
      </w:r>
      <w:r>
        <w:t xml:space="preserve"> </w:t>
      </w:r>
      <w:r>
        <w:t xml:space="preserve">Precio 5.450 PLN (cierre del 14-oct) · Objetivo 12 m 5.721,5 PLN · Ponderada +6,8 % · Base +10,6 % · Bajista −47,7 % · Alcista +53,7 % · Compra hasta 5.544,1 PLN</w:t>
      </w:r>
      <w:r>
        <w:t xml:space="preserve"> </w:t>
      </w:r>
      <w:r>
        <w:t xml:space="preserve">Con la v9 (referencia): Comprar (baja), ponderada +35,4 %, base +39,6 %, bajista −43,7 %, compra hasta 7.055,6 PLN</w:t>
      </w:r>
      <w:r>
        <w:t xml:space="preserve"> </w:t>
      </w:r>
      <w:r>
        <w:t xml:space="preserve">Precio actual: 5.570 PLN (15-oct a las 07:38 UTC, sesión en curso); con el objetivo fijo, ponderada +4,5 %, ya por encima del «compra hasta»: a este precio, Mantener.</w:t>
      </w:r>
      <w:r>
        <w:t xml:space="preserve"> </w:t>
      </w:r>
      <w:r>
        <w:t xml:space="preserve">Peso orientativo: 3,5 % por la regla, pero</w:t>
      </w:r>
      <w:r>
        <w:t xml:space="preserve"> </w:t>
      </w:r>
      <w:r>
        <w:rPr>
          <w:bCs/>
          <w:b/>
        </w:rPr>
        <w:t xml:space="preserve">hoy no entra</w:t>
      </w:r>
      <w:r>
        <w:t xml:space="preserve">: el bolsillo growth está lleno y no supera a ninguna de las cinco (sección 13). Queda como</w:t>
      </w:r>
      <w:r>
        <w:t xml:space="preserve"> </w:t>
      </w:r>
      <w:r>
        <w:rPr>
          <w:bCs/>
          <w:b/>
        </w:rPr>
        <w:t xml:space="preserve">duodécima suplente</w:t>
      </w:r>
      <w:r>
        <w:t xml:space="preserve">.</w:t>
      </w:r>
      <w:r>
        <w:t xml:space="preserve"> </w:t>
      </w:r>
      <w:r>
        <w:t xml:space="preserve">Prueba de robustez:</w:t>
      </w:r>
      <w:r>
        <w:t xml:space="preserve"> </w:t>
      </w:r>
      <w:r>
        <w:rPr>
          <w:bCs/>
          <w:b/>
        </w:rPr>
        <w:t xml:space="preserve">SÓLIDA</w:t>
      </w:r>
      <w:r>
        <w:t xml:space="preserve"> </w:t>
      </w:r>
      <w:r>
        <w:t xml:space="preserve">al cierre, Comprar en tramos y con posición pequeña; al precio de hoy, Mantener.</w:t>
      </w:r>
      <w:r>
        <w:t xml:space="preserve"> </w:t>
      </w:r>
      <w:r>
        <w:t xml:space="preserve">Filtro previo: se confirman tres de las cuatro pruebas; la B (múltiplo frente a su historia) no se confirma con mis datos (sección 9).</w:t>
      </w:r>
    </w:p>
    <w:bookmarkStart w:id="20" w:name="la-tesis-en-cinco-líneas"/>
    <w:p>
      <w:pPr>
        <w:pStyle w:val="Heading2"/>
      </w:pPr>
      <w:r>
        <w:t xml:space="preserve">1. La tesis en cinco líneas</w:t>
      </w:r>
    </w:p>
    <w:p>
      <w:pPr>
        <w:numPr>
          <w:ilvl w:val="0"/>
          <w:numId w:val="1001"/>
        </w:numPr>
        <w:pStyle w:val="Compact"/>
      </w:pPr>
      <w:r>
        <w:t xml:space="preserve">Benefit Systems vende la tarjeta deportiva MultiSport, que las empresas regalan a sus empleados para ir a miles de gimnasios, y tiene la mayor red de clubes propios de Polonia. Factura 5.320 M PLN en 12 meses y gana dinero de forma estable.</w:t>
      </w:r>
    </w:p>
    <w:p>
      <w:pPr>
        <w:numPr>
          <w:ilvl w:val="0"/>
          <w:numId w:val="1001"/>
        </w:numPr>
        <w:pStyle w:val="Compact"/>
      </w:pPr>
      <w:r>
        <w:t xml:space="preserve">Crece rápido sin contar compras: un 25 % en los dos últimos trimestres sin la cadena turca MAC. Con MAC, comprada en mayo de 2025, las ventas de 12 meses suben un 40 %.</w:t>
      </w:r>
    </w:p>
    <w:p>
      <w:pPr>
        <w:numPr>
          <w:ilvl w:val="0"/>
          <w:numId w:val="1001"/>
        </w:numPr>
        <w:pStyle w:val="Compact"/>
      </w:pPr>
      <w:r>
        <w:t xml:space="preserve">El crecimiento viene de fuera de Polonia: el resto de la UE crece un 30 % y Turquía casi dobla tarjetas. Polonia, el 57 % de las ventas, crece un 18 %.</w:t>
      </w:r>
    </w:p>
    <w:p>
      <w:pPr>
        <w:numPr>
          <w:ilvl w:val="0"/>
          <w:numId w:val="1001"/>
        </w:numPr>
        <w:pStyle w:val="Compact"/>
      </w:pPr>
      <w:r>
        <w:t xml:space="preserve">La acción ha subido un 69 % en un año. Cotiza a 10,4 veces el EBITDA de los 12 meses siguientes, por encima de su mediana de tres años (8,3 veces).</w:t>
      </w:r>
    </w:p>
    <w:p>
      <w:pPr>
        <w:numPr>
          <w:ilvl w:val="0"/>
          <w:numId w:val="1001"/>
        </w:numPr>
        <w:pStyle w:val="Compact"/>
      </w:pPr>
      <w:r>
        <w:t xml:space="preserve">La regla da Comprar por poco: +6,8 % de ponderada, con convicción baja. Al precio de esta mañana ya no llega. Queda de suplente, sin desplazar a ninguna.</w:t>
      </w:r>
    </w:p>
    <w:bookmarkEnd w:id="20"/>
    <w:bookmarkStart w:id="21" w:name="negocio-y-tecnología"/>
    <w:p>
      <w:pPr>
        <w:pStyle w:val="Heading2"/>
      </w:pPr>
      <w:r>
        <w:t xml:space="preserve">2. Negocio y tecnología</w:t>
      </w:r>
    </w:p>
    <w:p>
      <w:pPr>
        <w:numPr>
          <w:ilvl w:val="0"/>
          <w:numId w:val="1002"/>
        </w:numPr>
        <w:pStyle w:val="Compact"/>
      </w:pPr>
      <w:r>
        <w:rPr>
          <w:bCs/>
          <w:b/>
        </w:rPr>
        <w:t xml:space="preserve">Tarjetas MultiSport</w:t>
      </w:r>
      <w:r>
        <w:t xml:space="preserve"> </w:t>
      </w:r>
      <w:r>
        <w:t xml:space="preserve">(~70 % de las ventas): la empresa paga una cuota mensual por empleado y este entra en miles de gimnasios y piscinas de Polonia, Chequia, Eslovaquia, Bulgaria, Croacia y Turquía. Benefit cobra a la empresa y paga a cada club por visita. Hay 2,75 millones de tarjetas activas al cierre del 3T26 [1][8].</w:t>
      </w:r>
    </w:p>
    <w:p>
      <w:pPr>
        <w:numPr>
          <w:ilvl w:val="0"/>
          <w:numId w:val="1002"/>
        </w:numPr>
        <w:pStyle w:val="Compact"/>
      </w:pPr>
      <w:r>
        <w:rPr>
          <w:bCs/>
          <w:b/>
        </w:rPr>
        <w:t xml:space="preserve">Clubes propios</w:t>
      </w:r>
      <w:r>
        <w:t xml:space="preserve"> </w:t>
      </w:r>
      <w:r>
        <w:t xml:space="preserve">(Zdrofit, Fabryka Formy, MAC y otras; 595 clubes): cobran abonos a particulares y reciben las visitas de las tarjetas. Así Benefit se queda también con el margen del gimnasio [1].</w:t>
      </w:r>
    </w:p>
    <w:p>
      <w:pPr>
        <w:numPr>
          <w:ilvl w:val="0"/>
          <w:numId w:val="1002"/>
        </w:numPr>
        <w:pStyle w:val="Compact"/>
      </w:pPr>
      <w:r>
        <w:rPr>
          <w:bCs/>
          <w:b/>
        </w:rPr>
        <w:t xml:space="preserve">Lo nuevo</w:t>
      </w:r>
      <w:r>
        <w:t xml:space="preserve">: la compra de MAC (líder del fitness en Turquía, 163 clubes) y el lanzamiento de la tarjeta en Turquía, que ya deja margen bruto positivo [1].</w:t>
      </w:r>
    </w:p>
    <w:p>
      <w:pPr>
        <w:numPr>
          <w:ilvl w:val="0"/>
          <w:numId w:val="1002"/>
        </w:numPr>
        <w:pStyle w:val="Compact"/>
      </w:pPr>
      <w:r>
        <w:rPr>
          <w:bCs/>
          <w:b/>
        </w:rPr>
        <w:t xml:space="preserve">Tecnología 3/5</w:t>
      </w:r>
      <w:r>
        <w:t xml:space="preserve">: no es tecnología difícil de copiar. La ventaja es la red: miles de clubes adheridos y decenas de miles de empresas clientes, que se refuerzan entre sí.</w:t>
      </w:r>
      <w:r>
        <w:t xml:space="preserve"> </w:t>
      </w:r>
      <w:r>
        <w:rPr>
          <w:bCs/>
          <w:b/>
        </w:rPr>
        <w:t xml:space="preserve">Posición 5/5</w:t>
      </w:r>
      <w:r>
        <w:t xml:space="preserve">: líder claro en Polonia y en varios de sus mercados, con cuota creciente.</w:t>
      </w:r>
    </w:p>
    <w:bookmarkEnd w:id="21"/>
    <w:bookmarkStart w:id="22" w:name="crecimiento"/>
    <w:p>
      <w:pPr>
        <w:pStyle w:val="Heading2"/>
      </w:pPr>
      <w:r>
        <w:t xml:space="preserve">3. Crecimiento</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Trimestre</w:t>
            </w:r>
          </w:p>
        </w:tc>
        <w:tc>
          <w:tcPr/>
          <w:p>
            <w:pPr>
              <w:pStyle w:val="Compact"/>
              <w:jc w:val="left"/>
            </w:pPr>
            <w:r>
              <w:t xml:space="preserve">Ventas (M PLN)</w:t>
            </w:r>
          </w:p>
        </w:tc>
        <w:tc>
          <w:tcPr/>
          <w:p>
            <w:pPr>
              <w:pStyle w:val="Compact"/>
              <w:jc w:val="left"/>
            </w:pPr>
            <w:r>
              <w:t xml:space="preserve">Crecimiento interanual</w:t>
            </w:r>
          </w:p>
        </w:tc>
      </w:tr>
      <w:tr>
        <w:tc>
          <w:tcPr/>
          <w:p>
            <w:pPr>
              <w:pStyle w:val="Compact"/>
              <w:jc w:val="left"/>
            </w:pPr>
            <w:r>
              <w:t xml:space="preserve">2T25</w:t>
            </w:r>
          </w:p>
        </w:tc>
        <w:tc>
          <w:tcPr/>
          <w:p>
            <w:pPr>
              <w:pStyle w:val="Compact"/>
              <w:jc w:val="left"/>
            </w:pPr>
            <w:r>
              <w:t xml:space="preserve">1.094,0</w:t>
            </w:r>
          </w:p>
        </w:tc>
        <w:tc>
          <w:tcPr/>
          <w:p>
            <w:pPr>
              <w:pStyle w:val="Compact"/>
              <w:jc w:val="left"/>
            </w:pPr>
            <w:r>
              <w:t xml:space="preserve">29,5 %</w:t>
            </w:r>
          </w:p>
        </w:tc>
      </w:tr>
      <w:tr>
        <w:tc>
          <w:tcPr/>
          <w:p>
            <w:pPr>
              <w:pStyle w:val="Compact"/>
              <w:jc w:val="left"/>
            </w:pPr>
            <w:r>
              <w:t xml:space="preserve">3T25</w:t>
            </w:r>
          </w:p>
        </w:tc>
        <w:tc>
          <w:tcPr/>
          <w:p>
            <w:pPr>
              <w:pStyle w:val="Compact"/>
              <w:jc w:val="left"/>
            </w:pPr>
            <w:r>
              <w:t xml:space="preserve">1.184,2</w:t>
            </w:r>
          </w:p>
        </w:tc>
        <w:tc>
          <w:tcPr/>
          <w:p>
            <w:pPr>
              <w:pStyle w:val="Compact"/>
              <w:jc w:val="left"/>
            </w:pPr>
            <w:r>
              <w:t xml:space="preserve">41,7 %</w:t>
            </w:r>
          </w:p>
        </w:tc>
      </w:tr>
      <w:tr>
        <w:tc>
          <w:tcPr/>
          <w:p>
            <w:pPr>
              <w:pStyle w:val="Compact"/>
              <w:jc w:val="left"/>
            </w:pPr>
            <w:r>
              <w:t xml:space="preserve">4T25</w:t>
            </w:r>
          </w:p>
        </w:tc>
        <w:tc>
          <w:tcPr/>
          <w:p>
            <w:pPr>
              <w:pStyle w:val="Compact"/>
              <w:jc w:val="left"/>
            </w:pPr>
            <w:r>
              <w:t xml:space="preserve">1.292,5</w:t>
            </w:r>
          </w:p>
        </w:tc>
        <w:tc>
          <w:tcPr/>
          <w:p>
            <w:pPr>
              <w:pStyle w:val="Compact"/>
              <w:jc w:val="left"/>
            </w:pPr>
            <w:r>
              <w:t xml:space="preserve">41,2 %</w:t>
            </w:r>
          </w:p>
        </w:tc>
      </w:tr>
      <w:tr>
        <w:tc>
          <w:tcPr/>
          <w:p>
            <w:pPr>
              <w:pStyle w:val="Compact"/>
              <w:jc w:val="left"/>
            </w:pPr>
            <w:r>
              <w:t xml:space="preserve">1T26</w:t>
            </w:r>
          </w:p>
        </w:tc>
        <w:tc>
          <w:tcPr/>
          <w:p>
            <w:pPr>
              <w:pStyle w:val="Compact"/>
              <w:jc w:val="left"/>
            </w:pPr>
            <w:r>
              <w:t xml:space="preserve">1.383,9</w:t>
            </w:r>
          </w:p>
        </w:tc>
        <w:tc>
          <w:tcPr/>
          <w:p>
            <w:pPr>
              <w:pStyle w:val="Compact"/>
              <w:jc w:val="left"/>
            </w:pPr>
            <w:r>
              <w:t xml:space="preserve">45,4 %</w:t>
            </w:r>
          </w:p>
        </w:tc>
      </w:tr>
      <w:tr>
        <w:tc>
          <w:tcPr/>
          <w:p>
            <w:pPr>
              <w:pStyle w:val="Compact"/>
              <w:jc w:val="left"/>
            </w:pPr>
            <w:r>
              <w:t xml:space="preserve">2T26</w:t>
            </w:r>
          </w:p>
        </w:tc>
        <w:tc>
          <w:tcPr/>
          <w:p>
            <w:pPr>
              <w:pStyle w:val="Compact"/>
              <w:jc w:val="left"/>
            </w:pPr>
            <w:r>
              <w:t xml:space="preserve">1.459,7</w:t>
            </w:r>
          </w:p>
        </w:tc>
        <w:tc>
          <w:tcPr/>
          <w:p>
            <w:pPr>
              <w:pStyle w:val="Compact"/>
              <w:jc w:val="left"/>
            </w:pPr>
            <w:r>
              <w:t xml:space="preserve">33,4 %</w:t>
            </w:r>
          </w:p>
        </w:tc>
      </w:tr>
    </w:tbl>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Año</w:t>
            </w:r>
          </w:p>
        </w:tc>
        <w:tc>
          <w:tcPr/>
          <w:p>
            <w:pPr>
              <w:pStyle w:val="Compact"/>
              <w:jc w:val="left"/>
            </w:pPr>
            <w:r>
              <w:t xml:space="preserve">Ventas (M PLN)</w:t>
            </w:r>
          </w:p>
        </w:tc>
        <w:tc>
          <w:tcPr/>
          <w:p>
            <w:pPr>
              <w:pStyle w:val="Compact"/>
              <w:jc w:val="left"/>
            </w:pPr>
            <w:r>
              <w:t xml:space="preserve">Crecimiento</w:t>
            </w:r>
          </w:p>
        </w:tc>
      </w:tr>
      <w:tr>
        <w:tc>
          <w:tcPr/>
          <w:p>
            <w:pPr>
              <w:pStyle w:val="Compact"/>
              <w:jc w:val="left"/>
            </w:pPr>
            <w:r>
              <w:t xml:space="preserve">2023</w:t>
            </w:r>
          </w:p>
        </w:tc>
        <w:tc>
          <w:tcPr/>
          <w:p>
            <w:pPr>
              <w:pStyle w:val="Compact"/>
              <w:jc w:val="left"/>
            </w:pPr>
            <w:r>
              <w:t xml:space="preserve">2.774</w:t>
            </w:r>
          </w:p>
        </w:tc>
        <w:tc>
          <w:tcPr/>
          <w:p>
            <w:pPr>
              <w:pStyle w:val="Compact"/>
              <w:jc w:val="left"/>
            </w:pPr>
            <w:r>
              <w:t xml:space="preserve">—</w:t>
            </w:r>
          </w:p>
        </w:tc>
      </w:tr>
      <w:tr>
        <w:tc>
          <w:tcPr/>
          <w:p>
            <w:pPr>
              <w:pStyle w:val="Compact"/>
              <w:jc w:val="left"/>
            </w:pPr>
            <w:r>
              <w:t xml:space="preserve">2024</w:t>
            </w:r>
          </w:p>
        </w:tc>
        <w:tc>
          <w:tcPr/>
          <w:p>
            <w:pPr>
              <w:pStyle w:val="Compact"/>
              <w:jc w:val="left"/>
            </w:pPr>
            <w:r>
              <w:t xml:space="preserve">3.397</w:t>
            </w:r>
          </w:p>
        </w:tc>
        <w:tc>
          <w:tcPr/>
          <w:p>
            <w:pPr>
              <w:pStyle w:val="Compact"/>
              <w:jc w:val="left"/>
            </w:pPr>
            <w:r>
              <w:t xml:space="preserve">22 %</w:t>
            </w:r>
          </w:p>
        </w:tc>
      </w:tr>
      <w:tr>
        <w:tc>
          <w:tcPr/>
          <w:p>
            <w:pPr>
              <w:pStyle w:val="Compact"/>
              <w:jc w:val="left"/>
            </w:pPr>
            <w:r>
              <w:t xml:space="preserve">2025</w:t>
            </w:r>
          </w:p>
        </w:tc>
        <w:tc>
          <w:tcPr/>
          <w:p>
            <w:pPr>
              <w:pStyle w:val="Compact"/>
              <w:jc w:val="left"/>
            </w:pPr>
            <w:r>
              <w:t xml:space="preserve">4.523</w:t>
            </w:r>
          </w:p>
        </w:tc>
        <w:tc>
          <w:tcPr/>
          <w:p>
            <w:pPr>
              <w:pStyle w:val="Compact"/>
              <w:jc w:val="left"/>
            </w:pPr>
            <w:r>
              <w:t xml:space="preserve">33 %</w:t>
            </w:r>
          </w:p>
        </w:tc>
      </w:tr>
      <w:tr>
        <w:tc>
          <w:tcPr/>
          <w:p>
            <w:pPr>
              <w:pStyle w:val="Compact"/>
              <w:jc w:val="left"/>
            </w:pPr>
            <w:r>
              <w:t xml:space="preserve">2026, consenso</w:t>
            </w:r>
          </w:p>
        </w:tc>
        <w:tc>
          <w:tcPr/>
          <w:p>
            <w:pPr>
              <w:pStyle w:val="Compact"/>
              <w:jc w:val="left"/>
            </w:pPr>
            <w:r>
              <w:t xml:space="preserve">5.865</w:t>
            </w:r>
          </w:p>
        </w:tc>
        <w:tc>
          <w:tcPr/>
          <w:p>
            <w:pPr>
              <w:pStyle w:val="Compact"/>
              <w:jc w:val="left"/>
            </w:pPr>
            <w:r>
              <w:t xml:space="preserve">30 %</w:t>
            </w:r>
          </w:p>
        </w:tc>
      </w:tr>
    </w:tbl>
    <w:p>
      <w:pPr>
        <w:pStyle w:val="BodyText"/>
      </w:pPr>
      <w:r>
        <w:t xml:space="preserve">Fuentes: [1][2][4]. Desde el 7-may-2025 incluye MAC.</w:t>
      </w:r>
    </w:p>
    <w:p>
      <w:pPr>
        <w:numPr>
          <w:ilvl w:val="0"/>
          <w:numId w:val="1003"/>
        </w:numPr>
        <w:pStyle w:val="Compact"/>
      </w:pPr>
      <w:r>
        <w:rPr>
          <w:bCs/>
          <w:b/>
        </w:rPr>
        <w:t xml:space="preserve">12 meses</w:t>
      </w:r>
      <w:r>
        <w:t xml:space="preserve">: +40,1 %.</w:t>
      </w:r>
      <w:r>
        <w:t xml:space="preserve"> </w:t>
      </w:r>
      <w:r>
        <w:rPr>
          <w:bCs/>
          <w:b/>
        </w:rPr>
        <w:t xml:space="preserve">CAGR a 2 años</w:t>
      </w:r>
      <w:r>
        <w:t xml:space="preserve">: +31,1 %.</w:t>
      </w:r>
      <w:r>
        <w:t xml:space="preserve"> </w:t>
      </w:r>
      <w:r>
        <w:rPr>
          <w:bCs/>
          <w:b/>
        </w:rPr>
        <w:t xml:space="preserve">Aceleración</w:t>
      </w:r>
      <w:r>
        <w:t xml:space="preserve">: −6,1 puntos (33,4 % frente a una media del 39,4 % en los cuatro trimestres anteriores). Frena porque MAC ya está en la base.</w:t>
      </w:r>
    </w:p>
    <w:p>
      <w:pPr>
        <w:numPr>
          <w:ilvl w:val="0"/>
          <w:numId w:val="1003"/>
        </w:numPr>
        <w:pStyle w:val="Compact"/>
      </w:pPr>
      <w:r>
        <w:rPr>
          <w:bCs/>
          <w:b/>
        </w:rPr>
        <w:t xml:space="preserve">Orgánico</w:t>
      </w:r>
      <w:r>
        <w:t xml:space="preserve">: +24 % en el 2T26 sin MAC, según la empresa (+25 % en el 1T26). Con MAC en los dos años, +26 %. Para los 12 meses siguientes, ya sin efecto de la compra, espero un +20 %, en línea con el consenso [1][4].</w:t>
      </w:r>
    </w:p>
    <w:p>
      <w:pPr>
        <w:numPr>
          <w:ilvl w:val="0"/>
          <w:numId w:val="1003"/>
        </w:numPr>
        <w:pStyle w:val="Compact"/>
      </w:pPr>
      <w:r>
        <w:rPr>
          <w:bCs/>
          <w:b/>
        </w:rPr>
        <w:t xml:space="preserve">Por segmentos en el 2T26</w:t>
      </w:r>
      <w:r>
        <w:t xml:space="preserve">: Polonia +18 % (tarjetas +14 %, clubes +29 %), resto de la UE +30 %, Turquía +157 % por tener MAC el trimestre entero (MAC por sí sola, +35 %) [1].</w:t>
      </w:r>
    </w:p>
    <w:p>
      <w:pPr>
        <w:numPr>
          <w:ilvl w:val="0"/>
          <w:numId w:val="1003"/>
        </w:numPr>
        <w:pStyle w:val="Compact"/>
      </w:pPr>
      <w:r>
        <w:rPr>
          <w:bCs/>
          <w:b/>
        </w:rPr>
        <w:t xml:space="preserve">Guía</w:t>
      </w:r>
      <w:r>
        <w:t xml:space="preserve">: no da cifra de ventas. Para 2026 promete +130.000 tarjetas en Polonia, más de 100.000 en el resto de la UE, aceleración en Turquía y más de 75 aperturas de clubes [1]. Sin guía anual, el recorte por la guía de la v9 no actúa.</w:t>
      </w:r>
    </w:p>
    <w:p>
      <w:pPr>
        <w:numPr>
          <w:ilvl w:val="0"/>
          <w:numId w:val="1003"/>
        </w:numPr>
        <w:pStyle w:val="Compact"/>
      </w:pPr>
      <w:r>
        <w:rPr>
          <w:bCs/>
          <w:b/>
        </w:rPr>
        <w:t xml:space="preserve">Compra que mueve el crecimiento</w:t>
      </w:r>
      <w:r>
        <w:t xml:space="preserve">: MAC. Por eso se rellena el crecimiento orgánico y se da el resultado de la v12 (sección 9).</w:t>
      </w:r>
    </w:p>
    <w:bookmarkEnd w:id="22"/>
    <w:bookmarkStart w:id="23" w:name="mercado-y-competencia"/>
    <w:p>
      <w:pPr>
        <w:pStyle w:val="Heading2"/>
      </w:pPr>
      <w:r>
        <w:t xml:space="preserve">4. Mercado y competencia</w:t>
      </w:r>
    </w:p>
    <w:p>
      <w:pPr>
        <w:numPr>
          <w:ilvl w:val="0"/>
          <w:numId w:val="1004"/>
        </w:numPr>
        <w:pStyle w:val="Compact"/>
      </w:pPr>
      <w:r>
        <w:rPr>
          <w:bCs/>
          <w:b/>
        </w:rPr>
        <w:t xml:space="preserve">Mercado alcanzable</w:t>
      </w:r>
      <w:r>
        <w:t xml:space="preserve">: unos 35.000 M PLN en 2028, gimnasios y tarjetas deportivas de empresa en sus seis países (estimación propia, de memoria) [13].</w:t>
      </w:r>
      <w:r>
        <w:t xml:space="preserve"> </w:t>
      </w:r>
      <w:r>
        <w:rPr>
          <w:bCs/>
          <w:b/>
        </w:rPr>
        <w:t xml:space="preserve">Penetración</w:t>
      </w:r>
      <w:r>
        <w:t xml:space="preserve">: 15 %.</w:t>
      </w:r>
    </w:p>
    <w:p>
      <w:pPr>
        <w:numPr>
          <w:ilvl w:val="0"/>
          <w:numId w:val="1004"/>
        </w:numPr>
        <w:pStyle w:val="Compact"/>
      </w:pPr>
      <w:r>
        <w:rPr>
          <w:bCs/>
          <w:b/>
        </w:rPr>
        <w:t xml:space="preserve">Rivales</w:t>
      </w:r>
      <w:r>
        <w:t xml:space="preserve"> </w:t>
      </w:r>
      <w:r>
        <w:t xml:space="preserve">(de memoria): en tarjetas, Medicover Sport y PZU Sport en Polonia, y Wellhub (antes Gympass) en Europa y Turquía. En clubes, cadenas locales e independientes [13].</w:t>
      </w:r>
    </w:p>
    <w:p>
      <w:pPr>
        <w:numPr>
          <w:ilvl w:val="0"/>
          <w:numId w:val="1004"/>
        </w:numPr>
        <w:pStyle w:val="Compact"/>
      </w:pPr>
      <w:r>
        <w:rPr>
          <w:bCs/>
          <w:b/>
        </w:rPr>
        <w:t xml:space="preserve">Por qué gana</w:t>
      </w:r>
      <w:r>
        <w:t xml:space="preserve">: es la red más grande. Cuantos más clubes acepta, más vale la tarjeta para las empresas, y cuantas más tarjetas hay, más clubes quieren entrar. Además, ser dueño de muchos clubes le permite controlar el coste por visita.</w:t>
      </w:r>
    </w:p>
    <w:bookmarkEnd w:id="23"/>
    <w:bookmarkStart w:id="24" w:name="cambio-de-tendencia"/>
    <w:p>
      <w:pPr>
        <w:pStyle w:val="Heading2"/>
      </w:pPr>
      <w:r>
        <w:t xml:space="preserve">5. Cambio de tendencia</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Señal</w:t>
            </w:r>
          </w:p>
        </w:tc>
        <w:tc>
          <w:tcPr/>
          <w:p>
            <w:pPr>
              <w:pStyle w:val="Compact"/>
              <w:jc w:val="left"/>
            </w:pPr>
            <w:r>
              <w:t xml:space="preserve">¿Sí?</w:t>
            </w:r>
          </w:p>
        </w:tc>
        <w:tc>
          <w:tcPr/>
          <w:p>
            <w:pPr>
              <w:pStyle w:val="Compact"/>
              <w:jc w:val="left"/>
            </w:pPr>
            <w:r>
              <w:t xml:space="preserve">Prueba</w:t>
            </w:r>
          </w:p>
        </w:tc>
        <w:tc>
          <w:tcPr/>
          <w:p>
            <w:pPr>
              <w:pStyle w:val="Compact"/>
              <w:jc w:val="left"/>
            </w:pPr>
            <w:r>
              <w:t xml:space="preserve">Fuente</w:t>
            </w:r>
          </w:p>
        </w:tc>
      </w:tr>
      <w:tr>
        <w:tc>
          <w:tcPr/>
          <w:p>
            <w:pPr>
              <w:pStyle w:val="Compact"/>
              <w:jc w:val="left"/>
            </w:pPr>
            <w:r>
              <w:t xml:space="preserve">1. Revisiones al alza</w:t>
            </w:r>
          </w:p>
        </w:tc>
        <w:tc>
          <w:tcPr/>
          <w:p>
            <w:pPr>
              <w:pStyle w:val="Compact"/>
              <w:jc w:val="left"/>
            </w:pPr>
            <w:r>
              <w:t xml:space="preserve">Sí</w:t>
            </w:r>
          </w:p>
        </w:tc>
        <w:tc>
          <w:tcPr/>
          <w:p>
            <w:pPr>
              <w:pStyle w:val="Compact"/>
              <w:jc w:val="left"/>
            </w:pPr>
            <w:r>
              <w:t xml:space="preserve">Precios objetivo al alza: DM BOŚ de 3.700 a 5.000 PLN (julio), JPMorgan 6.685 PLN (agosto), Citi 7.050 PLN (septiembre); el 2T batió al consenso</w:t>
            </w:r>
          </w:p>
        </w:tc>
        <w:tc>
          <w:tcPr/>
          <w:p>
            <w:pPr>
              <w:pStyle w:val="Compact"/>
              <w:jc w:val="left"/>
            </w:pPr>
            <w:r>
              <w:t xml:space="preserve">[5][6][7][8]</w:t>
            </w:r>
          </w:p>
        </w:tc>
      </w:tr>
      <w:tr>
        <w:tc>
          <w:tcPr/>
          <w:p>
            <w:pPr>
              <w:pStyle w:val="Compact"/>
              <w:jc w:val="left"/>
            </w:pPr>
            <w:r>
              <w:t xml:space="preserve">2. Precio sobre la media de 200 sesiones</w:t>
            </w:r>
          </w:p>
        </w:tc>
        <w:tc>
          <w:tcPr/>
          <w:p>
            <w:pPr>
              <w:pStyle w:val="Compact"/>
              <w:jc w:val="left"/>
            </w:pPr>
            <w:r>
              <w:t xml:space="preserve">Sí</w:t>
            </w:r>
          </w:p>
        </w:tc>
        <w:tc>
          <w:tcPr/>
          <w:p>
            <w:pPr>
              <w:pStyle w:val="Compact"/>
              <w:jc w:val="left"/>
            </w:pPr>
            <w:r>
              <w:t xml:space="preserve">5.450 frente a 4.481 PLN; la media sube</w:t>
            </w:r>
          </w:p>
        </w:tc>
        <w:tc>
          <w:tcPr/>
          <w:p>
            <w:pPr>
              <w:pStyle w:val="Compact"/>
              <w:jc w:val="left"/>
            </w:pPr>
            <w:r>
              <w:t xml:space="preserve">[9]</w:t>
            </w:r>
          </w:p>
        </w:tc>
      </w:tr>
      <w:tr>
        <w:tc>
          <w:tcPr/>
          <w:p>
            <w:pPr>
              <w:pStyle w:val="Compact"/>
              <w:jc w:val="left"/>
            </w:pPr>
            <w:r>
              <w:t xml:space="preserve">3. Fuerza relativa a 6 meses</w:t>
            </w:r>
          </w:p>
        </w:tc>
        <w:tc>
          <w:tcPr/>
          <w:p>
            <w:pPr>
              <w:pStyle w:val="Compact"/>
              <w:jc w:val="left"/>
            </w:pPr>
            <w:r>
              <w:t xml:space="preserve">Sí</w:t>
            </w:r>
          </w:p>
        </w:tc>
        <w:tc>
          <w:tcPr/>
          <w:p>
            <w:pPr>
              <w:pStyle w:val="Compact"/>
              <w:jc w:val="left"/>
            </w:pPr>
            <w:r>
              <w:t xml:space="preserve">+41,6 % frente a +18 % del mWIG40</w:t>
            </w:r>
          </w:p>
        </w:tc>
        <w:tc>
          <w:tcPr/>
          <w:p>
            <w:pPr>
              <w:pStyle w:val="Compact"/>
              <w:jc w:val="left"/>
            </w:pPr>
            <w:r>
              <w:t xml:space="preserve">[9]</w:t>
            </w:r>
          </w:p>
        </w:tc>
      </w:tr>
      <w:tr>
        <w:tc>
          <w:tcPr/>
          <w:p>
            <w:pPr>
              <w:pStyle w:val="Compact"/>
              <w:jc w:val="left"/>
            </w:pPr>
            <w:r>
              <w:t xml:space="preserve">4. Mejora del múltiplo</w:t>
            </w:r>
          </w:p>
        </w:tc>
        <w:tc>
          <w:tcPr/>
          <w:p>
            <w:pPr>
              <w:pStyle w:val="Compact"/>
              <w:jc w:val="left"/>
            </w:pPr>
            <w:r>
              <w:t xml:space="preserve">Sí</w:t>
            </w:r>
          </w:p>
        </w:tc>
        <w:tc>
          <w:tcPr/>
          <w:p>
            <w:pPr>
              <w:pStyle w:val="Compact"/>
              <w:jc w:val="left"/>
            </w:pPr>
            <w:r>
              <w:t xml:space="preserve">De 7,5 veces el EBITDA (oct-2025) a 10,4 veces</w:t>
            </w:r>
          </w:p>
        </w:tc>
        <w:tc>
          <w:tcPr/>
          <w:p>
            <w:pPr>
              <w:pStyle w:val="Compact"/>
              <w:jc w:val="left"/>
            </w:pPr>
            <w:r>
              <w:t xml:space="preserve">[1][9]</w:t>
            </w:r>
          </w:p>
        </w:tc>
      </w:tr>
      <w:tr>
        <w:tc>
          <w:tcPr/>
          <w:p>
            <w:pPr>
              <w:pStyle w:val="Compact"/>
              <w:jc w:val="left"/>
            </w:pPr>
            <w:r>
              <w:t xml:space="preserve">5. Inflexión operativa</w:t>
            </w:r>
          </w:p>
        </w:tc>
        <w:tc>
          <w:tcPr/>
          <w:p>
            <w:pPr>
              <w:pStyle w:val="Compact"/>
              <w:jc w:val="left"/>
            </w:pPr>
            <w:r>
              <w:t xml:space="preserve">No</w:t>
            </w:r>
          </w:p>
        </w:tc>
        <w:tc>
          <w:tcPr/>
          <w:p>
            <w:pPr>
              <w:pStyle w:val="Compact"/>
              <w:jc w:val="left"/>
            </w:pPr>
            <w:r>
              <w:t xml:space="preserve">Ya era rentable; el margen EBITDA mejora 2,1 puntos en un año, menos de 5</w:t>
            </w:r>
          </w:p>
        </w:tc>
        <w:tc>
          <w:tcPr/>
          <w:p>
            <w:pPr>
              <w:pStyle w:val="Compact"/>
              <w:jc w:val="left"/>
            </w:pPr>
            <w:r>
              <w:t xml:space="preserve">[1]</w:t>
            </w:r>
          </w:p>
        </w:tc>
      </w:tr>
      <w:tr>
        <w:tc>
          <w:tcPr/>
          <w:p>
            <w:pPr>
              <w:pStyle w:val="Compact"/>
              <w:jc w:val="left"/>
            </w:pPr>
            <w:r>
              <w:t xml:space="preserve">6. Sentimiento mejorando</w:t>
            </w:r>
          </w:p>
        </w:tc>
        <w:tc>
          <w:tcPr/>
          <w:p>
            <w:pPr>
              <w:pStyle w:val="Compact"/>
              <w:jc w:val="left"/>
            </w:pPr>
            <w:r>
              <w:t xml:space="preserve">No</w:t>
            </w:r>
          </w:p>
        </w:tc>
        <w:tc>
          <w:tcPr/>
          <w:p>
            <w:pPr>
              <w:pStyle w:val="Compact"/>
              <w:jc w:val="left"/>
            </w:pPr>
            <w:r>
              <w:t xml:space="preserve">Mixto: récord en bolsa, pero caída del 5 % tras los resultados por toma de beneficios y precio por encima del objetivo medio</w:t>
            </w:r>
          </w:p>
        </w:tc>
        <w:tc>
          <w:tcPr/>
          <w:p>
            <w:pPr>
              <w:pStyle w:val="Compact"/>
              <w:jc w:val="left"/>
            </w:pPr>
            <w:r>
              <w:t xml:space="preserve">[5][12]</w:t>
            </w:r>
          </w:p>
        </w:tc>
      </w:tr>
      <w:tr>
        <w:tc>
          <w:tcPr/>
          <w:p>
            <w:pPr>
              <w:pStyle w:val="Compact"/>
              <w:jc w:val="left"/>
            </w:pPr>
            <w:r>
              <w:t xml:space="preserve">7. Compras de directivos o inversores de referencia</w:t>
            </w:r>
          </w:p>
        </w:tc>
        <w:tc>
          <w:tcPr/>
          <w:p>
            <w:pPr>
              <w:pStyle w:val="Compact"/>
              <w:jc w:val="left"/>
            </w:pPr>
            <w:r>
              <w:t xml:space="preserve">Sí</w:t>
            </w:r>
          </w:p>
        </w:tc>
        <w:tc>
          <w:tcPr/>
          <w:p>
            <w:pPr>
              <w:pStyle w:val="Compact"/>
              <w:jc w:val="left"/>
            </w:pPr>
            <w:r>
              <w:t xml:space="preserve">El fondo de pensiones NN sube del 11,4 % al 12,5 % del capital entre mayo y agosto</w:t>
            </w:r>
          </w:p>
        </w:tc>
        <w:tc>
          <w:tcPr/>
          <w:p>
            <w:pPr>
              <w:pStyle w:val="Compact"/>
              <w:jc w:val="left"/>
            </w:pPr>
            <w:r>
              <w:t xml:space="preserve">[1][2]</w:t>
            </w:r>
          </w:p>
        </w:tc>
      </w:tr>
      <w:tr>
        <w:tc>
          <w:tcPr/>
          <w:p>
            <w:pPr>
              <w:pStyle w:val="Compact"/>
              <w:jc w:val="left"/>
            </w:pPr>
            <w:r>
              <w:t xml:space="preserve">8. Catalizador nuevo</w:t>
            </w:r>
          </w:p>
        </w:tc>
        <w:tc>
          <w:tcPr/>
          <w:p>
            <w:pPr>
              <w:pStyle w:val="Compact"/>
              <w:jc w:val="left"/>
            </w:pPr>
            <w:r>
              <w:t xml:space="preserve">Sí</w:t>
            </w:r>
          </w:p>
        </w:tc>
        <w:tc>
          <w:tcPr/>
          <w:p>
            <w:pPr>
              <w:pStyle w:val="Compact"/>
              <w:jc w:val="left"/>
            </w:pPr>
            <w:r>
              <w:t xml:space="preserve">Resultados del 3T el 19-nov; más de 35 aperturas de MAC; posible entrada en el WIG20 (sin confirmar)</w:t>
            </w:r>
          </w:p>
        </w:tc>
        <w:tc>
          <w:tcPr/>
          <w:p>
            <w:pPr>
              <w:pStyle w:val="Compact"/>
              <w:jc w:val="left"/>
            </w:pPr>
            <w:r>
              <w:t xml:space="preserve">[1][8]</w:t>
            </w:r>
          </w:p>
        </w:tc>
      </w:tr>
    </w:tbl>
    <w:p>
      <w:pPr>
        <w:pStyle w:val="BodyText"/>
      </w:pPr>
      <w:r>
        <w:rPr>
          <w:bCs/>
          <w:b/>
        </w:rPr>
        <w:t xml:space="preserve">Euforia a 12 meses: no</w:t>
      </w:r>
      <w:r>
        <w:t xml:space="preserve"> </w:t>
      </w:r>
      <w:r>
        <w:t xml:space="preserve">(+69 %, lejos del 150 %).</w:t>
      </w:r>
      <w:r>
        <w:t xml:space="preserve"> </w:t>
      </w:r>
      <w:r>
        <w:rPr>
          <w:bCs/>
          <w:b/>
        </w:rPr>
        <w:t xml:space="preserve">Euforia a 6 meses: no</w:t>
      </w:r>
      <w:r>
        <w:t xml:space="preserve"> </w:t>
      </w:r>
      <w:r>
        <w:t xml:space="preserve">(+42 %, lejos del 100 %).</w:t>
      </w:r>
    </w:p>
    <w:p>
      <w:pPr>
        <w:pStyle w:val="BodyText"/>
      </w:pPr>
      <w:r>
        <w:rPr>
          <w:bCs/>
          <w:b/>
        </w:rPr>
        <w:t xml:space="preserve">Ojo con el precio de Yahoo</w:t>
      </w:r>
      <w:r>
        <w:t xml:space="preserve">: los cierres diarios del 5 al 13 de octubre salen congelados en 5.100 PLN y sin volumen. Se corrigieron con BiznesRadar y con los datos por horas de la propia Yahoo [9].</w:t>
      </w:r>
    </w:p>
    <w:bookmarkEnd w:id="24"/>
    <w:bookmarkStart w:id="25" w:name="X6a3ced9ea5ed5bb9ac58f5e7c1bb09ad4718b77"/>
    <w:p>
      <w:pPr>
        <w:pStyle w:val="Heading2"/>
      </w:pPr>
      <w:r>
        <w:t xml:space="preserve">6. Economía unitaria y camino a la rentabilidad</w:t>
      </w:r>
    </w:p>
    <w:p>
      <w:pPr>
        <w:numPr>
          <w:ilvl w:val="0"/>
          <w:numId w:val="1005"/>
        </w:numPr>
        <w:pStyle w:val="Compact"/>
      </w:pPr>
      <w:r>
        <w:rPr>
          <w:bCs/>
          <w:b/>
        </w:rPr>
        <w:t xml:space="preserve">Margen bruto</w:t>
      </w:r>
      <w:r>
        <w:t xml:space="preserve">: 35 % en 12 meses. Es bajo para un growth porque paga a los clubes por cada visita y los clubes propios tienen alquiler y personal.</w:t>
      </w:r>
    </w:p>
    <w:p>
      <w:pPr>
        <w:numPr>
          <w:ilvl w:val="0"/>
          <w:numId w:val="1005"/>
        </w:numPr>
        <w:pStyle w:val="Compact"/>
      </w:pPr>
      <w:r>
        <w:rPr>
          <w:bCs/>
          <w:b/>
        </w:rPr>
        <w:t xml:space="preserve">Regla del 40</w:t>
      </w:r>
      <w:r>
        <w:t xml:space="preserve">: 47 (crecimiento del 40 % más margen FCF del 7 %).</w:t>
      </w:r>
    </w:p>
    <w:p>
      <w:pPr>
        <w:numPr>
          <w:ilvl w:val="0"/>
          <w:numId w:val="1005"/>
        </w:numPr>
        <w:pStyle w:val="Compact"/>
      </w:pPr>
      <w:r>
        <w:rPr>
          <w:bCs/>
          <w:b/>
        </w:rPr>
        <w:t xml:space="preserve">FCF</w:t>
      </w:r>
      <w:r>
        <w:t xml:space="preserve">: 363 M PLN en 12 meses, después de pagar alquileres e intereses. Es bajo porque invierte mucho en clubes nuevos (726 M en 12 meses). En 2025 fue de unos 112 M y en 2024 de unos 402 M [1][2].</w:t>
      </w:r>
    </w:p>
    <w:p>
      <w:pPr>
        <w:numPr>
          <w:ilvl w:val="0"/>
          <w:numId w:val="1005"/>
        </w:numPr>
        <w:pStyle w:val="Compact"/>
      </w:pPr>
      <w:r>
        <w:rPr>
          <w:bCs/>
          <w:b/>
        </w:rPr>
        <w:t xml:space="preserve">Rentabilidad</w:t>
      </w:r>
      <w:r>
        <w:t xml:space="preserve">: gana dinero de forma estable, con un beneficio neto de unos 822 M en 12 meses. Por eso se valora por EV/EBITDA y no por ventas.</w:t>
      </w:r>
    </w:p>
    <w:p>
      <w:pPr>
        <w:numPr>
          <w:ilvl w:val="0"/>
          <w:numId w:val="1005"/>
        </w:numPr>
        <w:pStyle w:val="Compact"/>
      </w:pPr>
      <w:r>
        <w:rPr>
          <w:bCs/>
          <w:b/>
        </w:rPr>
        <w:t xml:space="preserve">Ojo con la hiperinflación turca</w:t>
      </w:r>
      <w:r>
        <w:t xml:space="preserve">: las cuentas de Turquía se reexpresan por inflación. Eso infla el beneficio antes de impuestos (207 M en el semestre), pero no el EBITDA que se usa aquí [1].</w:t>
      </w:r>
    </w:p>
    <w:bookmarkEnd w:id="25"/>
    <w:bookmarkStart w:id="26" w:name="caja-deuda-y-dilución"/>
    <w:p>
      <w:pPr>
        <w:pStyle w:val="Heading2"/>
      </w:pPr>
      <w:r>
        <w:t xml:space="preserve">7. Caja, deuda y dilución</w:t>
      </w:r>
    </w:p>
    <w:p>
      <w:pPr>
        <w:numPr>
          <w:ilvl w:val="0"/>
          <w:numId w:val="1006"/>
        </w:numPr>
        <w:pStyle w:val="Compact"/>
      </w:pPr>
      <w:r>
        <w:rPr>
          <w:bCs/>
          <w:b/>
        </w:rPr>
        <w:t xml:space="preserve">Caja</w:t>
      </w:r>
      <w:r>
        <w:t xml:space="preserve">: 380 M PLN después del dividendo de septiembre (330 M).</w:t>
      </w:r>
      <w:r>
        <w:t xml:space="preserve"> </w:t>
      </w:r>
      <w:r>
        <w:rPr>
          <w:bCs/>
          <w:b/>
        </w:rPr>
        <w:t xml:space="preserve">Deuda</w:t>
      </w:r>
      <w:r>
        <w:t xml:space="preserve">: 3.660 M, de los que 2.061 M son alquileres de clubes, 1.350 M bonos y préstamos y 249 M pagos aplazados por compras. Los alquileres se cuentan como deuda porque el EBITDA no los descuenta [1].</w:t>
      </w:r>
    </w:p>
    <w:p>
      <w:pPr>
        <w:numPr>
          <w:ilvl w:val="0"/>
          <w:numId w:val="1006"/>
        </w:numPr>
        <w:pStyle w:val="Compact"/>
      </w:pPr>
      <w:r>
        <w:rPr>
          <w:bCs/>
          <w:b/>
        </w:rPr>
        <w:t xml:space="preserve">Deuda neta sin alquileres</w:t>
      </w:r>
      <w:r>
        <w:t xml:space="preserve">: 641 M, 0,5 veces el EBITDA. Holgada.</w:t>
      </w:r>
    </w:p>
    <w:p>
      <w:pPr>
        <w:numPr>
          <w:ilvl w:val="0"/>
          <w:numId w:val="1006"/>
        </w:numPr>
        <w:pStyle w:val="Compact"/>
      </w:pPr>
      <w:r>
        <w:rPr>
          <w:bCs/>
          <w:b/>
        </w:rPr>
        <w:t xml:space="preserve">Pista de caja</w:t>
      </w:r>
      <w:r>
        <w:t xml:space="preserve">: no aplica, genera caja.</w:t>
      </w:r>
    </w:p>
    <w:p>
      <w:pPr>
        <w:numPr>
          <w:ilvl w:val="0"/>
          <w:numId w:val="1006"/>
        </w:numPr>
        <w:pStyle w:val="Compact"/>
      </w:pPr>
      <w:r>
        <w:rPr>
          <w:bCs/>
          <w:b/>
        </w:rPr>
        <w:t xml:space="preserve">Acciones</w:t>
      </w:r>
      <w:r>
        <w:t xml:space="preserve">: 3,30 millones. La ampliación de 725 M PLN para pagar MAC (junio de 2025) ya está en la caja y en las acciones. Dilución de 12 meses: 0,5 %.</w:t>
      </w:r>
    </w:p>
    <w:p>
      <w:pPr>
        <w:numPr>
          <w:ilvl w:val="0"/>
          <w:numId w:val="1006"/>
        </w:numPr>
        <w:pStyle w:val="Compact"/>
      </w:pPr>
      <w:r>
        <w:rPr>
          <w:bCs/>
          <w:b/>
        </w:rPr>
        <w:t xml:space="preserve">Pagos en acciones</w:t>
      </w:r>
      <w:r>
        <w:t xml:space="preserve">: 1 % de las ventas.</w:t>
      </w:r>
    </w:p>
    <w:p>
      <w:pPr>
        <w:numPr>
          <w:ilvl w:val="0"/>
          <w:numId w:val="1006"/>
        </w:numPr>
        <w:pStyle w:val="Compact"/>
      </w:pPr>
      <w:r>
        <w:rPr>
          <w:bCs/>
          <w:b/>
        </w:rPr>
        <w:t xml:space="preserve">Dividendo</w:t>
      </w:r>
      <w:r>
        <w:t xml:space="preserve">: 100 PLN por acción en 2026 (1,8 %).</w:t>
      </w:r>
    </w:p>
    <w:bookmarkEnd w:id="26"/>
    <w:bookmarkStart w:id="27" w:name="dirección-y-ejecución"/>
    <w:p>
      <w:pPr>
        <w:pStyle w:val="Heading2"/>
      </w:pPr>
      <w:r>
        <w:t xml:space="preserve">8. Dirección y ejecución</w:t>
      </w:r>
    </w:p>
    <w:p>
      <w:pPr>
        <w:numPr>
          <w:ilvl w:val="0"/>
          <w:numId w:val="1007"/>
        </w:numPr>
        <w:pStyle w:val="Compact"/>
      </w:pPr>
      <w:r>
        <w:rPr>
          <w:bCs/>
          <w:b/>
        </w:rPr>
        <w:t xml:space="preserve">Historial 4/5</w:t>
      </w:r>
      <w:r>
        <w:t xml:space="preserve">: cumple los objetivos de tarjetas que promete y el 2T26 batió al consenso en ventas, EBITDA y beneficio, aunque no en el beneficio operativo [1][5].</w:t>
      </w:r>
    </w:p>
    <w:p>
      <w:pPr>
        <w:numPr>
          <w:ilvl w:val="0"/>
          <w:numId w:val="1007"/>
        </w:numPr>
        <w:pStyle w:val="Compact"/>
      </w:pPr>
      <w:r>
        <w:rPr>
          <w:bCs/>
          <w:b/>
        </w:rPr>
        <w:t xml:space="preserve">Dirección 4/5</w:t>
      </w:r>
      <w:r>
        <w:t xml:space="preserve">: el fundador, Marek Kamola, conserva el 7 %, y los grandes fondos de pensiones polacos suman más del 30 %. La compra de MAC va bien: su beneficio operativo sube un 18 % en el 2T26. En contra, una multa de competencia de 2021 (unos 27 M PLN, confirmada) y un expediente abierto por cómo vende los abonos [1][11].</w:t>
      </w:r>
    </w:p>
    <w:bookmarkEnd w:id="27"/>
    <w:bookmarkStart w:id="28" w:name="valoración"/>
    <w:p>
      <w:pPr>
        <w:pStyle w:val="Heading2"/>
      </w:pPr>
      <w:r>
        <w:t xml:space="preserve">9. Valoración</w:t>
      </w:r>
    </w:p>
    <w:p>
      <w:pPr>
        <w:pStyle w:val="FirstParagraph"/>
      </w:pPr>
      <w:r>
        <w:rPr>
          <w:bCs/>
          <w:b/>
        </w:rPr>
        <w:t xml:space="preserve">Múltiplo</w:t>
      </w:r>
      <w:r>
        <w:t xml:space="preserve">: valor de empresa de 21.320 M PLN sobre un EBITDA de los 12 meses siguientes de 2.045 M (consenso) =</w:t>
      </w:r>
      <w:r>
        <w:t xml:space="preserve"> </w:t>
      </w:r>
      <w:r>
        <w:rPr>
          <w:bCs/>
          <w:b/>
        </w:rPr>
        <w:t xml:space="preserve">10,4 veces</w:t>
      </w:r>
      <w:r>
        <w:t xml:space="preserve">. Mediana de tres años: 8,3 veces. Mínimo: 6,1 veces (cálculo propio con cierres mensuales y el EBITDA real de cada año, sin MAC antes de comprarla). Comparables: unas 7 veces de mediana (Basic-Fit, The Gym Group, Pluxee y Edenred cerca de 6-7 veces; Planet Fitness, 17 veces; de memoria) [13].</w:t>
      </w:r>
    </w:p>
    <w:p>
      <w:pPr>
        <w:pStyle w:val="BodyText"/>
      </w:pPr>
      <w:r>
        <w:rPr>
          <w:bCs/>
          <w:b/>
        </w:rPr>
        <w:t xml:space="preserve">Ventas del año objetivo</w:t>
      </w:r>
      <w:r>
        <w:t xml:space="preserve"> </w:t>
      </w:r>
      <w:r>
        <w:t xml:space="preserve">(jul-2027 a jun-2028): la regla mecánica parte del 33,9 %, porque arrastra el salto de MAC, y llega a 9.179 M en el base. Mi proyección está en línea con el consenso (unos 7.500 M en esa ventana): 6.730 M en el bajista, 7.470 M en el base y 7.700 M en el alcista [4]. La v11 toma la menor en cada escenario, que es la mía.</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Escenario</w:t>
            </w:r>
          </w:p>
        </w:tc>
        <w:tc>
          <w:tcPr/>
          <w:p>
            <w:pPr>
              <w:pStyle w:val="Compact"/>
              <w:jc w:val="left"/>
            </w:pPr>
            <w:r>
              <w:t xml:space="preserve">Ventas (M PLN)</w:t>
            </w:r>
          </w:p>
        </w:tc>
        <w:tc>
          <w:tcPr/>
          <w:p>
            <w:pPr>
              <w:pStyle w:val="Compact"/>
              <w:jc w:val="left"/>
            </w:pPr>
            <w:r>
              <w:t xml:space="preserve">Múltiplo</w:t>
            </w:r>
          </w:p>
        </w:tc>
        <w:tc>
          <w:tcPr/>
          <w:p>
            <w:pPr>
              <w:pStyle w:val="Compact"/>
              <w:jc w:val="left"/>
            </w:pPr>
            <w:r>
              <w:t xml:space="preserve">Precio (PLN)</w:t>
            </w:r>
          </w:p>
        </w:tc>
        <w:tc>
          <w:tcPr/>
          <w:p>
            <w:pPr>
              <w:pStyle w:val="Compact"/>
              <w:jc w:val="left"/>
            </w:pPr>
            <w:r>
              <w:t xml:space="preserve">Rentabilidad</w:t>
            </w:r>
          </w:p>
        </w:tc>
        <w:tc>
          <w:tcPr/>
          <w:p>
            <w:pPr>
              <w:pStyle w:val="Compact"/>
              <w:jc w:val="left"/>
            </w:pPr>
            <w:r>
              <w:t xml:space="preserve">Probabilidad</w:t>
            </w:r>
          </w:p>
        </w:tc>
      </w:tr>
      <w:tr>
        <w:tc>
          <w:tcPr/>
          <w:p>
            <w:pPr>
              <w:pStyle w:val="Compact"/>
              <w:jc w:val="left"/>
            </w:pPr>
            <w:r>
              <w:t xml:space="preserve">Bajista</w:t>
            </w:r>
          </w:p>
        </w:tc>
        <w:tc>
          <w:tcPr/>
          <w:p>
            <w:pPr>
              <w:pStyle w:val="Compact"/>
              <w:jc w:val="left"/>
            </w:pPr>
            <w:r>
              <w:t xml:space="preserve">6.730</w:t>
            </w:r>
          </w:p>
        </w:tc>
        <w:tc>
          <w:tcPr/>
          <w:p>
            <w:pPr>
              <w:pStyle w:val="Compact"/>
              <w:jc w:val="left"/>
            </w:pPr>
            <w:r>
              <w:t xml:space="preserve">5,8</w:t>
            </w:r>
          </w:p>
        </w:tc>
        <w:tc>
          <w:tcPr/>
          <w:p>
            <w:pPr>
              <w:pStyle w:val="Compact"/>
              <w:jc w:val="left"/>
            </w:pPr>
            <w:r>
              <w:t xml:space="preserve">2.751</w:t>
            </w:r>
          </w:p>
        </w:tc>
        <w:tc>
          <w:tcPr/>
          <w:p>
            <w:pPr>
              <w:pStyle w:val="Compact"/>
              <w:jc w:val="left"/>
            </w:pPr>
            <w:r>
              <w:t xml:space="preserve">−47,7 %</w:t>
            </w:r>
          </w:p>
        </w:tc>
        <w:tc>
          <w:tcPr/>
          <w:p>
            <w:pPr>
              <w:pStyle w:val="Compact"/>
              <w:jc w:val="left"/>
            </w:pPr>
            <w:r>
              <w:t xml:space="preserve">25 %</w:t>
            </w:r>
          </w:p>
        </w:tc>
      </w:tr>
      <w:tr>
        <w:tc>
          <w:tcPr/>
          <w:p>
            <w:pPr>
              <w:pStyle w:val="Compact"/>
              <w:jc w:val="left"/>
            </w:pPr>
            <w:r>
              <w:t xml:space="preserve">Base</w:t>
            </w:r>
          </w:p>
        </w:tc>
        <w:tc>
          <w:tcPr/>
          <w:p>
            <w:pPr>
              <w:pStyle w:val="Compact"/>
              <w:jc w:val="left"/>
            </w:pPr>
            <w:r>
              <w:t xml:space="preserve">7.470</w:t>
            </w:r>
          </w:p>
        </w:tc>
        <w:tc>
          <w:tcPr/>
          <w:p>
            <w:pPr>
              <w:pStyle w:val="Compact"/>
              <w:jc w:val="left"/>
            </w:pPr>
            <w:r>
              <w:t xml:space="preserve">9,6</w:t>
            </w:r>
          </w:p>
        </w:tc>
        <w:tc>
          <w:tcPr/>
          <w:p>
            <w:pPr>
              <w:pStyle w:val="Compact"/>
              <w:jc w:val="left"/>
            </w:pPr>
            <w:r>
              <w:t xml:space="preserve">5.928</w:t>
            </w:r>
          </w:p>
        </w:tc>
        <w:tc>
          <w:tcPr/>
          <w:p>
            <w:pPr>
              <w:pStyle w:val="Compact"/>
              <w:jc w:val="left"/>
            </w:pPr>
            <w:r>
              <w:t xml:space="preserve">+10,6 %</w:t>
            </w:r>
          </w:p>
        </w:tc>
        <w:tc>
          <w:tcPr/>
          <w:p>
            <w:pPr>
              <w:pStyle w:val="Compact"/>
              <w:jc w:val="left"/>
            </w:pPr>
            <w:r>
              <w:t xml:space="preserve">50 %</w:t>
            </w:r>
          </w:p>
        </w:tc>
      </w:tr>
      <w:tr>
        <w:tc>
          <w:tcPr/>
          <w:p>
            <w:pPr>
              <w:pStyle w:val="Compact"/>
              <w:jc w:val="left"/>
            </w:pPr>
            <w:r>
              <w:t xml:space="preserve">Alcista</w:t>
            </w:r>
          </w:p>
        </w:tc>
        <w:tc>
          <w:tcPr/>
          <w:p>
            <w:pPr>
              <w:pStyle w:val="Compact"/>
              <w:jc w:val="left"/>
            </w:pPr>
            <w:r>
              <w:t xml:space="preserve">7.700</w:t>
            </w:r>
          </w:p>
        </w:tc>
        <w:tc>
          <w:tcPr/>
          <w:p>
            <w:pPr>
              <w:pStyle w:val="Compact"/>
              <w:jc w:val="left"/>
            </w:pPr>
            <w:r>
              <w:t xml:space="preserve">12,5</w:t>
            </w:r>
          </w:p>
        </w:tc>
        <w:tc>
          <w:tcPr/>
          <w:p>
            <w:pPr>
              <w:pStyle w:val="Compact"/>
              <w:jc w:val="left"/>
            </w:pPr>
            <w:r>
              <w:t xml:space="preserve">8.279</w:t>
            </w:r>
          </w:p>
        </w:tc>
        <w:tc>
          <w:tcPr/>
          <w:p>
            <w:pPr>
              <w:pStyle w:val="Compact"/>
              <w:jc w:val="left"/>
            </w:pPr>
            <w:r>
              <w:t xml:space="preserve">+53,7 %</w:t>
            </w:r>
          </w:p>
        </w:tc>
        <w:tc>
          <w:tcPr/>
          <w:p>
            <w:pPr>
              <w:pStyle w:val="Compact"/>
              <w:jc w:val="left"/>
            </w:pPr>
            <w:r>
              <w:t xml:space="preserve">25 %</w:t>
            </w:r>
          </w:p>
        </w:tc>
      </w:tr>
      <w:tr>
        <w:tc>
          <w:tcPr/>
          <w:p>
            <w:pPr>
              <w:pStyle w:val="Compact"/>
              <w:jc w:val="left"/>
            </w:pPr>
            <w:r>
              <w:rPr>
                <w:bCs/>
                <w:b/>
              </w:rPr>
              <w:t xml:space="preserve">Ponderado</w:t>
            </w:r>
          </w:p>
        </w:tc>
        <w:tc>
          <w:tcPr/>
          <w:p>
            <w:pPr>
              <w:pStyle w:val="Compact"/>
            </w:pPr>
          </w:p>
        </w:tc>
        <w:tc>
          <w:tcPr/>
          <w:p>
            <w:pPr>
              <w:pStyle w:val="Compact"/>
            </w:pPr>
          </w:p>
        </w:tc>
        <w:tc>
          <w:tcPr/>
          <w:p>
            <w:pPr>
              <w:pStyle w:val="Compact"/>
              <w:jc w:val="left"/>
            </w:pPr>
            <w:r>
              <w:rPr>
                <w:bCs/>
                <w:b/>
              </w:rPr>
              <w:t xml:space="preserve">5.721,5</w:t>
            </w:r>
          </w:p>
        </w:tc>
        <w:tc>
          <w:tcPr/>
          <w:p>
            <w:pPr>
              <w:pStyle w:val="Compact"/>
              <w:jc w:val="left"/>
            </w:pPr>
            <w:r>
              <w:rPr>
                <w:bCs/>
                <w:b/>
              </w:rPr>
              <w:t xml:space="preserve">+6,8 %</w:t>
            </w:r>
          </w:p>
        </w:tc>
        <w:tc>
          <w:tcPr/>
          <w:p>
            <w:pPr>
              <w:pStyle w:val="Compact"/>
            </w:pPr>
          </w:p>
        </w:tc>
      </w:tr>
    </w:tbl>
    <w:p>
      <w:pPr>
        <w:pStyle w:val="BodyText"/>
      </w:pPr>
      <w:r>
        <w:t xml:space="preserve">El EBITDA de cada escenario sale de aplicar a las ventas el margen implícito de hoy, un 32 %. Las rentabilidades incluyen el dividendo.</w:t>
      </w:r>
    </w:p>
    <w:p>
      <w:pPr>
        <w:numPr>
          <w:ilvl w:val="0"/>
          <w:numId w:val="1008"/>
        </w:numPr>
        <w:pStyle w:val="Compact"/>
      </w:pPr>
      <w:r>
        <w:rPr>
          <w:bCs/>
          <w:b/>
        </w:rPr>
        <w:t xml:space="preserve">Asimetría</w:t>
      </w:r>
      <w:r>
        <w:t xml:space="preserve">: 1,1.</w:t>
      </w:r>
      <w:r>
        <w:t xml:space="preserve"> </w:t>
      </w:r>
      <w:r>
        <w:rPr>
          <w:bCs/>
          <w:b/>
        </w:rPr>
        <w:t xml:space="preserve">Compra hasta</w:t>
      </w:r>
      <w:r>
        <w:t xml:space="preserve">: 5.544,1 PLN.</w:t>
      </w:r>
    </w:p>
    <w:p>
      <w:pPr>
        <w:numPr>
          <w:ilvl w:val="0"/>
          <w:numId w:val="1008"/>
        </w:numPr>
        <w:pStyle w:val="Compact"/>
      </w:pPr>
      <w:r>
        <w:rPr>
          <w:bCs/>
          <w:b/>
        </w:rPr>
        <w:t xml:space="preserve">Con la v9</w:t>
      </w:r>
      <w:r>
        <w:t xml:space="preserve"> </w:t>
      </w:r>
      <w:r>
        <w:t xml:space="preserve">(sin el tope de mi proyección): Comprar (baja), ponderada +35,4 %. La diferencia es que la v9 proyecta 9.179 M de ventas en el base, un 22 % más que el consenso. No es creíble.</w:t>
      </w:r>
    </w:p>
    <w:p>
      <w:pPr>
        <w:numPr>
          <w:ilvl w:val="0"/>
          <w:numId w:val="1008"/>
        </w:numPr>
        <w:pStyle w:val="Compact"/>
      </w:pPr>
      <w:r>
        <w:rPr>
          <w:bCs/>
          <w:b/>
        </w:rPr>
        <w:t xml:space="preserve">Con la v12</w:t>
      </w:r>
      <w:r>
        <w:t xml:space="preserve"> </w:t>
      </w:r>
      <w:r>
        <w:t xml:space="preserve">(candidata, con el crecimiento orgánico):</w:t>
      </w:r>
      <w:r>
        <w:t xml:space="preserve"> </w:t>
      </w:r>
      <w:r>
        <w:rPr>
          <w:bCs/>
          <w:b/>
        </w:rPr>
        <w:t xml:space="preserve">Mantener, en vigilancia</w:t>
      </w:r>
      <w:r>
        <w:t xml:space="preserve">, ponderada +5,8 %, base +10,6 %, bajista −51,6 %, compra hasta 5.269,6 PLN. Al partir del 20 % orgánico, el bajista mecánico baja a unos 6.350 M de ventas y pasa del listón del −50 %.</w:t>
      </w:r>
    </w:p>
    <w:p>
      <w:pPr>
        <w:numPr>
          <w:ilvl w:val="0"/>
          <w:numId w:val="1008"/>
        </w:numPr>
        <w:pStyle w:val="Compact"/>
      </w:pPr>
      <w:r>
        <w:rPr>
          <w:bCs/>
          <w:b/>
        </w:rPr>
        <w:t xml:space="preserve">Con la v14</w:t>
      </w:r>
      <w:r>
        <w:t xml:space="preserve"> </w:t>
      </w:r>
      <w:r>
        <w:t xml:space="preserve">(candidata): igual que la v12. La tarjeta pesa el 70 % de las ventas, justo en el umbral, y la regla pide más del 70 %; no hay decisión regulatoria que ponga ventas en juego; la dilución esperada es la misma que la pasada.</w:t>
      </w:r>
    </w:p>
    <w:p>
      <w:pPr>
        <w:numPr>
          <w:ilvl w:val="0"/>
          <w:numId w:val="1008"/>
        </w:numPr>
        <w:pStyle w:val="Compact"/>
      </w:pPr>
      <w:r>
        <w:rPr>
          <w:bCs/>
          <w:b/>
        </w:rPr>
        <w:t xml:space="preserve">Si el múltiplo vuelve a su mediana</w:t>
      </w:r>
      <w:r>
        <w:t xml:space="preserve"> </w:t>
      </w:r>
      <w:r>
        <w:t xml:space="preserve">(8,3 veces) en el base, el precio base sería de unos 4.980 PLN, un 9 % por debajo del cierre (cálculo a mano). La regla no supone vuelta a la media a propósito, pero aquí el múltiplo está un 25 % por encima de su historia.</w:t>
      </w:r>
    </w:p>
    <w:p>
      <w:pPr>
        <w:numPr>
          <w:ilvl w:val="0"/>
          <w:numId w:val="1008"/>
        </w:numPr>
        <w:pStyle w:val="Compact"/>
      </w:pPr>
      <w:r>
        <w:rPr>
          <w:bCs/>
          <w:b/>
        </w:rPr>
        <w:t xml:space="preserve">Consenso</w:t>
      </w:r>
      <w:r>
        <w:t xml:space="preserve">: precio objetivo medio de 5.782 PLN (9 analistas, 7 comprar). El objetivo de este informe (5.721,5) es parecido [4][8].</w:t>
      </w:r>
    </w:p>
    <w:p>
      <w:pPr>
        <w:numPr>
          <w:ilvl w:val="0"/>
          <w:numId w:val="1008"/>
        </w:numPr>
        <w:pStyle w:val="Compact"/>
      </w:pPr>
      <w:r>
        <w:rPr>
          <w:bCs/>
          <w:b/>
        </w:rPr>
        <w:t xml:space="preserve">DCF inverso</w:t>
      </w:r>
      <w:r>
        <w:t xml:space="preserve">: el precio descuenta crecer un 12,7 % al año durante 10 años (margen FCF maduro del 12 % después de alquileres, descuento del 10 %, perpetuo del 3 %).</w:t>
      </w:r>
    </w:p>
    <w:p>
      <w:pPr>
        <w:numPr>
          <w:ilvl w:val="0"/>
          <w:numId w:val="1008"/>
        </w:numPr>
        <w:pStyle w:val="Compact"/>
      </w:pPr>
      <w:r>
        <w:rPr>
          <w:bCs/>
          <w:b/>
        </w:rPr>
        <w:t xml:space="preserve">Filtro previo, con los datos completos</w:t>
      </w:r>
      <w:r>
        <w:t xml:space="preserve">:</w:t>
      </w:r>
    </w:p>
    <w:p>
      <w:pPr>
        <w:numPr>
          <w:ilvl w:val="1"/>
          <w:numId w:val="1009"/>
        </w:numPr>
        <w:pStyle w:val="Compact"/>
      </w:pPr>
    </w:p>
    <w:p>
      <w:pPr>
        <w:numPr>
          <w:ilvl w:val="2"/>
          <w:numId w:val="1010"/>
        </w:numPr>
        <w:pStyle w:val="Compact"/>
      </w:pPr>
      <w:r>
        <w:t xml:space="preserve">crecimiento orgánico del 25 %: pasa (≥ 15 %).</w:t>
      </w:r>
    </w:p>
    <w:p>
      <w:pPr>
        <w:numPr>
          <w:ilvl w:val="1"/>
          <w:numId w:val="1009"/>
        </w:numPr>
        <w:pStyle w:val="Compact"/>
      </w:pPr>
    </w:p>
    <w:p>
      <w:pPr>
        <w:numPr>
          <w:ilvl w:val="2"/>
          <w:numId w:val="1011"/>
        </w:numPr>
        <w:pStyle w:val="Compact"/>
      </w:pPr>
      <w:r>
        <w:t xml:space="preserve">múltiplo de EBITDA frente a su mediana de tres años: 1,25 veces con mis cuentas.</w:t>
      </w:r>
      <w:r>
        <w:t xml:space="preserve"> </w:t>
      </w:r>
      <w:r>
        <w:rPr>
          <w:bCs/>
          <w:b/>
        </w:rPr>
        <w:t xml:space="preserve">No pasa</w:t>
      </w:r>
      <w:r>
        <w:t xml:space="preserve"> </w:t>
      </w:r>
      <w:r>
        <w:t xml:space="preserve">(≤ 1,1). El filtro dio 1,04. La diferencia sale de cómo se mide la historia: yo uso el EBITDA real de cada año siguiente, y como la empresa batió las previsiones, los múltiplos pasados salen más bajos que con el consenso de entonces. Con el consenso de cada fecha la ratio bajaría, pero ese dato no lo tengo.</w:t>
      </w:r>
    </w:p>
    <w:p>
      <w:pPr>
        <w:numPr>
          <w:ilvl w:val="1"/>
          <w:numId w:val="1009"/>
        </w:numPr>
        <w:pStyle w:val="Compact"/>
      </w:pPr>
    </w:p>
    <w:p>
      <w:pPr>
        <w:numPr>
          <w:ilvl w:val="2"/>
          <w:numId w:val="1012"/>
        </w:numPr>
        <w:pStyle w:val="Compact"/>
      </w:pPr>
      <w:r>
        <w:t xml:space="preserve">ningún cliente relevante y Turquía con el 16,8 % de las ventas: pasa. Matiz: la tarjeta MultiSport es el 70 % de las ventas; es un servicio vendido a miles de empresas en seis países, no un producto que dependa de una sola decisión.</w:t>
      </w:r>
    </w:p>
    <w:p>
      <w:pPr>
        <w:numPr>
          <w:ilvl w:val="1"/>
          <w:numId w:val="1009"/>
        </w:numPr>
        <w:pStyle w:val="Compact"/>
      </w:pPr>
    </w:p>
    <w:p>
      <w:pPr>
        <w:numPr>
          <w:ilvl w:val="2"/>
          <w:numId w:val="1013"/>
        </w:numPr>
        <w:pStyle w:val="Compact"/>
      </w:pPr>
      <w:r>
        <w:t xml:space="preserve">el crecimiento descontado es 0,51 veces el orgánico: pasa (≤ 0,8).</w:t>
      </w:r>
    </w:p>
    <w:bookmarkEnd w:id="28"/>
    <w:bookmarkStart w:id="29" w:name="foros-y-sentimiento"/>
    <w:p>
      <w:pPr>
        <w:pStyle w:val="Heading2"/>
      </w:pPr>
      <w:r>
        <w:t xml:space="preserve">10. Foros y sentimiento</w:t>
      </w:r>
    </w:p>
    <w:p>
      <w:pPr>
        <w:numPr>
          <w:ilvl w:val="0"/>
          <w:numId w:val="1014"/>
        </w:numPr>
        <w:pStyle w:val="Compact"/>
      </w:pPr>
      <w:r>
        <w:rPr>
          <w:bCs/>
          <w:b/>
        </w:rPr>
        <w:t xml:space="preserve">Prensa polaca</w:t>
      </w:r>
      <w:r>
        <w:t xml:space="preserve"> </w:t>
      </w:r>
      <w:r>
        <w:t xml:space="preserve">(Parkiet, Bankier, Strefa Inwestorów; agosto-octubre): resultados «sólidos y algo mejores de lo esperado», pero la acción cayó un 5 % el día siguiente por toma de beneficios. El precio ya estaba por encima del objetivo medio de los analistas. Titulares de récord: la capitalización pasó de 15.000 M PLN [5][12].</w:t>
      </w:r>
    </w:p>
    <w:p>
      <w:pPr>
        <w:numPr>
          <w:ilvl w:val="0"/>
          <w:numId w:val="1014"/>
        </w:numPr>
        <w:pStyle w:val="Compact"/>
      </w:pPr>
      <w:r>
        <w:rPr>
          <w:bCs/>
          <w:b/>
        </w:rPr>
        <w:t xml:space="preserve">Analistas</w:t>
      </w:r>
      <w:r>
        <w:t xml:space="preserve">: suben objetivos con fuerza (Citi 7.050 PLN), pero DM BOŚ bajó a mantener en julio porque el precio ya recogía su valoración [6][7][8].</w:t>
      </w:r>
    </w:p>
    <w:p>
      <w:pPr>
        <w:numPr>
          <w:ilvl w:val="0"/>
          <w:numId w:val="1014"/>
        </w:numPr>
        <w:pStyle w:val="Compact"/>
      </w:pPr>
      <w:r>
        <w:rPr>
          <w:bCs/>
          <w:b/>
        </w:rPr>
        <w:t xml:space="preserve">Reddit, StockTwits y Rankia</w:t>
      </w:r>
      <w:r>
        <w:t xml:space="preserve">: no hay conversación relevante. Es una empresa mediana polaca, poco seguida fuera de Polonia (laguna).</w:t>
      </w:r>
    </w:p>
    <w:p>
      <w:pPr>
        <w:numPr>
          <w:ilvl w:val="0"/>
          <w:numId w:val="1014"/>
        </w:numPr>
        <w:pStyle w:val="Compact"/>
      </w:pPr>
      <w:r>
        <w:rPr>
          <w:bCs/>
          <w:b/>
        </w:rPr>
        <w:t xml:space="preserve">Lectura</w:t>
      </w:r>
      <w:r>
        <w:t xml:space="preserve">: optimismo de fondo con dudas por el precio. No hay euforia. Los datos acompañan: tarjetas +16 % y beneficio +55 % en el 2T.</w:t>
      </w:r>
    </w:p>
    <w:bookmarkEnd w:id="29"/>
    <w:bookmarkStart w:id="30" w:name="riesgos-y-qué-rompería-la-tesis"/>
    <w:p>
      <w:pPr>
        <w:pStyle w:val="Heading2"/>
      </w:pPr>
      <w:r>
        <w:t xml:space="preserve">11. Riesgos y qué rompería la tesis</w:t>
      </w:r>
    </w:p>
    <w:p>
      <w:pPr>
        <w:pStyle w:val="FirstParagraph"/>
      </w:pPr>
      <w:r>
        <w:rPr>
          <w:bCs/>
          <w:b/>
        </w:rPr>
        <w:t xml:space="preserve">Alertas del método (v11)</w:t>
      </w:r>
      <w:r>
        <w:t xml:space="preserve">:</w:t>
      </w:r>
      <w:r>
        <w:t xml:space="preserve"> </w:t>
      </w:r>
      <w:r>
        <w:t xml:space="preserve">1.</w:t>
      </w:r>
      <w:r>
        <w:t xml:space="preserve"> </w:t>
      </w:r>
      <w:r>
        <w:rPr>
          <w:bCs/>
          <w:b/>
        </w:rPr>
        <w:t xml:space="preserve">Proyección mecánica 1,2 veces mayor que la mía</w:t>
      </w:r>
      <w:r>
        <w:t xml:space="preserve"> </w:t>
      </w:r>
      <w:r>
        <w:t xml:space="preserve">(9.179 M frente a 7.470 M): la regla arrastra el salto de la compra de MAC. No debilita la señal, porque la v11 ya usa mi proyección, que coincide con el consenso. Pero la v12, que mide con el crecimiento orgánico, da Mantener: la señal es frágil.</w:t>
      </w:r>
      <w:r>
        <w:t xml:space="preserve"> </w:t>
      </w:r>
      <w:r>
        <w:t xml:space="preserve">2.</w:t>
      </w:r>
      <w:r>
        <w:t xml:space="preserve"> </w:t>
      </w:r>
      <w:r>
        <w:rPr>
          <w:bCs/>
          <w:b/>
        </w:rPr>
        <w:t xml:space="preserve">Sin guía anual de ventas</w:t>
      </w:r>
      <w:r>
        <w:t xml:space="preserve">: la empresa solo da volúmenes de tarjetas y aperturas. Debilita poco, porque el consenso y mi proyección parten de esos volúmenes.</w:t>
      </w:r>
    </w:p>
    <w:p>
      <w:pPr>
        <w:pStyle w:val="BodyText"/>
      </w:pPr>
      <w:r>
        <w:rPr>
          <w:bCs/>
          <w:b/>
        </w:rPr>
        <w:t xml:space="preserve">Lo que más pesa en contra de la señal</w:t>
      </w:r>
      <w:r>
        <w:t xml:space="preserve">:</w:t>
      </w:r>
      <w:r>
        <w:t xml:space="preserve"> </w:t>
      </w:r>
      <w:r>
        <w:t xml:space="preserve">-</w:t>
      </w:r>
      <w:r>
        <w:t xml:space="preserve"> </w:t>
      </w:r>
      <w:r>
        <w:rPr>
          <w:bCs/>
          <w:b/>
        </w:rPr>
        <w:t xml:space="preserve">Margen corto</w:t>
      </w:r>
      <w:r>
        <w:t xml:space="preserve">: +6,8 % al cierre y +4,5 % al precio de esta mañana. Con probabilidades 35/50/15 (prueba de robustez), la ponderada pasa a −3,4 % y la señal, a Mantener.</w:t>
      </w:r>
      <w:r>
        <w:t xml:space="preserve"> </w:t>
      </w:r>
      <w:r>
        <w:t xml:space="preserve">-</w:t>
      </w:r>
      <w:r>
        <w:t xml:space="preserve"> </w:t>
      </w:r>
      <w:r>
        <w:rPr>
          <w:bCs/>
          <w:b/>
        </w:rPr>
        <w:t xml:space="preserve">Múltiplo por encima de su historia</w:t>
      </w:r>
      <w:r>
        <w:t xml:space="preserve">: 10,4 veces frente a 8,3 de mediana, después de subir un 69 % en un año. Es lo que el filtro previo quería evitar en las rentables.</w:t>
      </w:r>
      <w:r>
        <w:t xml:space="preserve"> </w:t>
      </w:r>
      <w:r>
        <w:t xml:space="preserve">-</w:t>
      </w:r>
      <w:r>
        <w:t xml:space="preserve"> </w:t>
      </w:r>
      <w:r>
        <w:rPr>
          <w:bCs/>
          <w:b/>
        </w:rPr>
        <w:t xml:space="preserve">Turquía</w:t>
      </w:r>
      <w:r>
        <w:t xml:space="preserve">: el 17 % de las ventas y la mayor parte del fondo de comercio de la compra de MAC, en un país con inflación alta y una moneda que se devalúa. Las cuentas con hiperinflación hacen difícil ver el beneficio real.</w:t>
      </w:r>
      <w:r>
        <w:t xml:space="preserve"> </w:t>
      </w:r>
      <w:r>
        <w:t xml:space="preserve">-</w:t>
      </w:r>
      <w:r>
        <w:t xml:space="preserve"> </w:t>
      </w:r>
      <w:r>
        <w:rPr>
          <w:bCs/>
          <w:b/>
        </w:rPr>
        <w:t xml:space="preserve">Polonia madura</w:t>
      </w:r>
      <w:r>
        <w:t xml:space="preserve">: las tarjetas en Polonia crecen un 11 % y la empresa espera menos altas en 2026 que en 2025. Si el empleo se enfría, las empresas recortan beneficios sociales.</w:t>
      </w:r>
      <w:r>
        <w:t xml:space="preserve"> </w:t>
      </w:r>
      <w:r>
        <w:t xml:space="preserve">-</w:t>
      </w:r>
      <w:r>
        <w:t xml:space="preserve"> </w:t>
      </w:r>
      <w:r>
        <w:rPr>
          <w:bCs/>
          <w:b/>
        </w:rPr>
        <w:t xml:space="preserve">Regulación</w:t>
      </w:r>
      <w:r>
        <w:t xml:space="preserve">: el expediente de la UOKiK por la venta de abonos puede acabar en multa y en cambios en la renovación automática.</w:t>
      </w:r>
      <w:r>
        <w:t xml:space="preserve"> </w:t>
      </w:r>
      <w:r>
        <w:t xml:space="preserve">-</w:t>
      </w:r>
      <w:r>
        <w:t xml:space="preserve"> </w:t>
      </w:r>
      <w:r>
        <w:rPr>
          <w:bCs/>
          <w:b/>
        </w:rPr>
        <w:t xml:space="preserve">Riesgo de IA: bajo.</w:t>
      </w:r>
      <w:r>
        <w:t xml:space="preserve"> </w:t>
      </w:r>
      <w:r>
        <w:t xml:space="preserve">Vende acceso físico a gimnasios: un modelo de IA no sustituye hacer ejercicio. Como mucho, la IA le ayuda a bajar costes de atención y de ventas.</w:t>
      </w:r>
    </w:p>
    <w:p>
      <w:pPr>
        <w:pStyle w:val="BodyText"/>
      </w:pPr>
      <w:r>
        <w:rPr>
          <w:bCs/>
          <w:b/>
        </w:rPr>
        <w:t xml:space="preserve">Señales de venta concretas</w:t>
      </w:r>
      <w:r>
        <w:t xml:space="preserve">: dos trimestres seguidos con las ventas sin compras creciendo menos del 12 %; caída de tarjetas en Polonia fuera de la temporada de verano; pérdidas en Turquía sin contar la hiperinflación; deuda neta sin alquileres por encima de 2 veces el EBITDA; o una ponderada de −10 % o peor con el objetivo de este informe (precio por encima de unos 6.490 PLN).</w:t>
      </w:r>
    </w:p>
    <w:bookmarkEnd w:id="30"/>
    <w:bookmarkStart w:id="31" w:name="catalizadores-con-fecha"/>
    <w:p>
      <w:pPr>
        <w:pStyle w:val="Heading2"/>
      </w:pPr>
      <w:r>
        <w:t xml:space="preserve">12. Catalizadores con fecha</w:t>
      </w:r>
    </w:p>
    <w:p>
      <w:pPr>
        <w:numPr>
          <w:ilvl w:val="0"/>
          <w:numId w:val="1015"/>
        </w:numPr>
        <w:pStyle w:val="Compact"/>
      </w:pPr>
      <w:r>
        <w:rPr>
          <w:bCs/>
          <w:b/>
        </w:rPr>
        <w:t xml:space="preserve">19-nov-2026</w:t>
      </w:r>
      <w:r>
        <w:t xml:space="preserve">: resultados del 3T26. Lo que hay que mirar: crecimiento sin compras (≥ 20 %), margen en Polonia y beneficio de MAC.</w:t>
      </w:r>
    </w:p>
    <w:p>
      <w:pPr>
        <w:numPr>
          <w:ilvl w:val="0"/>
          <w:numId w:val="1015"/>
        </w:numPr>
        <w:pStyle w:val="Compact"/>
      </w:pPr>
      <w:r>
        <w:rPr>
          <w:bCs/>
          <w:b/>
        </w:rPr>
        <w:t xml:space="preserve">Diciembre de 2026 y marzo de 2027</w:t>
      </w:r>
      <w:r>
        <w:t xml:space="preserve">: revisiones del WIG20; con unos 18.000 M PLN de capitalización es candidata (sin confirmar).</w:t>
      </w:r>
    </w:p>
    <w:p>
      <w:pPr>
        <w:numPr>
          <w:ilvl w:val="0"/>
          <w:numId w:val="1015"/>
        </w:numPr>
        <w:pStyle w:val="Compact"/>
      </w:pPr>
      <w:r>
        <w:rPr>
          <w:bCs/>
          <w:b/>
        </w:rPr>
        <w:t xml:space="preserve">Marzo de 2027</w:t>
      </w:r>
      <w:r>
        <w:t xml:space="preserve">: resultados del año y objetivos de tarjetas y aperturas de 2027.</w:t>
      </w:r>
    </w:p>
    <w:p>
      <w:pPr>
        <w:numPr>
          <w:ilvl w:val="0"/>
          <w:numId w:val="1015"/>
        </w:numPr>
        <w:pStyle w:val="Compact"/>
      </w:pPr>
      <w:r>
        <w:rPr>
          <w:bCs/>
          <w:b/>
        </w:rPr>
        <w:t xml:space="preserve">Sin fecha</w:t>
      </w:r>
      <w:r>
        <w:t xml:space="preserve">: decisión de la UOKiK sobre la venta de abonos.</w:t>
      </w:r>
    </w:p>
    <w:bookmarkEnd w:id="31"/>
    <w:bookmarkStart w:id="32" w:name="encaje-en-cartera"/>
    <w:p>
      <w:pPr>
        <w:pStyle w:val="Heading2"/>
      </w:pPr>
      <w:r>
        <w:t xml:space="preserve">13. Encaje en cartera</w:t>
      </w:r>
    </w:p>
    <w:p>
      <w:pPr>
        <w:numPr>
          <w:ilvl w:val="0"/>
          <w:numId w:val="1016"/>
        </w:numPr>
        <w:pStyle w:val="Compact"/>
      </w:pPr>
      <w:r>
        <w:rPr>
          <w:bCs/>
          <w:b/>
        </w:rPr>
        <w:t xml:space="preserve">Bolsillo growth lleno</w:t>
      </w:r>
      <w:r>
        <w:t xml:space="preserve"> </w:t>
      </w:r>
      <w:r>
        <w:t xml:space="preserve">(~20 %): Nu +22 %, Axon +35 %, Shopify +19 %, Snowflake +16 % y Samsara +17 % (ponderada al precio actual con la v11). Sin liquidez libre: solo cabe sustituir.</w:t>
      </w:r>
    </w:p>
    <w:p>
      <w:pPr>
        <w:numPr>
          <w:ilvl w:val="0"/>
          <w:numId w:val="1016"/>
        </w:numPr>
        <w:pStyle w:val="Compact"/>
      </w:pPr>
      <w:r>
        <w:rPr>
          <w:bCs/>
          <w:b/>
        </w:rPr>
        <w:t xml:space="preserve">¿Sustituye a alguna?</w:t>
      </w:r>
      <w:r>
        <w:t xml:space="preserve"> </w:t>
      </w:r>
      <w:r>
        <w:t xml:space="preserve">No. Benefit da +6,8 % al cierre y +4,5 % al precio de esta mañana, con convicción baja. La más floja de las cinco, Snowflake, da +16 % con convicción media. Rinde menos y con menos convicción.</w:t>
      </w:r>
    </w:p>
    <w:p>
      <w:pPr>
        <w:numPr>
          <w:ilvl w:val="0"/>
          <w:numId w:val="1016"/>
        </w:numPr>
        <w:pStyle w:val="Compact"/>
      </w:pPr>
      <w:r>
        <w:rPr>
          <w:bCs/>
          <w:b/>
        </w:rPr>
        <w:t xml:space="preserve">Lo que sí aportaría</w:t>
      </w:r>
      <w:r>
        <w:t xml:space="preserve">: diversificación. Las cinco son empresas de EE. UU. o Latinoamérica ligadas a la tecnología; Benefit es consumo de servicios en Polonia y Turquía, en zlotys, y no depende de la IA. Alphabet se vende mañana y no cuenta como exposición a IA, pero eso no cambia la conclusión: diversificar no compensa una rentabilidad tan corta.</w:t>
      </w:r>
    </w:p>
    <w:p>
      <w:pPr>
        <w:numPr>
          <w:ilvl w:val="0"/>
          <w:numId w:val="1016"/>
        </w:numPr>
        <w:pStyle w:val="Compact"/>
      </w:pPr>
      <w:r>
        <w:rPr>
          <w:bCs/>
          <w:b/>
        </w:rPr>
        <w:t xml:space="preserve">Puesto de suplente: duodécima.</w:t>
      </w:r>
      <w:r>
        <w:t xml:space="preserve"> </w:t>
      </w:r>
      <w:r>
        <w:t xml:space="preserve">Orden: MongoDB, Toast, Zscaler, Rubrik, dLocal, Dexcom, argenx, Datadog, Reddit, Saab, Natera,</w:t>
      </w:r>
      <w:r>
        <w:t xml:space="preserve"> </w:t>
      </w:r>
      <w:r>
        <w:rPr>
          <w:bCs/>
          <w:b/>
        </w:rPr>
        <w:t xml:space="preserve">Benefit Systems</w:t>
      </w:r>
      <w:r>
        <w:t xml:space="preserve">, Ypsomed. Va detrás de Natera (+8 %) porque rinde menos y hoy cotiza por encima de su «compra hasta». Va delante de Ypsomed porque esta está en el límite de la puntuación (60,3) y también por encima de su límite.</w:t>
      </w:r>
    </w:p>
    <w:p>
      <w:pPr>
        <w:numPr>
          <w:ilvl w:val="0"/>
          <w:numId w:val="1016"/>
        </w:numPr>
        <w:pStyle w:val="Compact"/>
      </w:pPr>
      <w:r>
        <w:rPr>
          <w:bCs/>
          <w:b/>
        </w:rPr>
        <w:t xml:space="preserve">Si entra algún día</w:t>
      </w:r>
      <w:r>
        <w:t xml:space="preserve">: 3,5 % en dos tramos. La mitad por debajo de 5.544 PLN y la otra mitad tras los resultados del 3T, si las ventas sin compras crecen al menos un 20 % y Turquía sigue ganando dinero sin contar la hiperinflación.</w:t>
      </w:r>
    </w:p>
    <w:bookmarkEnd w:id="32"/>
    <w:bookmarkStart w:id="33" w:name="puntuación"/>
    <w:p>
      <w:pPr>
        <w:pStyle w:val="Heading2"/>
      </w:pPr>
      <w:r>
        <w:t xml:space="preserve">14. Puntuación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Bloque</w:t>
            </w:r>
          </w:p>
        </w:tc>
        <w:tc>
          <w:tcPr/>
          <w:p>
            <w:pPr>
              <w:pStyle w:val="Compact"/>
              <w:jc w:val="left"/>
            </w:pPr>
            <w:r>
              <w:t xml:space="preserve">Puntos</w:t>
            </w:r>
          </w:p>
        </w:tc>
        <w:tc>
          <w:tcPr/>
          <w:p>
            <w:pPr>
              <w:pStyle w:val="Compact"/>
              <w:jc w:val="left"/>
            </w:pPr>
            <w:r>
              <w:t xml:space="preserve">Máximo</w:t>
            </w:r>
          </w:p>
        </w:tc>
      </w:tr>
      <w:tr>
        <w:tc>
          <w:tcPr/>
          <w:p>
            <w:pPr>
              <w:pStyle w:val="Compact"/>
              <w:jc w:val="left"/>
            </w:pPr>
            <w:r>
              <w:t xml:space="preserve">A. Crecimiento</w:t>
            </w:r>
          </w:p>
        </w:tc>
        <w:tc>
          <w:tcPr/>
          <w:p>
            <w:pPr>
              <w:pStyle w:val="Compact"/>
              <w:jc w:val="left"/>
            </w:pPr>
            <w:r>
              <w:t xml:space="preserve">16,7</w:t>
            </w:r>
          </w:p>
        </w:tc>
        <w:tc>
          <w:tcPr/>
          <w:p>
            <w:pPr>
              <w:pStyle w:val="Compact"/>
              <w:jc w:val="left"/>
            </w:pPr>
            <w:r>
              <w:t xml:space="preserve">25</w:t>
            </w:r>
          </w:p>
        </w:tc>
      </w:tr>
      <w:tr>
        <w:tc>
          <w:tcPr/>
          <w:p>
            <w:pPr>
              <w:pStyle w:val="Compact"/>
              <w:jc w:val="left"/>
            </w:pPr>
            <w:r>
              <w:t xml:space="preserve">B. Mercado y tecnología</w:t>
            </w:r>
          </w:p>
        </w:tc>
        <w:tc>
          <w:tcPr/>
          <w:p>
            <w:pPr>
              <w:pStyle w:val="Compact"/>
              <w:jc w:val="left"/>
            </w:pPr>
            <w:r>
              <w:t xml:space="preserve">13,3</w:t>
            </w:r>
          </w:p>
        </w:tc>
        <w:tc>
          <w:tcPr/>
          <w:p>
            <w:pPr>
              <w:pStyle w:val="Compact"/>
              <w:jc w:val="left"/>
            </w:pPr>
            <w:r>
              <w:t xml:space="preserve">20</w:t>
            </w:r>
          </w:p>
        </w:tc>
      </w:tr>
      <w:tr>
        <w:tc>
          <w:tcPr/>
          <w:p>
            <w:pPr>
              <w:pStyle w:val="Compact"/>
              <w:jc w:val="left"/>
            </w:pPr>
            <w:r>
              <w:t xml:space="preserve">C. Cambio de tendencia</w:t>
            </w:r>
          </w:p>
        </w:tc>
        <w:tc>
          <w:tcPr/>
          <w:p>
            <w:pPr>
              <w:pStyle w:val="Compact"/>
              <w:jc w:val="left"/>
            </w:pPr>
            <w:r>
              <w:t xml:space="preserve">15</w:t>
            </w:r>
          </w:p>
        </w:tc>
        <w:tc>
          <w:tcPr/>
          <w:p>
            <w:pPr>
              <w:pStyle w:val="Compact"/>
              <w:jc w:val="left"/>
            </w:pPr>
            <w:r>
              <w:t xml:space="preserve">20</w:t>
            </w:r>
          </w:p>
        </w:tc>
      </w:tr>
      <w:tr>
        <w:tc>
          <w:tcPr/>
          <w:p>
            <w:pPr>
              <w:pStyle w:val="Compact"/>
              <w:jc w:val="left"/>
            </w:pPr>
            <w:r>
              <w:t xml:space="preserve">D. Economía unitaria</w:t>
            </w:r>
          </w:p>
        </w:tc>
        <w:tc>
          <w:tcPr/>
          <w:p>
            <w:pPr>
              <w:pStyle w:val="Compact"/>
              <w:jc w:val="left"/>
            </w:pPr>
            <w:r>
              <w:t xml:space="preserve">9</w:t>
            </w:r>
          </w:p>
        </w:tc>
        <w:tc>
          <w:tcPr/>
          <w:p>
            <w:pPr>
              <w:pStyle w:val="Compact"/>
              <w:jc w:val="left"/>
            </w:pPr>
            <w:r>
              <w:t xml:space="preserve">15</w:t>
            </w:r>
          </w:p>
        </w:tc>
      </w:tr>
      <w:tr>
        <w:tc>
          <w:tcPr/>
          <w:p>
            <w:pPr>
              <w:pStyle w:val="Compact"/>
              <w:jc w:val="left"/>
            </w:pPr>
            <w:r>
              <w:t xml:space="preserve">E. Caja y dilución</w:t>
            </w:r>
          </w:p>
        </w:tc>
        <w:tc>
          <w:tcPr/>
          <w:p>
            <w:pPr>
              <w:pStyle w:val="Compact"/>
              <w:jc w:val="left"/>
            </w:pPr>
            <w:r>
              <w:t xml:space="preserve">10</w:t>
            </w:r>
          </w:p>
        </w:tc>
        <w:tc>
          <w:tcPr/>
          <w:p>
            <w:pPr>
              <w:pStyle w:val="Compact"/>
              <w:jc w:val="left"/>
            </w:pPr>
            <w:r>
              <w:t xml:space="preserve">10</w:t>
            </w:r>
          </w:p>
        </w:tc>
      </w:tr>
      <w:tr>
        <w:tc>
          <w:tcPr/>
          <w:p>
            <w:pPr>
              <w:pStyle w:val="Compact"/>
              <w:jc w:val="left"/>
            </w:pPr>
            <w:r>
              <w:t xml:space="preserve">F. Ejecución y dirección</w:t>
            </w:r>
          </w:p>
        </w:tc>
        <w:tc>
          <w:tcPr/>
          <w:p>
            <w:pPr>
              <w:pStyle w:val="Compact"/>
              <w:jc w:val="left"/>
            </w:pPr>
            <w:r>
              <w:t xml:space="preserve">8</w:t>
            </w:r>
          </w:p>
        </w:tc>
        <w:tc>
          <w:tcPr/>
          <w:p>
            <w:pPr>
              <w:pStyle w:val="Compact"/>
              <w:jc w:val="left"/>
            </w:pPr>
            <w:r>
              <w:t xml:space="preserve">10</w:t>
            </w:r>
          </w:p>
        </w:tc>
      </w:tr>
      <w:tr>
        <w:tc>
          <w:tcPr/>
          <w:p>
            <w:pPr>
              <w:pStyle w:val="Compact"/>
              <w:jc w:val="left"/>
            </w:pPr>
            <w:r>
              <w:rPr>
                <w:bCs/>
                <w:b/>
              </w:rPr>
              <w:t xml:space="preserve">Total</w:t>
            </w:r>
          </w:p>
        </w:tc>
        <w:tc>
          <w:tcPr/>
          <w:p>
            <w:pPr>
              <w:pStyle w:val="Compact"/>
              <w:jc w:val="left"/>
            </w:pPr>
            <w:r>
              <w:rPr>
                <w:bCs/>
                <w:b/>
              </w:rPr>
              <w:t xml:space="preserve">72</w:t>
            </w:r>
          </w:p>
        </w:tc>
        <w:tc>
          <w:tcPr/>
          <w:p>
            <w:pPr>
              <w:pStyle w:val="Compact"/>
              <w:jc w:val="left"/>
            </w:pPr>
            <w:r>
              <w:rPr>
                <w:bCs/>
                <w:b/>
              </w:rPr>
              <w:t xml:space="preserve">100</w:t>
            </w:r>
          </w:p>
        </w:tc>
      </w:tr>
    </w:tbl>
    <w:p>
      <w:pPr>
        <w:pStyle w:val="BodyText"/>
      </w:pPr>
      <w:r>
        <w:rPr>
          <w:bCs/>
          <w:b/>
        </w:rPr>
        <w:t xml:space="preserve">Prueba de robustez</w:t>
      </w:r>
      <w:r>
        <w:t xml:space="preserve"> </w:t>
      </w:r>
      <w:r>
        <w:t xml:space="preserve">(</w:t>
      </w:r>
      <w:r>
        <w:rPr>
          <w:rStyle w:val="VerbatimChar"/>
        </w:rPr>
        <w:t xml:space="preserve">herramientas/robustez-growth.mjs --precios</w:t>
      </w:r>
      <w:r>
        <w:t xml:space="preserve">):</w:t>
      </w:r>
      <w:r>
        <w:t xml:space="preserve"> </w:t>
      </w:r>
      <w:r>
        <w:rPr>
          <w:bCs/>
          <w:b/>
        </w:rPr>
        <w:t xml:space="preserve">SÓLIDA</w:t>
      </w:r>
      <w:r>
        <w:t xml:space="preserve">, Comprar con convicción baja, posición pequeña y en tramos. La herramienta buscó el símbolo «BFT», que no existe en Yahoo, y no leyó el precio. Se pasó sobre una copia de</w:t>
      </w:r>
      <w:r>
        <w:t xml:space="preserve"> </w:t>
      </w:r>
      <w:r>
        <w:rPr>
          <w:rStyle w:val="VerbatimChar"/>
        </w:rPr>
        <w:t xml:space="preserve">datos.json</w:t>
      </w:r>
      <w:r>
        <w:t xml:space="preserve"> </w:t>
      </w:r>
      <w:r>
        <w:t xml:space="preserve">con el símbolo correcto (BFT.WA), sin tocar la herramienta. Después se añadió</w:t>
      </w:r>
      <w:r>
        <w:t xml:space="preserve"> </w:t>
      </w:r>
      <w:r>
        <w:rPr>
          <w:rStyle w:val="VerbatimChar"/>
        </w:rPr>
        <w:t xml:space="preserve">simbolo_yahoo: BFT.WA</w:t>
      </w:r>
      <w:r>
        <w:t xml:space="preserve"> </w:t>
      </w:r>
      <w:r>
        <w:t xml:space="preserve">al</w:t>
      </w:r>
      <w:r>
        <w:t xml:space="preserve"> </w:t>
      </w:r>
      <w:r>
        <w:rPr>
          <w:rStyle w:val="VerbatimChar"/>
        </w:rPr>
        <w:t xml:space="preserve">datos.json</w:t>
      </w:r>
      <w:r>
        <w:t xml:space="preserve"> </w:t>
      </w:r>
      <w:r>
        <w:t xml:space="preserve">del informe, y ya lo lee bien. Avisos:</w:t>
      </w:r>
      <w:r>
        <w:t xml:space="preserve"> </w:t>
      </w:r>
      <w:r>
        <w:t xml:space="preserve">- el objetivo se mueve con el precio si se recalcula, así que se deja fijo en 5.721,5 PLN y el límite es 5.544,1 PLN;</w:t>
      </w:r>
      <w:r>
        <w:t xml:space="preserve"> </w:t>
      </w:r>
      <w:r>
        <w:t xml:space="preserve">- no hay guía, así que la v9 no recorta;</w:t>
      </w:r>
      <w:r>
        <w:t xml:space="preserve"> </w:t>
      </w:r>
      <w:r>
        <w:t xml:space="preserve">- el bajista es del −48 %;</w:t>
      </w:r>
      <w:r>
        <w:t xml:space="preserve"> </w:t>
      </w:r>
      <w:r>
        <w:t xml:space="preserve">- la convicción es baja;</w:t>
      </w:r>
      <w:r>
        <w:t xml:space="preserve"> </w:t>
      </w:r>
      <w:r>
        <w:t xml:space="preserve">- con 35/50/15 pasa a Mantener;</w:t>
      </w:r>
      <w:r>
        <w:t xml:space="preserve"> </w:t>
      </w:r>
      <w:r>
        <w:t xml:space="preserve">- al precio de hoy (5.570 PLN), con el objetivo fijo, da +4,5 % y Mantener.</w:t>
      </w:r>
    </w:p>
    <w:bookmarkEnd w:id="33"/>
    <w:bookmarkStart w:id="34" w:name="fuentes"/>
    <w:p>
      <w:pPr>
        <w:pStyle w:val="Heading2"/>
      </w:pPr>
      <w:r>
        <w:t xml:space="preserve">Fuentes</w:t>
      </w:r>
    </w:p>
    <w:p>
      <w:pPr>
        <w:numPr>
          <w:ilvl w:val="0"/>
          <w:numId w:val="1017"/>
        </w:numPr>
        <w:pStyle w:val="Compact"/>
      </w:pPr>
      <w:r>
        <w:t xml:space="preserve">Benefit Systems, «Results of Benefit Systems Group for 2Q 2026» (presentación, 20-ago-2026), corp.benefitsystems.pl: ventas, EBITDA, segmentos, MAC, tarjetas, balance, flujos, accionistas, pagos aplazados y perspectivas.</w:t>
      </w:r>
    </w:p>
    <w:p>
      <w:pPr>
        <w:numPr>
          <w:ilvl w:val="0"/>
          <w:numId w:val="1017"/>
        </w:numPr>
        <w:pStyle w:val="Compact"/>
      </w:pPr>
      <w:r>
        <w:t xml:space="preserve">Benefit Systems, presentaciones del 1T26 (14-may-2026) y del 4T25 (20-mar-2026): series trimestrales de 2023 a 2025, crecimiento sin MAC, fecha de consolidación de MAC y ampliación de capital.</w:t>
      </w:r>
    </w:p>
    <w:p>
      <w:pPr>
        <w:numPr>
          <w:ilvl w:val="0"/>
          <w:numId w:val="1017"/>
        </w:numPr>
        <w:pStyle w:val="Compact"/>
      </w:pPr>
      <w:r>
        <w:t xml:space="preserve">Benefit Systems, notas de prensa (biuroprasowe.benefitsystems.pl), resultados del 3T25 (19-nov-2025).</w:t>
      </w:r>
    </w:p>
    <w:p>
      <w:pPr>
        <w:numPr>
          <w:ilvl w:val="0"/>
          <w:numId w:val="1017"/>
        </w:numPr>
        <w:pStyle w:val="Compact"/>
      </w:pPr>
      <w:r>
        <w:t xml:space="preserve">MarketScreener, previsiones de ventas y EBITDA de 2026 a 2028, 9 analistas, objetivo medio (consultado el 15-oct-2026).</w:t>
      </w:r>
    </w:p>
    <w:p>
      <w:pPr>
        <w:numPr>
          <w:ilvl w:val="0"/>
          <w:numId w:val="1017"/>
        </w:numPr>
        <w:pStyle w:val="Compact"/>
      </w:pPr>
      <w:r>
        <w:t xml:space="preserve">Bankier.pl / PAP Biznes (20-ago-2026), resultados del 2T26 frente al consenso; Parkiet (21-ago-2026), caída por toma de beneficios.</w:t>
      </w:r>
    </w:p>
    <w:p>
      <w:pPr>
        <w:numPr>
          <w:ilvl w:val="0"/>
          <w:numId w:val="1017"/>
        </w:numPr>
        <w:pStyle w:val="Compact"/>
      </w:pPr>
      <w:r>
        <w:t xml:space="preserve">Strefa Inwestorów y Bankier.pl (21-jul-2026): DM BOŚ sube el objetivo a 5.000 PLN y baja a mantener; BiznesRadar, recomendaciones.</w:t>
      </w:r>
    </w:p>
    <w:p>
      <w:pPr>
        <w:numPr>
          <w:ilvl w:val="0"/>
          <w:numId w:val="1017"/>
        </w:numPr>
        <w:pStyle w:val="Compact"/>
      </w:pPr>
      <w:r>
        <w:t xml:space="preserve">Investing.com, recomendaciones (Citi y JPMorgan).</w:t>
      </w:r>
    </w:p>
    <w:p>
      <w:pPr>
        <w:numPr>
          <w:ilvl w:val="0"/>
          <w:numId w:val="1017"/>
        </w:numPr>
        <w:pStyle w:val="Compact"/>
      </w:pPr>
      <w:r>
        <w:t xml:space="preserve">ad-hoc-news.de (13-oct-2026): tarjetas al cierre del 3T26, objetivos de Citi y JPMorgan, índices.</w:t>
      </w:r>
    </w:p>
    <w:p>
      <w:pPr>
        <w:numPr>
          <w:ilvl w:val="0"/>
          <w:numId w:val="1017"/>
        </w:numPr>
        <w:pStyle w:val="Compact"/>
      </w:pPr>
      <w:r>
        <w:t xml:space="preserve">Yahoo Finance chart API (BFT.WA, ETFBM40TR.WA y ETFBW20TR.WA), leída el 15-oct a las 07:38 UTC; segunda fuente del cierre: BiznesRadar, cotizaciones históricas (5.450 PLN el 14-oct).</w:t>
      </w:r>
    </w:p>
    <w:p>
      <w:pPr>
        <w:numPr>
          <w:ilvl w:val="0"/>
          <w:numId w:val="1017"/>
        </w:numPr>
        <w:pStyle w:val="Compact"/>
      </w:pPr>
      <w:r>
        <w:t xml:space="preserve">BiznesRadar (2025): compra de MAC, valor de unos 392 M USD.</w:t>
      </w:r>
    </w:p>
    <w:p>
      <w:pPr>
        <w:numPr>
          <w:ilvl w:val="0"/>
          <w:numId w:val="1017"/>
        </w:numPr>
        <w:pStyle w:val="Compact"/>
      </w:pPr>
      <w:r>
        <w:t xml:space="preserve">Wiadomości Handlowe e inwestycje.pl (22-ene-2026): cargos de la UOKiK; Prawo.pl: multa de 2021 confirmada.</w:t>
      </w:r>
    </w:p>
    <w:p>
      <w:pPr>
        <w:numPr>
          <w:ilvl w:val="0"/>
          <w:numId w:val="1017"/>
        </w:numPr>
        <w:pStyle w:val="Compact"/>
      </w:pPr>
      <w:r>
        <w:t xml:space="preserve">Pracasport.pl (2026): capitalización récord; búsqueda en Reddit, StockTwits y Rankia sin conversación relevante.</w:t>
      </w:r>
    </w:p>
    <w:p>
      <w:pPr>
        <w:numPr>
          <w:ilvl w:val="0"/>
          <w:numId w:val="1017"/>
        </w:numPr>
        <w:pStyle w:val="Compact"/>
      </w:pPr>
      <w:r>
        <w:t xml:space="preserve">De memoria, sin verificar en esta sesión: múltiplos de los comparables y mercado alcanzable.</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821">
    <w:nsid w:val="A99821"/>
    <w:multiLevelType w:val="multilevel"/>
    <w:lvl w:ilvl="0">
      <w:start w:val="1"/>
      <w:numFmt w:val="upperLetter"/>
      <w:lvlText w:val="%1)"/>
      <w:lvlJc w:val="left"/>
      <w:pPr>
        <w:ind w:left="720" w:hanging="480"/>
      </w:pPr>
    </w:lvl>
    <w:lvl w:ilvl="1">
      <w:start w:val="1"/>
      <w:numFmt w:val="upperLetter"/>
      <w:lvlText w:val="%2)"/>
      <w:lvlJc w:val="left"/>
      <w:pPr>
        <w:ind w:left="1440" w:hanging="480"/>
      </w:pPr>
    </w:lvl>
    <w:lvl w:ilvl="2">
      <w:start w:val="1"/>
      <w:numFmt w:val="upperLetter"/>
      <w:lvlText w:val="%3)"/>
      <w:lvlJc w:val="left"/>
      <w:pPr>
        <w:ind w:left="2160" w:hanging="480"/>
      </w:pPr>
    </w:lvl>
    <w:lvl w:ilvl="3">
      <w:start w:val="1"/>
      <w:numFmt w:val="upperLetter"/>
      <w:lvlText w:val="%4)"/>
      <w:lvlJc w:val="left"/>
      <w:pPr>
        <w:ind w:left="2880" w:hanging="480"/>
      </w:pPr>
    </w:lvl>
    <w:lvl w:ilvl="4">
      <w:start w:val="1"/>
      <w:numFmt w:val="upperLetter"/>
      <w:lvlText w:val="%5)"/>
      <w:lvlJc w:val="left"/>
      <w:pPr>
        <w:ind w:left="3600" w:hanging="480"/>
      </w:pPr>
    </w:lvl>
    <w:lvl w:ilvl="5">
      <w:start w:val="1"/>
      <w:numFmt w:val="upperLetter"/>
      <w:lvlText w:val="%6)"/>
      <w:lvlJc w:val="left"/>
      <w:pPr>
        <w:ind w:left="4320" w:hanging="480"/>
      </w:pPr>
    </w:lvl>
    <w:lvl w:ilvl="6">
      <w:start w:val="1"/>
      <w:numFmt w:val="upperLetter"/>
      <w:lvlText w:val="%7)"/>
      <w:lvlJc w:val="left"/>
      <w:pPr>
        <w:ind w:left="5040" w:hanging="480"/>
      </w:pPr>
    </w:lvl>
    <w:lvl w:ilvl="7">
      <w:start w:val="1"/>
      <w:numFmt w:val="upperLetter"/>
      <w:lvlText w:val="%8)"/>
      <w:lvlJc w:val="left"/>
      <w:pPr>
        <w:ind w:left="5760" w:hanging="480"/>
      </w:pPr>
    </w:lvl>
    <w:lvl w:ilvl="8">
      <w:start w:val="1"/>
      <w:numFmt w:val="upperLetter"/>
      <w:lvlText w:val="%9)"/>
      <w:lvlJc w:val="left"/>
      <w:pPr>
        <w:ind w:left="6480" w:hanging="480"/>
      </w:pPr>
    </w:lvl>
  </w:abstractNum>
  <w:abstractNum w:abstractNumId="99822">
    <w:nsid w:val="A99822"/>
    <w:multiLevelType w:val="multilevel"/>
    <w:lvl w:ilvl="0">
      <w:start w:val="2"/>
      <w:numFmt w:val="upperLetter"/>
      <w:lvlText w:val="%1)"/>
      <w:lvlJc w:val="left"/>
      <w:pPr>
        <w:ind w:left="720" w:hanging="480"/>
      </w:pPr>
    </w:lvl>
    <w:lvl w:ilvl="1">
      <w:start w:val="2"/>
      <w:numFmt w:val="upperLetter"/>
      <w:lvlText w:val="%2)"/>
      <w:lvlJc w:val="left"/>
      <w:pPr>
        <w:ind w:left="1440" w:hanging="480"/>
      </w:pPr>
    </w:lvl>
    <w:lvl w:ilvl="2">
      <w:start w:val="2"/>
      <w:numFmt w:val="upperLetter"/>
      <w:lvlText w:val="%3)"/>
      <w:lvlJc w:val="left"/>
      <w:pPr>
        <w:ind w:left="2160" w:hanging="480"/>
      </w:pPr>
    </w:lvl>
    <w:lvl w:ilvl="3">
      <w:start w:val="2"/>
      <w:numFmt w:val="upperLetter"/>
      <w:lvlText w:val="%4)"/>
      <w:lvlJc w:val="left"/>
      <w:pPr>
        <w:ind w:left="2880" w:hanging="480"/>
      </w:pPr>
    </w:lvl>
    <w:lvl w:ilvl="4">
      <w:start w:val="2"/>
      <w:numFmt w:val="upperLetter"/>
      <w:lvlText w:val="%5)"/>
      <w:lvlJc w:val="left"/>
      <w:pPr>
        <w:ind w:left="3600" w:hanging="480"/>
      </w:pPr>
    </w:lvl>
    <w:lvl w:ilvl="5">
      <w:start w:val="2"/>
      <w:numFmt w:val="upperLetter"/>
      <w:lvlText w:val="%6)"/>
      <w:lvlJc w:val="left"/>
      <w:pPr>
        <w:ind w:left="4320" w:hanging="480"/>
      </w:pPr>
    </w:lvl>
    <w:lvl w:ilvl="6">
      <w:start w:val="2"/>
      <w:numFmt w:val="upperLetter"/>
      <w:lvlText w:val="%7)"/>
      <w:lvlJc w:val="left"/>
      <w:pPr>
        <w:ind w:left="5040" w:hanging="480"/>
      </w:pPr>
    </w:lvl>
    <w:lvl w:ilvl="7">
      <w:start w:val="2"/>
      <w:numFmt w:val="upperLetter"/>
      <w:lvlText w:val="%8)"/>
      <w:lvlJc w:val="left"/>
      <w:pPr>
        <w:ind w:left="5760" w:hanging="480"/>
      </w:pPr>
    </w:lvl>
    <w:lvl w:ilvl="8">
      <w:start w:val="2"/>
      <w:numFmt w:val="upperLetter"/>
      <w:lvlText w:val="%9)"/>
      <w:lvlJc w:val="left"/>
      <w:pPr>
        <w:ind w:left="6480" w:hanging="480"/>
      </w:pPr>
    </w:lvl>
  </w:abstractNum>
  <w:abstractNum w:abstractNumId="99823">
    <w:nsid w:val="A99823"/>
    <w:multiLevelType w:val="multilevel"/>
    <w:lvl w:ilvl="0">
      <w:start w:val="3"/>
      <w:numFmt w:val="upperLetter"/>
      <w:lvlText w:val="%1)"/>
      <w:lvlJc w:val="left"/>
      <w:pPr>
        <w:ind w:left="720" w:hanging="480"/>
      </w:pPr>
    </w:lvl>
    <w:lvl w:ilvl="1">
      <w:start w:val="3"/>
      <w:numFmt w:val="upperLetter"/>
      <w:lvlText w:val="%2)"/>
      <w:lvlJc w:val="left"/>
      <w:pPr>
        <w:ind w:left="1440" w:hanging="480"/>
      </w:pPr>
    </w:lvl>
    <w:lvl w:ilvl="2">
      <w:start w:val="3"/>
      <w:numFmt w:val="upperLetter"/>
      <w:lvlText w:val="%3)"/>
      <w:lvlJc w:val="left"/>
      <w:pPr>
        <w:ind w:left="2160" w:hanging="480"/>
      </w:pPr>
    </w:lvl>
    <w:lvl w:ilvl="3">
      <w:start w:val="3"/>
      <w:numFmt w:val="upperLetter"/>
      <w:lvlText w:val="%4)"/>
      <w:lvlJc w:val="left"/>
      <w:pPr>
        <w:ind w:left="2880" w:hanging="480"/>
      </w:pPr>
    </w:lvl>
    <w:lvl w:ilvl="4">
      <w:start w:val="3"/>
      <w:numFmt w:val="upperLetter"/>
      <w:lvlText w:val="%5)"/>
      <w:lvlJc w:val="left"/>
      <w:pPr>
        <w:ind w:left="3600" w:hanging="480"/>
      </w:pPr>
    </w:lvl>
    <w:lvl w:ilvl="5">
      <w:start w:val="3"/>
      <w:numFmt w:val="upperLetter"/>
      <w:lvlText w:val="%6)"/>
      <w:lvlJc w:val="left"/>
      <w:pPr>
        <w:ind w:left="4320" w:hanging="480"/>
      </w:pPr>
    </w:lvl>
    <w:lvl w:ilvl="6">
      <w:start w:val="3"/>
      <w:numFmt w:val="upperLetter"/>
      <w:lvlText w:val="%7)"/>
      <w:lvlJc w:val="left"/>
      <w:pPr>
        <w:ind w:left="5040" w:hanging="480"/>
      </w:pPr>
    </w:lvl>
    <w:lvl w:ilvl="7">
      <w:start w:val="3"/>
      <w:numFmt w:val="upperLetter"/>
      <w:lvlText w:val="%8)"/>
      <w:lvlJc w:val="left"/>
      <w:pPr>
        <w:ind w:left="5760" w:hanging="480"/>
      </w:pPr>
    </w:lvl>
    <w:lvl w:ilvl="8">
      <w:start w:val="3"/>
      <w:numFmt w:val="upperLetter"/>
      <w:lvlText w:val="%9)"/>
      <w:lvlJc w:val="left"/>
      <w:pPr>
        <w:ind w:left="6480" w:hanging="480"/>
      </w:pPr>
    </w:lvl>
  </w:abstractNum>
  <w:abstractNum w:abstractNumId="99824">
    <w:nsid w:val="A99824"/>
    <w:multiLevelType w:val="multilevel"/>
    <w:lvl w:ilvl="0">
      <w:start w:val="4"/>
      <w:numFmt w:val="upperLetter"/>
      <w:lvlText w:val="%1)"/>
      <w:lvlJc w:val="left"/>
      <w:pPr>
        <w:ind w:left="720" w:hanging="480"/>
      </w:pPr>
    </w:lvl>
    <w:lvl w:ilvl="1">
      <w:start w:val="4"/>
      <w:numFmt w:val="upperLetter"/>
      <w:lvlText w:val="%2)"/>
      <w:lvlJc w:val="left"/>
      <w:pPr>
        <w:ind w:left="1440" w:hanging="480"/>
      </w:pPr>
    </w:lvl>
    <w:lvl w:ilvl="2">
      <w:start w:val="4"/>
      <w:numFmt w:val="upperLetter"/>
      <w:lvlText w:val="%3)"/>
      <w:lvlJc w:val="left"/>
      <w:pPr>
        <w:ind w:left="2160" w:hanging="480"/>
      </w:pPr>
    </w:lvl>
    <w:lvl w:ilvl="3">
      <w:start w:val="4"/>
      <w:numFmt w:val="upperLetter"/>
      <w:lvlText w:val="%4)"/>
      <w:lvlJc w:val="left"/>
      <w:pPr>
        <w:ind w:left="2880" w:hanging="480"/>
      </w:pPr>
    </w:lvl>
    <w:lvl w:ilvl="4">
      <w:start w:val="4"/>
      <w:numFmt w:val="upperLetter"/>
      <w:lvlText w:val="%5)"/>
      <w:lvlJc w:val="left"/>
      <w:pPr>
        <w:ind w:left="3600" w:hanging="480"/>
      </w:pPr>
    </w:lvl>
    <w:lvl w:ilvl="5">
      <w:start w:val="4"/>
      <w:numFmt w:val="upperLetter"/>
      <w:lvlText w:val="%6)"/>
      <w:lvlJc w:val="left"/>
      <w:pPr>
        <w:ind w:left="4320" w:hanging="480"/>
      </w:pPr>
    </w:lvl>
    <w:lvl w:ilvl="6">
      <w:start w:val="4"/>
      <w:numFmt w:val="upperLetter"/>
      <w:lvlText w:val="%7)"/>
      <w:lvlJc w:val="left"/>
      <w:pPr>
        <w:ind w:left="5040" w:hanging="480"/>
      </w:pPr>
    </w:lvl>
    <w:lvl w:ilvl="7">
      <w:start w:val="4"/>
      <w:numFmt w:val="upperLetter"/>
      <w:lvlText w:val="%8)"/>
      <w:lvlJc w:val="left"/>
      <w:pPr>
        <w:ind w:left="5760" w:hanging="480"/>
      </w:pPr>
    </w:lvl>
    <w:lvl w:ilvl="8">
      <w:start w:val="4"/>
      <w:numFmt w:val="upperLetter"/>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2">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3">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2026-10-15T08:31:18Z</dcterms:created>
  <dcterms:modified xsi:type="dcterms:W3CDTF">2026-10-15T08:31:18Z</dcterms:modified>
</cp:coreProperties>
</file>

<file path=docProps/custom.xml><?xml version="1.0" encoding="utf-8"?>
<Properties xmlns="http://schemas.openxmlformats.org/officeDocument/2006/custom-properties" xmlns:vt="http://schemas.openxmlformats.org/officeDocument/2006/docPropsVTypes"/>
</file>