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braze-brze-análisis-growth-15-oct-2026"/>
    <w:p>
      <w:pPr>
        <w:pStyle w:val="Heading1"/>
      </w:pPr>
      <w:r>
        <w:t xml:space="preserve">Braze (BRZE): análisis growth, 15-oct-2026</w:t>
      </w:r>
    </w:p>
    <w:p>
      <w:pPr>
        <w:pStyle w:val="FirstParagraph"/>
      </w:pPr>
      <w:r>
        <w:rPr>
          <w:bCs/>
          <w:b/>
        </w:rPr>
        <w:t xml:space="preserve">Señal: Comprar (convicción baja)</w:t>
      </w:r>
      <w:r>
        <w:t xml:space="preserve"> </w:t>
      </w:r>
      <w:r>
        <w:t xml:space="preserve">· Puntuación 70,2/100 · Señales de cambio de tendencia 5/8 · Método v11</w:t>
      </w:r>
    </w:p>
    <w:p>
      <w:pPr>
        <w:numPr>
          <w:ilvl w:val="0"/>
          <w:numId w:val="1001"/>
        </w:numPr>
        <w:pStyle w:val="Compact"/>
      </w:pPr>
      <w:r>
        <w:t xml:space="preserve">Precio de cierre: 28,25 USD (14-oct-2026)</w:t>
      </w:r>
    </w:p>
    <w:p>
      <w:pPr>
        <w:numPr>
          <w:ilvl w:val="0"/>
          <w:numId w:val="1001"/>
        </w:numPr>
        <w:pStyle w:val="Compact"/>
      </w:pPr>
      <w:r>
        <w:t xml:space="preserve">Objetivo a 12 meses: 30,1 USD</w:t>
      </w:r>
    </w:p>
    <w:p>
      <w:pPr>
        <w:numPr>
          <w:ilvl w:val="0"/>
          <w:numId w:val="1001"/>
        </w:numPr>
        <w:pStyle w:val="Compact"/>
      </w:pPr>
      <w:r>
        <w:t xml:space="preserve">Rentabilidad ponderada: +6,5 %</w:t>
      </w:r>
    </w:p>
    <w:p>
      <w:pPr>
        <w:numPr>
          <w:ilvl w:val="0"/>
          <w:numId w:val="1001"/>
        </w:numPr>
        <w:pStyle w:val="Compact"/>
      </w:pPr>
      <w:r>
        <w:t xml:space="preserve">Escenario base: +2,3 %</w:t>
      </w:r>
    </w:p>
    <w:p>
      <w:pPr>
        <w:numPr>
          <w:ilvl w:val="0"/>
          <w:numId w:val="1001"/>
        </w:numPr>
        <w:pStyle w:val="Compact"/>
      </w:pPr>
      <w:r>
        <w:t xml:space="preserve">Escenario bajista: −40,4 %</w:t>
      </w:r>
    </w:p>
    <w:p>
      <w:pPr>
        <w:numPr>
          <w:ilvl w:val="0"/>
          <w:numId w:val="1001"/>
        </w:numPr>
        <w:pStyle w:val="Compact"/>
      </w:pPr>
      <w:r>
        <w:t xml:space="preserve">Escenario alcista: +62,2 %</w:t>
      </w:r>
    </w:p>
    <w:p>
      <w:pPr>
        <w:numPr>
          <w:ilvl w:val="0"/>
          <w:numId w:val="1001"/>
        </w:numPr>
        <w:pStyle w:val="Compact"/>
      </w:pPr>
      <w:r>
        <w:t xml:space="preserve">Compra hasta: 28,7 USD</w:t>
      </w:r>
    </w:p>
    <w:p>
      <w:pPr>
        <w:numPr>
          <w:ilvl w:val="0"/>
          <w:numId w:val="1001"/>
        </w:numPr>
        <w:pStyle w:val="Compact"/>
      </w:pPr>
      <w:r>
        <w:t xml:space="preserve">Precio actual: 28,00 USD (fuera de horario, 14-oct a las 23:50 UTC; a las 08:23 UTC del 15-oct aún no hay sesión). Con el objetivo fijo da +7,5 %</w:t>
      </w:r>
    </w:p>
    <w:p>
      <w:pPr>
        <w:numPr>
          <w:ilvl w:val="0"/>
          <w:numId w:val="1001"/>
        </w:numPr>
        <w:pStyle w:val="Compact"/>
      </w:pPr>
      <w:r>
        <w:t xml:space="preserve">Contraste v9 (versión anterior): ponderada +13,2 %, compra hasta 30,5 USD; la misma señal</w:t>
      </w:r>
    </w:p>
    <w:p>
      <w:pPr>
        <w:numPr>
          <w:ilvl w:val="0"/>
          <w:numId w:val="1001"/>
        </w:numPr>
        <w:pStyle w:val="Compact"/>
      </w:pPr>
      <w:r>
        <w:t xml:space="preserve">Prueba de robustez: SÓLIDA</w:t>
      </w:r>
    </w:p>
    <w:p>
      <w:pPr>
        <w:numPr>
          <w:ilvl w:val="0"/>
          <w:numId w:val="1001"/>
        </w:numPr>
        <w:pStyle w:val="Compact"/>
      </w:pPr>
      <w:r>
        <w:t xml:space="preserve">Peso orientativo: 3,5 %, pero hoy</w:t>
      </w:r>
      <w:r>
        <w:t xml:space="preserve"> </w:t>
      </w:r>
      <w:r>
        <w:rPr>
          <w:bCs/>
          <w:b/>
        </w:rPr>
        <w:t xml:space="preserve">no entra</w:t>
      </w:r>
      <w:r>
        <w:t xml:space="preserve">: el bolsillo growth está lleno y Braze rinde menos que la más floja. Queda de suplente, décima.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2"/>
        </w:numPr>
        <w:pStyle w:val="Compact"/>
      </w:pPr>
      <w:r>
        <w:t xml:space="preserve">Braze es la plataforma con la que las grandes marcas de consumo (bancos digitales, medios, comercio, viajes) mandan mensajes a sus clientes por la aplicación, el correo, el SMS o WhatsApp. Sus ventas crecen un 27 % en 12 meses.</w:t>
      </w:r>
    </w:p>
    <w:p>
      <w:pPr>
        <w:numPr>
          <w:ilvl w:val="0"/>
          <w:numId w:val="1002"/>
        </w:numPr>
        <w:pStyle w:val="Compact"/>
      </w:pPr>
      <w:r>
        <w:t xml:space="preserve">La acción cayó a 15,79 USD en febrero por miedo a que la IA se coma el software de marketing, y cayó un 25 % la semana de sus resultados de septiembre pese a batir en todo. Hoy cotiza a 3,3 veces las ventas de los 12 meses siguientes, cuando su mediana de 3 años es 4,7.</w:t>
      </w:r>
    </w:p>
    <w:p>
      <w:pPr>
        <w:numPr>
          <w:ilvl w:val="0"/>
          <w:numId w:val="1002"/>
        </w:numPr>
        <w:pStyle w:val="Compact"/>
      </w:pPr>
      <w:r>
        <w:t xml:space="preserve">A ese precio el mercado descuenta un crecimiento del 5,8 % anual durante diez años. La empresa crece al 26 % y guía un 19,5 % para el segundo semestre, que suele batir en unos 4 puntos.</w:t>
      </w:r>
    </w:p>
    <w:p>
      <w:pPr>
        <w:numPr>
          <w:ilvl w:val="0"/>
          <w:numId w:val="1002"/>
        </w:numPr>
        <w:pStyle w:val="Compact"/>
      </w:pPr>
      <w:r>
        <w:t xml:space="preserve">Los datos no muestran que la IA le esté quitando clientes: la retención neta sube del 108 % al 110 % y los clientes que pagan más de 500.000 USD al año crecen un 28 %. Ya gana caja: 80 M USD de flujo de caja libre en 12 meses.</w:t>
      </w:r>
    </w:p>
    <w:p>
      <w:pPr>
        <w:numPr>
          <w:ilvl w:val="0"/>
          <w:numId w:val="1002"/>
        </w:numPr>
        <w:pStyle w:val="Compact"/>
      </w:pPr>
      <w:r>
        <w:t xml:space="preserve">Sale Comprar, pero justa. El margen es corto: compra hasta 28,7 USD con el precio a 28,25. Paga el 17 % de sus ventas en acciones y la proyección se topa con el consenso. Por eso la convicción es baja.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Qué vende:</w:t>
      </w:r>
      <w:r>
        <w:t xml:space="preserve"> </w:t>
      </w:r>
      <w:r>
        <w:t xml:space="preserve">una plataforma de relación con el cliente en tiempo real. Recoge lo que hace cada usuario en la aplicación o la web y decide qué mensaje mandarle, por qué canal y cuándo. Cobra una suscripción anual que depende sobre todo del número de usuarios activos y del volumen de mensajes, no de puestos [1][13].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quién:</w:t>
      </w:r>
      <w:r>
        <w:t xml:space="preserve"> </w:t>
      </w:r>
      <w:r>
        <w:t xml:space="preserve">2.789 clientes, casi todos marcas medianas y grandes. 361 pagan más de 500.000 USD al año. El 55 % de las ventas viene de EE. UU. Ejemplos del trimestre: Chime, Foxtel, David Jones y Wilson [1][3].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Qué tiene de nuevo:</w:t>
      </w:r>
      <w:r>
        <w:t xml:space="preserve"> </w:t>
      </w:r>
      <w:r>
        <w:t xml:space="preserve">agentes de IA sobre esa base de datos en tiempo real. BrazeAI Operator monta campañas a partir de una conversación, Agent Console gestiona agentes y Decisioning Studio, que viene de la compra de OfferFit, aprende solo qué oferta funciona con cada cliente [1].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Compra de OfferFit (2-jun-2025):</w:t>
      </w:r>
      <w:r>
        <w:t xml:space="preserve"> </w:t>
      </w:r>
      <w:r>
        <w:t xml:space="preserve">costó 303,2 M USD, en parte pagados en acciones. Aportó unos 3 puntos de crecimiento: en el 1T27 la empresa dio un 30 % publicado y un 27 % orgánico. Desde junio de 2026 ya no suma: las ventas de los 12 meses siguientes son orgánicas [2][3].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 (ejercicio a enero)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 (feb-abr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1T27 (feb-abr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+30,2 % (27 % orgánico)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2T27 (may-jul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+26,2 %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(a ene-2024)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2027,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+23 %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12 meses:</w:t>
      </w:r>
      <w:r>
        <w:t xml:space="preserve"> </w:t>
      </w:r>
      <w:r>
        <w:t xml:space="preserve">834,2 M USD, +27,4 %. Sin OfferFit, un 25 % (estimación propia). El crecimiento anual compuesto de 2 años es del 24,8 % [4].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Aceleración:</w:t>
      </w:r>
      <w:r>
        <w:t xml:space="preserve"> </w:t>
      </w:r>
      <w:r>
        <w:t xml:space="preserve">el último trimestre crece 0,7 puntos menos que la media de los cuatro anteriores. Las ventas orgánicas aceleraron cuatro trimestres seguidos hasta el 1T27 y en el 2T27 se frenan algo [2].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Retención neta:</w:t>
      </w:r>
      <w:r>
        <w:t xml:space="preserve"> </w:t>
      </w:r>
      <w:r>
        <w:t xml:space="preserve">110 %, frente al 108 % de hace un año; en clientes grandes, 112 % [1].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Guía:</w:t>
      </w:r>
      <w:r>
        <w:t xml:space="preserve"> </w:t>
      </w:r>
      <w:r>
        <w:t xml:space="preserve">910-913 M para el ejercicio, subida dos veces. El segundo semestre implícito crece un 19,5 %. En los cuatro últimos trimestres batió su propia guía por 4,2 puntos de media. Con ese patrón, el segundo semestre crecería en torno al 24 % [1][2].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 que ya está firmado:</w:t>
      </w:r>
      <w:r>
        <w:t xml:space="preserve"> </w:t>
      </w:r>
      <w:r>
        <w:t xml:space="preserve">obligaciones pendientes de 1.092,5 M (+27 %) y 691,1 M a un año (+24 %) [1].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Mercado alcanzable:</w:t>
      </w:r>
      <w:r>
        <w:t xml:space="preserve"> </w:t>
      </w:r>
      <w:r>
        <w:t xml:space="preserve">unos 30.000 M USD (plataformas de mensajería y relación con el cliente para marcas de consumo; de memoria, sin verificar). Braze tiene un 2,8 % [13].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Rivales:</w:t>
      </w:r>
      <w:r>
        <w:t xml:space="preserve"> </w:t>
      </w:r>
      <w:r>
        <w:t xml:space="preserve">Salesforce Marketing Cloud con sus agentes Agentforce, Adobe Journey Optimizer, HubSpot con Breeze, Klaviyo (su comparable más directo, más fuerte en tiendas online pequeñas y medianas), Iterable, MoEngage, CleverTap, Insider y Bloomreach [13].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Por qué gana:</w:t>
      </w:r>
      <w:r>
        <w:t xml:space="preserve"> </w:t>
      </w:r>
      <w:r>
        <w:t xml:space="preserve">está hecha para el móvil y el tiempo real a gran escala, y compite con Salesforce y Adobe en clientes grandes. La alianza de 3 años con AWS le abre la red comercial de Amazon. Se integra con Snowflake y Databricks, donde las empresas guardan sus datos [1].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Frente a Klaviyo:</w:t>
      </w:r>
      <w:r>
        <w:t xml:space="preserve"> </w:t>
      </w:r>
      <w:r>
        <w:t xml:space="preserve">Klaviyo crece más (29 %), gana más caja (17 % de las ventas) y cotiza más barata (2,7 veces las ventas). Pero depende de Shopify: el 78 % de su ARR viene de clientes de Shopify. Braze tiene una retención mejor (110 % frente al 109 %) y clientes más grandes [10].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guía de ventas sube dos veces, de 886,5 a 911,5 M en el punto medio. Goldman sube el objetivo de 34 a 38 USD (6-oct). En contra, la guía de beneficio del 3T quedó bajo el consenso [1][2][7]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y la media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un 18 % sobre la media de 23,99 USD, pero la media sigue plana o a la baja: 24,65 hace tres meses 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+24,2 % frente al +14,4 % del Nasdaq-100. El ETF de software IGV hizo +29,7 % 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Mejora de múltiplo ≥ 20 % desde el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1,7 veces las ventas (23-feb) a 3,3 (+93 %) 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del −8,0 %, frente al −21,5 % de hace un año. Flujo de caja libre de 80 M en 12 meses, frente a 58 M en el ejercicio 2026 [1][4]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Mixto. Los 21 analistas dicen comprar, pero la acción cayó un 25 % tras unos buenos resultados; desde entonces se recupera de 23,15 a 28,25 USD [7][8]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de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 programadas de directivos. La empresa recompró 50 M USD (no cuenta como señal) [3][5]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 en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a principios de diciembre, alianza con AWS, agentes de IA y la guía del ejercicio 2028 en marzo [1]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Sube un 8,8 % en 12 meses y cotiza a 5,0 veces su beneficio bruto, muy lejos del veto (150 % y 20 veces). En 6 meses sube un 24 %.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Margen bruto:</w:t>
      </w:r>
      <w:r>
        <w:t xml:space="preserve"> </w:t>
      </w:r>
      <w:r>
        <w:t xml:space="preserve">66,3 % en 12 meses. Baja: el 69,1 % de hace un año pasa al 66,8 % en el 2T27. Pesan los canales de mensajes caros, como WhatsApp, y el coste de servidores de la IA [1][3].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Regla del 40:</w:t>
      </w:r>
      <w:r>
        <w:t xml:space="preserve"> </w:t>
      </w:r>
      <w:r>
        <w:t xml:space="preserve">crecimiento del 27,4 % más margen de caja del 9,6 % = 37. Restando los pagos en acciones serían 19,8 puntos.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Rentabilidad:</w:t>
      </w:r>
      <w:r>
        <w:t xml:space="preserve"> </w:t>
      </w:r>
      <w:r>
        <w:t xml:space="preserve">el flujo de caja libre crece (58 M en el ejercicio 2026 y 80 M en 12 meses). El beneficio operativo ajustado del 2T27 es de 22,0 M, con un margen del 9,7 %, y la guía del año es de 75,5-76,5 M. En las cuentas oficiales aún pierde 18,1 M en el trimestre [1].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Caja e inversiones:</w:t>
      </w:r>
      <w:r>
        <w:t xml:space="preserve"> </w:t>
      </w:r>
      <w:r>
        <w:t xml:space="preserve">409,9 M USD sin contar la restringida. No tiene deuda financiera; solo 15,3 M de arrendamientos financieros. La pista de caja no es un problema: el flujo de caja libre es positivo [1][3].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Acciones:</w:t>
      </w:r>
      <w:r>
        <w:t xml:space="preserve"> </w:t>
      </w:r>
      <w:r>
        <w:t xml:space="preserve">113,6 M en circulación más 16,1 M en derechos (acciones restringidas, opciones y acciones de la compra de OfferFit) = 129,6 M totalmente diluidas.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Dilución:</w:t>
      </w:r>
      <w:r>
        <w:t xml:space="preserve"> </w:t>
      </w:r>
      <w:r>
        <w:t xml:space="preserve">un 4,0 % en 12 meses, que incluye las acciones de OfferFit. La prevista es de un 2,5 % (estimación propia), porque la recompra compensa en parte [3].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Pagos en acciones: 17,2 % de las ventas (en rojo, más del 15 %).</w:t>
      </w:r>
      <w:r>
        <w:t xml:space="preserve"> </w:t>
      </w:r>
      <w:r>
        <w:t xml:space="preserve">Son 143 M USD en 12 meses, más que todo el flujo de caja libre.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8"/>
        </w:numPr>
        <w:pStyle w:val="Compact"/>
      </w:pPr>
      <w:r>
        <w:t xml:space="preserve">Cofundador y consejero delegado: Bill Magnuson, desde 2011. Director de producto nuevo desde agosto (Pearce Dolan).</w:t>
      </w:r>
    </w:p>
    <w:p>
      <w:pPr>
        <w:numPr>
          <w:ilvl w:val="0"/>
          <w:numId w:val="1008"/>
        </w:numPr>
        <w:pStyle w:val="Compact"/>
      </w:pPr>
      <w:r>
        <w:t xml:space="preserve">Ha batido su guía de ventas en los cuatro últimos trimestres, por 4,2 puntos de media, y ha subido la guía anual en cada trimestre de este ejercicio [2].</w:t>
      </w:r>
    </w:p>
    <w:p>
      <w:pPr>
        <w:numPr>
          <w:ilvl w:val="0"/>
          <w:numId w:val="1008"/>
        </w:numPr>
        <w:pStyle w:val="Compact"/>
      </w:pPr>
      <w:r>
        <w:t xml:space="preserve">En contra: ventas constantes de acciones de directivos con planes programados y unos pagos en acciones altos. A favor: recompra de 50 M en el 1S27 a 16-20 USD y una compra (OfferFit) que acelera el producto [3][5].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Métrica: EV/ventas de los 12 meses siguientes. La empresa aún no es rentable de forma estable en las cuentas oficiales. Valor de empresa hoy: 3.267 M USD. Ventas de los 12 meses siguientes: unos 991 M (+18,8 %, consenso). Ejercicio objetivo: las ventas de agosto de 2027 a julio de 2028.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+62,2 %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+6,5 %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Proyección:</w:t>
      </w:r>
      <w:r>
        <w:t xml:space="preserve"> </w:t>
      </w:r>
      <w:r>
        <w:t xml:space="preserve">la mecánica da 1.240 M en el caso base. Parte de un crecimiento del 23,7 %: la guía (19,5 %) más lo que suele batirla (4,2 puntos). v11 se queda con la menor entre la mecánica y la del analista, que va pegada al consenso (1.150 M, extrapolado del consenso del ejercicio 2028, 1.070 M). En el bajista manda la mecánica (1.027 M).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Múltiplo:</w:t>
      </w:r>
      <w:r>
        <w:t xml:space="preserve"> </w:t>
      </w:r>
      <w:r>
        <w:t xml:space="preserve">hoy 3,3. El base lo rebaja un 8 % porque el crecimiento baja del 18,8 % al 16 %. Su mediana de 3 años es 4,7, la de los comparables 2,5 (Klaviyo 2,7, HubSpot 2,5, Sprout Social 1,2) y el mínimo de 3 años 1,7.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EV/ventas de hoy frente a su historia:</w:t>
      </w:r>
      <w:r>
        <w:t xml:space="preserve"> </w:t>
      </w:r>
      <w:r>
        <w:t xml:space="preserve">3,3 frente a la mediana de 4,7. Cotiza un 30 % por debajo de su propia historia. No hay alerta de múltiplo caro.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EV/beneficio bruto:</w:t>
      </w:r>
      <w:r>
        <w:t xml:space="preserve"> </w:t>
      </w:r>
      <w:r>
        <w:t xml:space="preserve">5,0 veces, muy por debajo del tope de 35.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Consenso:</w:t>
      </w:r>
      <w:r>
        <w:t xml:space="preserve"> </w:t>
      </w:r>
      <w:r>
        <w:t xml:space="preserve">objetivo medio de 37,3 USD (21 analistas, todos dicen comprar), un 24 % más que el objetivo del método. El método es más prudente porque no supone que el múltiplo vuelva a su media.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el precio descuenta un crecimiento del 5,8 % anual durante 10 años, con el margen de caja subiendo al 25 %.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v9 al lado:</w:t>
      </w:r>
      <w:r>
        <w:t xml:space="preserve"> </w:t>
      </w:r>
      <w:r>
        <w:t xml:space="preserve">con la proyección mecánica (1.240 M en el base), la ponderada sería del +13,2 % y la compra hasta 30,5 USD. v11 recorta a lo que espera el consenso y deja la compra justa.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v12 y v14 (candidatas):</w:t>
      </w:r>
      <w:r>
        <w:t xml:space="preserve"> </w:t>
      </w:r>
      <w:r>
        <w:t xml:space="preserve">v12 da lo mismo que v11, porque OfferFit ya no mueve los 12 meses siguientes y el campo de crecimiento orgánico queda vacío. Como prueba, con el orgánico igual al crecimiento de los 12 meses siguientes (18,8 %), v12 daría una ponderada del +5,8 % y compra hasta 28,5 USD: sigue en Comprar. v14, con la dilución prevista del 2,5 %, da una ponderada del +8,1 % y compra hasta 29,1 USD.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y analistas:</w:t>
      </w:r>
      <w:r>
        <w:t xml:space="preserve"> </w:t>
      </w:r>
      <w:r>
        <w:t xml:space="preserve">tras los resultados del 8-sep, The Motley Fool contó una caída del 25 % en la semana «pese a batir en todo», por la guía de beneficio del 3T (más gasto por la conferencia Forge y más vendedores) y por el peso de los pagos en acciones. MarketBeat tituló que «la guía floja puede ser un regalo» y Raymond James habló de «comprar la caída» [8].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Analistas:</w:t>
      </w:r>
      <w:r>
        <w:t xml:space="preserve"> </w:t>
      </w:r>
      <w:r>
        <w:t xml:space="preserve">21 de 21 dicen comprar. El objetivo medio es 37,3 USD y el mínimo 30 [7].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Foros:</w:t>
      </w:r>
      <w:r>
        <w:t xml:space="preserve"> </w:t>
      </w:r>
      <w:r>
        <w:t xml:space="preserve">Reddit, StockTwits, Seeking Alpha y Rankia no se pudieron leer desde aquí (laguna). El precio cuenta la historia: de 36 USD en diciembre a 15,79 en febrero, con el miedo general a que la IA se coma el software, y de vuelta a 28 [9].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datos:</w:t>
      </w:r>
      <w:r>
        <w:t xml:space="preserve"> </w:t>
      </w:r>
      <w:r>
        <w:t xml:space="preserve">el miedo es más grande que lo que se ve en las cifras. La retención neta y los clientes grandes mejoran; lo que empeora es el margen bruto. No hay euforia.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IA (riesgo medio-alto).</w:t>
      </w:r>
      <w:r>
        <w:t xml:space="preserve"> </w:t>
      </w:r>
      <w:r>
        <w:t xml:space="preserve">Salesforce, Adobe y HubSpot meten agentes de marketing en sus paquetes, y un agente podría acabar decidiendo por sí solo qué mensaje mandar, con Braze como simple tubería. Por qué no se ve aún en los datos:</w:t>
      </w:r>
    </w:p>
    <w:p>
      <w:pPr>
        <w:numPr>
          <w:ilvl w:val="1"/>
          <w:numId w:val="1012"/>
        </w:numPr>
        <w:pStyle w:val="Compact"/>
      </w:pPr>
      <w:r>
        <w:t xml:space="preserve">la retención neta sube del 108 % al 110 %;</w:t>
      </w:r>
    </w:p>
    <w:p>
      <w:pPr>
        <w:numPr>
          <w:ilvl w:val="1"/>
          <w:numId w:val="1012"/>
        </w:numPr>
        <w:pStyle w:val="Compact"/>
      </w:pPr>
      <w:r>
        <w:t xml:space="preserve">los clientes de más de 500.000 USD crecen un 28 % (de 282 a 361) y su retención es del 112 %;</w:t>
      </w:r>
    </w:p>
    <w:p>
      <w:pPr>
        <w:numPr>
          <w:ilvl w:val="1"/>
          <w:numId w:val="1012"/>
        </w:numPr>
        <w:pStyle w:val="Compact"/>
      </w:pPr>
      <w:r>
        <w:t xml:space="preserve">el 55 % del aumento de ventas viene de clientes que ya tenía;</w:t>
      </w:r>
    </w:p>
    <w:p>
      <w:pPr>
        <w:numPr>
          <w:ilvl w:val="1"/>
          <w:numId w:val="1012"/>
        </w:numPr>
        <w:pStyle w:val="Compact"/>
      </w:pPr>
      <w:r>
        <w:t xml:space="preserve">cobra por usuarios y mensajes, no por puestos, así que no pierde ingresos si el cliente usa menos personas.</w:t>
      </w:r>
    </w:p>
    <w:p>
      <w:pPr>
        <w:numPr>
          <w:ilvl w:val="0"/>
          <w:numId w:val="1000"/>
        </w:numPr>
        <w:pStyle w:val="Compact"/>
      </w:pPr>
      <w:r>
        <w:t xml:space="preserve">Lo que sí se ve: el margen bruto baja 2,3 puntos en un año. Klaviyo, su comparable, tiene el mismo miedo y cotiza aún más barata.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Alerta de robustez: pagos en acciones del 17,2 % de las ventas (más del 15 %).</w:t>
      </w:r>
      <w:r>
        <w:t xml:space="preserve"> </w:t>
      </w:r>
      <w:r>
        <w:t xml:space="preserve">La regla del 40 y el flujo de caja no los restan; restándolos, la regla del 40 bajaría de 37 a 19,8 y la puntuación de 70,2 a 68,2. No cambia la señal, pero debilita la calidad de la caja que gana: hoy cada dólar de caja libre cuesta casi dos dólares en acciones. Se vigila que baje del 15 %.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Margen justo:</w:t>
      </w:r>
      <w:r>
        <w:t xml:space="preserve"> </w:t>
      </w:r>
      <w:r>
        <w:t xml:space="preserve">el precio de cierre (28,25) está solo un 2 % por debajo de la compra hasta (28,7). Con probabilidades más prudentes (35/50/15) saldría Mantener (−3,7 %).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Bajista del −40 %:</w:t>
      </w:r>
      <w:r>
        <w:t xml:space="preserve"> </w:t>
      </w:r>
      <w:r>
        <w:t xml:space="preserve">si el múltiplo cae a 1,8 veces, como el mínimo de febrero.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Señales de venta concretas:</w:t>
      </w:r>
      <w:r>
        <w:t xml:space="preserve"> </w:t>
      </w:r>
      <w:r>
        <w:t xml:space="preserve">retención neta por debajo del 105 %; dos trimestres seguidos creciendo menos del 15 %; margen bruto por debajo del 63 %; pérdida de un cliente grande en favor de Salesforce o Adobe.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3"/>
        </w:numPr>
        <w:pStyle w:val="Compact"/>
      </w:pPr>
      <w:r>
        <w:t xml:space="preserve">Principios de diciembre de 2026: resultados del 3T27 (guía 229-230 M).</w:t>
      </w:r>
    </w:p>
    <w:p>
      <w:pPr>
        <w:numPr>
          <w:ilvl w:val="0"/>
          <w:numId w:val="1013"/>
        </w:numPr>
        <w:pStyle w:val="Compact"/>
      </w:pPr>
      <w:r>
        <w:t xml:space="preserve">Marzo de 2027: resultados anuales y primera guía del ejercicio 2028; el consenso espera un +17 %.</w:t>
      </w:r>
    </w:p>
    <w:p>
      <w:pPr>
        <w:numPr>
          <w:ilvl w:val="0"/>
          <w:numId w:val="1013"/>
        </w:numPr>
        <w:pStyle w:val="Compact"/>
      </w:pPr>
      <w:r>
        <w:t xml:space="preserve">Durante el ejercicio: ventas conjuntas con AWS, adopción de los agentes BrazeAI y recompra (quedan 50 M del programa).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Bolsillo growth lleno</w:t>
      </w:r>
      <w:r>
        <w:t xml:space="preserve"> </w:t>
      </w:r>
      <w:r>
        <w:t xml:space="preserve">(~20 %): Nu (+22 %), Axon (+35 %), Shopify (+19 %), Snowflake (+16 %, convicción media) y Samsara (+17 %), al precio actual con v11. No hay liquidez libre; solo cabe sustituir.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¿Sustituye a alguna? No.</w:t>
      </w:r>
      <w:r>
        <w:t xml:space="preserve"> </w:t>
      </w:r>
      <w:r>
        <w:t xml:space="preserve">Braze da +7,5 % con convicción baja al precio actual. La más floja del bolsillo, Snowflake, da +16 % con convicción media. Para sustituir habría que rendir claramente más y con convicción igual o mayor; Braze no cumple ninguna de las dos cosas.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Exposición a IA:</w:t>
      </w:r>
      <w:r>
        <w:t xml:space="preserve"> </w:t>
      </w:r>
      <w:r>
        <w:t xml:space="preserve">Alphabet se vende mañana y no cuenta. Braze sumaría riesgo de IA al de Shopify y Snowflake, que también compiten con agentes.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Puesto de suplente: décima</w:t>
      </w:r>
      <w:r>
        <w:t xml:space="preserve">, detrás de Reddit (+12 %) y delante de Saab (+6 %), Natera e Ypsomed. Rinde menos que casi todas las de la lista y su compra es justa.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Klaviyo</w:t>
      </w:r>
      <w:r>
        <w:t xml:space="preserve">, su comparable, sale mejor en rentabilidad (+12,6 %). Si algún día entrara una de las dos, mejor Klaviyo por precio, o Braze si se quiere evitar la dependencia de Shopify.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Peso si entrara:</w:t>
      </w:r>
      <w:r>
        <w:t xml:space="preserve"> </w:t>
      </w:r>
      <w:r>
        <w:t xml:space="preserve">3,5 % en dos tramos: la mitad por debajo de 28,7 USD y la otra mitad tras los resultados de diciembre o con una caída del 10 % sin cambio de tesis. Sin juego ni apuestas; no choca con las preferencias de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Filtro previo:</w:t>
      </w:r>
      <w:r>
        <w:t xml:space="preserve"> </w:t>
      </w:r>
      <w:r>
        <w:t xml:space="preserve">las cuatro pruebas se confirman con los datos completos:</w:t>
      </w:r>
    </w:p>
    <w:p>
      <w:pPr>
        <w:numPr>
          <w:ilvl w:val="1"/>
          <w:numId w:val="1015"/>
        </w:numPr>
        <w:pStyle w:val="Compact"/>
      </w:pPr>
      <w:r>
        <w:t xml:space="preserve">A, crecimiento: 27,4 % publicado y un 25 % orgánico; pasa (≥ 15 %).</w:t>
      </w:r>
    </w:p>
    <w:p>
      <w:pPr>
        <w:numPr>
          <w:ilvl w:val="1"/>
          <w:numId w:val="1015"/>
        </w:numPr>
        <w:pStyle w:val="Compact"/>
      </w:pPr>
      <w:r>
        <w:t xml:space="preserve">B: no aplica, porque no se valora por EBITDA.</w:t>
      </w:r>
    </w:p>
    <w:p>
      <w:pPr>
        <w:numPr>
          <w:ilvl w:val="1"/>
          <w:numId w:val="1015"/>
        </w:numPr>
        <w:pStyle w:val="Compact"/>
      </w:pPr>
      <w:r>
        <w:t xml:space="preserve">C: ningún cliente llega al 10 % de las ventas, según el 10-Q.</w:t>
      </w:r>
    </w:p>
    <w:p>
      <w:pPr>
        <w:numPr>
          <w:ilvl w:val="1"/>
          <w:numId w:val="1015"/>
        </w:numPr>
        <w:pStyle w:val="Compact"/>
      </w:pPr>
      <w:r>
        <w:t xml:space="preserve">D: el precio descuenta un 5,8 % anual, que es 0,21 veces su crecimiento; pasa (≤ 0,8). El filtro había estimado 0,12; la diferencia sale del margen de caja de partida.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 (5 de 8 señales)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Prueba de robustez</w:t>
      </w:r>
      <w:r>
        <w:t xml:space="preserve"> </w:t>
      </w:r>
      <w:r>
        <w:t xml:space="preserve">(</w:t>
      </w:r>
      <w:r>
        <w:rPr>
          <w:rStyle w:val="VerbatimChar"/>
        </w:rPr>
        <w:t xml:space="preserve">robustez-growth.mjs --precios</w:t>
      </w:r>
      <w:r>
        <w:t xml:space="preserve">):</w:t>
      </w:r>
      <w:r>
        <w:t xml:space="preserve"> </w:t>
      </w:r>
      <w:r>
        <w:rPr>
          <w:bCs/>
          <w:b/>
        </w:rPr>
        <w:t xml:space="preserve">SÓLIDA, señal robusta Comprar</w:t>
      </w:r>
      <w:r>
        <w:t xml:space="preserve">. Tres avisos:</w:t>
      </w:r>
      <w:r>
        <w:t xml:space="preserve"> </w:t>
      </w:r>
      <w:r>
        <w:t xml:space="preserve">- El objetivo se mueve con el precio. Por eso al revisar se deja fijo (30,1 USD) y el límite es 28,7 USD.</w:t>
      </w:r>
      <w:r>
        <w:t xml:space="preserve"> </w:t>
      </w:r>
      <w:r>
        <w:t xml:space="preserve">- Bajista del −40 %: posición pequeña y en tramos.</w:t>
      </w:r>
      <w:r>
        <w:t xml:space="preserve"> </w:t>
      </w:r>
      <w:r>
        <w:t xml:space="preserve">- Convicción baja: peso del 3,5 %.</w:t>
      </w:r>
    </w:p>
    <w:p>
      <w:pPr>
        <w:pStyle w:val="BodyText"/>
      </w:pPr>
      <w:r>
        <w:t xml:space="preserve">Variantes: v7 da +16,5 %; con las ventas del analista, +7,3 %; con probabilidades 35/50/15, −3,7 % (Mantener), que es la mayor debilidad. Ninguna alerta debilita la señal por sí sola, pero la de pagos en acciones y el margen corto hasta la compra hasta la dejan en convicción baja.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Braze, nota de resultados del 2T27 (8-sep-2026), 8-K ex. 99.1 (SEC).</w:t>
      </w:r>
      <w:r>
        <w:t xml:space="preserve"> </w:t>
      </w:r>
      <w:r>
        <w:t xml:space="preserve">[2] Braze, notas de resultados del 1T27, 4T26, 3T26 y 2T26 (8-K ex. 99.1, SEC): guías trimestrales y anuales, crecimiento orgánico del 1T27.</w:t>
      </w:r>
      <w:r>
        <w:t xml:space="preserve"> </w:t>
      </w:r>
      <w:r>
        <w:t xml:space="preserve">[3] Braze, 10-Q del 2T27 (9-sep-2026, SEC): OfferFit, clientes, acciones e instrumentos diluyentes, recompra, arrendamientos.</w:t>
      </w:r>
      <w:r>
        <w:t xml:space="preserve"> </w:t>
      </w:r>
      <w:r>
        <w:t xml:space="preserve">[4] SEC XBRL companyfacts (CIK 1676238): series trimestrales y anuales.</w:t>
      </w:r>
      <w:r>
        <w:t xml:space="preserve"> </w:t>
      </w:r>
      <w:r>
        <w:t xml:space="preserve">[5] SEC, formularios 4 y 144 de 2026.</w:t>
      </w:r>
      <w:r>
        <w:t xml:space="preserve"> </w:t>
      </w:r>
      <w:r>
        <w:t xml:space="preserve">[6] Yahoo Finance chart API (BRZE, QQQ, IGV), leída el 15-oct a las 08:23 UTC; segunda fuente del cierre: Nasdaq.com.</w:t>
      </w:r>
      <w:r>
        <w:t xml:space="preserve"> </w:t>
      </w:r>
      <w:r>
        <w:t xml:space="preserve">[7] StockAnalysis (S&amp;P Global), objetivos y consenso, leída el 15-oct.</w:t>
      </w:r>
      <w:r>
        <w:t xml:space="preserve"> </w:t>
      </w:r>
      <w:r>
        <w:t xml:space="preserve">[8] The Motley Fool (12-sep-2026), 24/7 Wall St. y Finviz (9-sep-2026), MarketBeat.</w:t>
      </w:r>
      <w:r>
        <w:t xml:space="preserve"> </w:t>
      </w:r>
      <w:r>
        <w:t xml:space="preserve">[9] Foros no accesibles desde aquí: laguna.</w:t>
      </w:r>
      <w:r>
        <w:t xml:space="preserve"> </w:t>
      </w:r>
      <w:r>
        <w:t xml:space="preserve">[10] Informe growth de Klaviyo del repo (15-oct-2026).</w:t>
      </w:r>
      <w:r>
        <w:t xml:space="preserve"> </w:t>
      </w:r>
      <w:r>
        <w:t xml:space="preserve">[11] The Register (dic-2025), precios de Agentforce de Salesforce.</w:t>
      </w:r>
      <w:r>
        <w:t xml:space="preserve"> </w:t>
      </w:r>
      <w:r>
        <w:t xml:space="preserve">[12] Cálculo propio: valor de empresa, ventas de los 12 meses siguientes, EV/ventas histórico y DCF inverso (detalle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).</w:t>
      </w:r>
      <w:r>
        <w:t xml:space="preserve"> </w:t>
      </w:r>
      <w:r>
        <w:t xml:space="preserve">[13] De memoria, sin verificar: mercado alcanzable, modelo de precios y rivales.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2026-10-15T08:31:37Z</dcterms:created>
  <dcterms:modified xsi:type="dcterms:W3CDTF">2026-10-15T08:31:37Z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