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elastic-estc-análisis-growth-15-oct-2026"/>
    <w:p>
      <w:pPr>
        <w:pStyle w:val="Heading1"/>
      </w:pPr>
      <w:r>
        <w:t xml:space="preserve">Elastic (ESTC): análisis growth, 15-oct-2026</w:t>
      </w:r>
    </w:p>
    <w:p>
      <w:pPr>
        <w:pStyle w:val="FirstParagraph"/>
      </w:pPr>
      <w:r>
        <w:rPr>
          <w:bCs/>
          <w:b/>
        </w:rPr>
        <w:t xml:space="preserve">Señal (método vigente v11): Comprar (convicción baja)</w:t>
      </w:r>
      <w:r>
        <w:t xml:space="preserve"> </w:t>
      </w:r>
      <w:r>
        <w:t xml:space="preserve">· Puntuación 69,7/100 · Señales de cambio de tendencia 6/8 · EV/beneficio bruto 6,3 veces</w:t>
      </w:r>
      <w:r>
        <w:t xml:space="preserve"> </w:t>
      </w:r>
      <w:r>
        <w:t xml:space="preserve">Precio 92,06 USD (cierre del 14-oct) · Objetivo 12 m 106,2 USD · Ponderada +15,3 % · Base +11,4 % · Bajista −37,6 % · Alcista +76,3 % · Compra hasta 101,1 USD</w:t>
      </w:r>
      <w:r>
        <w:t xml:space="preserve"> </w:t>
      </w:r>
      <w:r>
        <w:t xml:space="preserve">Con la v9 (referencia): Comprar (baja), ponderada +15,7 %, base +12 %, bajista −37,6 %, compra hasta 101,4 USD</w:t>
      </w:r>
      <w:r>
        <w:t xml:space="preserve"> </w:t>
      </w:r>
      <w:r>
        <w:t xml:space="preserve">Precio actual: 91,34 USD (fuera de hora, 14-oct a las 22:45 UTC; el mercado aún no ha abierto el 15-oct); con el objetivo fijo, ponderada +16,3 %</w:t>
      </w:r>
      <w:r>
        <w:t xml:space="preserve"> </w:t>
      </w:r>
      <w:r>
        <w:t xml:space="preserve">Peso orientativo: 3,5 % por la regla, pero</w:t>
      </w:r>
      <w:r>
        <w:t xml:space="preserve"> </w:t>
      </w:r>
      <w:r>
        <w:rPr>
          <w:bCs/>
          <w:b/>
        </w:rPr>
        <w:t xml:space="preserve">hoy no entra</w:t>
      </w:r>
      <w:r>
        <w:t xml:space="preserve">: el bolsillo growth está lleno y no supera a ninguna de las cinco (sección 13). Queda como</w:t>
      </w:r>
      <w:r>
        <w:t xml:space="preserve"> </w:t>
      </w:r>
      <w:r>
        <w:rPr>
          <w:bCs/>
          <w:b/>
        </w:rPr>
        <w:t xml:space="preserve">quinta suplente</w:t>
      </w:r>
      <w:r>
        <w:t xml:space="preserve">.</w:t>
      </w:r>
      <w:r>
        <w:t xml:space="preserve"> </w:t>
      </w:r>
      <w:r>
        <w:t xml:space="preserve">Prueba de robustez:</w:t>
      </w:r>
      <w:r>
        <w:t xml:space="preserve"> </w:t>
      </w:r>
      <w:r>
        <w:rPr>
          <w:bCs/>
          <w:b/>
        </w:rPr>
        <w:t xml:space="preserve">SÓLIDA</w:t>
      </w:r>
      <w:r>
        <w:t xml:space="preserve">, Comprar con convicción baja y en tramos.</w:t>
      </w:r>
      <w:r>
        <w:t xml:space="preserve"> </w:t>
      </w:r>
      <w:r>
        <w:t xml:space="preserve">Filtro previo: las cuatro pruebas se confirman con los datos completos; la A, por poco (sección 9).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Elastic vende Elasticsearch, el buscador que usan miles de empresas para buscar en sus datos, vigilar sus sistemas (observabilidad) y detectar ataques (seguridad). Factura 1.802 M USD en 12 meses, crece un 16 %, tiene un margen bruto del 76 % y genera caja: FCF del 19 % de las ventas.</w:t>
      </w:r>
    </w:p>
    <w:p>
      <w:pPr>
        <w:numPr>
          <w:ilvl w:val="0"/>
          <w:numId w:val="1001"/>
        </w:numPr>
        <w:pStyle w:val="Compact"/>
      </w:pPr>
      <w:r>
        <w:t xml:space="preserve">El cambio de percepción es claro: en abril cotizaba como un software que la IA iba a sustituir (−51 % entre finales de octubre y abril). Hoy el mercado lo ve como la «capa de contexto» que los agentes de IA necesitan para buscar en los datos de una empresa: acuerdo con OpenAI, base de datos vectorial y la nube creciendo un 20 %.</w:t>
      </w:r>
    </w:p>
    <w:p>
      <w:pPr>
        <w:numPr>
          <w:ilvl w:val="0"/>
          <w:numId w:val="1001"/>
        </w:numPr>
        <w:pStyle w:val="Compact"/>
      </w:pPr>
      <w:r>
        <w:t xml:space="preserve">La acción ha subido un 103 % en 6 meses, pero desde un precio muy bajo. Cotiza a 4,8 veces las ventas de los próximos 12 meses, por debajo de su mediana de 3 años (5,25 veces), y el precio solo exige crecer un 7,7 % al año durante 10 años, la mitad de lo que crece hoy.</w:t>
      </w:r>
    </w:p>
    <w:p>
      <w:pPr>
        <w:numPr>
          <w:ilvl w:val="0"/>
          <w:numId w:val="1001"/>
        </w:numPr>
        <w:pStyle w:val="Compact"/>
      </w:pPr>
      <w:r>
        <w:t xml:space="preserve">Lo flojo: crece poco para ser growth (15 % guiado), paga mucho en acciones (16,8 % de las ventas) y los dos cofundadores han vendido fuerte en septiembre y octubre.</w:t>
      </w:r>
    </w:p>
    <w:p>
      <w:pPr>
        <w:numPr>
          <w:ilvl w:val="0"/>
          <w:numId w:val="1001"/>
        </w:numPr>
        <w:pStyle w:val="Compact"/>
      </w:pPr>
      <w:r>
        <w:t xml:space="preserve">La regla da Comprar con convicción baja y +15,3 %. No mejora a ninguna de las cinco growth de la cartera (la más floja, Snowflake, da +16 % con convicción media), así que queda de suplente.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Elastic nació en 2012 en Ámsterdam alrededor de Elasticsearch, un buscador de código abierto. Sobre la misma plataforma vende tres soluciones:</w:t>
      </w:r>
      <w:r>
        <w:t xml:space="preserve"> </w:t>
      </w:r>
      <w:r>
        <w:rPr>
          <w:bCs/>
          <w:b/>
        </w:rPr>
        <w:t xml:space="preserve">búsqueda e IA</w:t>
      </w:r>
      <w:r>
        <w:t xml:space="preserve"> </w:t>
      </w:r>
      <w:r>
        <w:t xml:space="preserve">(buscadores internos, búsqueda vectorial para aplicaciones de IA),</w:t>
      </w:r>
      <w:r>
        <w:t xml:space="preserve"> </w:t>
      </w:r>
      <w:r>
        <w:rPr>
          <w:bCs/>
          <w:b/>
        </w:rPr>
        <w:t xml:space="preserve">observabilidad</w:t>
      </w:r>
      <w:r>
        <w:t xml:space="preserve"> </w:t>
      </w:r>
      <w:r>
        <w:t xml:space="preserve">(registros, métricas y trazas de los sistemas) y</w:t>
      </w:r>
      <w:r>
        <w:t xml:space="preserve"> </w:t>
      </w:r>
      <w:r>
        <w:rPr>
          <w:bCs/>
          <w:b/>
        </w:rPr>
        <w:t xml:space="preserve">seguridad</w:t>
      </w:r>
      <w:r>
        <w:t xml:space="preserve"> </w:t>
      </w:r>
      <w:r>
        <w:t xml:space="preserve">(SIEM y protección de equipos). Cobra por suscripción: en su propia nube (49 % de las ventas, creciendo un 20 %) o instalado por el cliente. Más de la mitad de las 500 mayores empresas de EE. UU. la usan [1].</w:t>
      </w:r>
    </w:p>
    <w:p>
      <w:pPr>
        <w:pStyle w:val="BodyText"/>
      </w:pPr>
      <w:r>
        <w:t xml:space="preserve">Lo nuevo: la</w:t>
      </w:r>
      <w:r>
        <w:t xml:space="preserve"> </w:t>
      </w:r>
      <w:r>
        <w:rPr>
          <w:bCs/>
          <w:b/>
        </w:rPr>
        <w:t xml:space="preserve">base de datos vectorial</w:t>
      </w:r>
      <w:r>
        <w:t xml:space="preserve"> </w:t>
      </w:r>
      <w:r>
        <w:t xml:space="preserve">lista para usar (DiskBBQ, modo VectorDB), los modelos de Jina AI para convertir texto e imágenes en vectores (comprada en octubre de 2025), el</w:t>
      </w:r>
      <w:r>
        <w:t xml:space="preserve"> </w:t>
      </w:r>
      <w:r>
        <w:rPr>
          <w:bCs/>
          <w:b/>
        </w:rPr>
        <w:t xml:space="preserve">modo columnar</w:t>
      </w:r>
      <w:r>
        <w:t xml:space="preserve"> </w:t>
      </w:r>
      <w:r>
        <w:t xml:space="preserve">para abaratar registros y métricas, agentes de IA para investigar incidencias (compra de Deductive AI en agosto) y el acuerdo con</w:t>
      </w:r>
      <w:r>
        <w:t xml:space="preserve"> </w:t>
      </w:r>
      <w:r>
        <w:rPr>
          <w:bCs/>
          <w:b/>
        </w:rPr>
        <w:t xml:space="preserve">OpenAI</w:t>
      </w:r>
      <w:r>
        <w:t xml:space="preserve"> </w:t>
      </w:r>
      <w:r>
        <w:t xml:space="preserve">para conectar sus modelos con los datos que las empresas guardan en Elasticsearch [1][3].</w:t>
      </w:r>
    </w:p>
    <w:p>
      <w:pPr>
        <w:pStyle w:val="BodyText"/>
      </w:pPr>
      <w:r>
        <w:rPr>
          <w:bCs/>
          <w:b/>
        </w:rPr>
        <w:t xml:space="preserve">Tecnología 4/5</w:t>
      </w:r>
      <w:r>
        <w:t xml:space="preserve">: Elasticsearch es el estándar de la búsqueda de texto y combina texto y vectores en un solo motor. Pero tiene alternativas serias: OpenSearch (la copia de AWS), bases vectoriales nuevas (Pinecone, Turbopuffer) y las bases de datos de las nubes.</w:t>
      </w:r>
      <w:r>
        <w:t xml:space="preserve"> </w:t>
      </w:r>
      <w:r>
        <w:rPr>
          <w:bCs/>
          <w:b/>
        </w:rPr>
        <w:t xml:space="preserve">Posición 3/5</w:t>
      </w:r>
      <w:r>
        <w:t xml:space="preserve">: líder en búsqueda, pero seguidora en observabilidad (Datadog, Dynatrace, Splunk) y en seguridad (CrowdStrike, Splunk, Microsoft).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 (ejercicio, cierre)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 interanual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 (jul-25)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 (oct-25)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3T26 (ene-26)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4T26 (abr-26)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1T27 (jul-26)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2T27 (oct-26)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486-487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14,9 %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 (cierre en abril)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2027,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15,2 %</w:t>
            </w:r>
          </w:p>
        </w:tc>
      </w:tr>
    </w:tbl>
    <w:p>
      <w:pPr>
        <w:pStyle w:val="BodyText"/>
      </w:pPr>
      <w:r>
        <w:t xml:space="preserve">Fuentes: [1][2] y XBRL de la SEC.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12 meses</w:t>
      </w:r>
      <w:r>
        <w:t xml:space="preserve">: +16,2 %.</w:t>
      </w:r>
      <w:r>
        <w:t xml:space="preserve"> </w:t>
      </w:r>
      <w:r>
        <w:rPr>
          <w:bCs/>
          <w:b/>
        </w:rPr>
        <w:t xml:space="preserve">CAGR a 2 años</w:t>
      </w:r>
      <w:r>
        <w:t xml:space="preserve">: +16,8 %.</w:t>
      </w:r>
      <w:r>
        <w:t xml:space="preserve"> </w:t>
      </w:r>
      <w:r>
        <w:rPr>
          <w:bCs/>
          <w:b/>
        </w:rPr>
        <w:t xml:space="preserve">Aceleración</w:t>
      </w:r>
      <w:r>
        <w:t xml:space="preserve">: −2,2 puntos (15,1 % frente a una media del 17,3 % en los cuatro trimestres anteriores).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Indicadores adelantados mejores que las ventas</w:t>
      </w:r>
      <w:r>
        <w:t xml:space="preserve">: cRPO (contratos que se facturarán en 12 meses) +21 %, RPO total +27 %, suscripción por venta directa +18 % y nube anual +27 %. Lo que frena el total es la nube mensual (+1 %), de clientes pequeños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Retención neta</w:t>
      </w:r>
      <w:r>
        <w:t xml:space="preserve">: 111 % (112 % hace un año).</w:t>
      </w:r>
      <w:r>
        <w:t xml:space="preserve"> </w:t>
      </w:r>
      <w:r>
        <w:rPr>
          <w:bCs/>
          <w:b/>
        </w:rPr>
        <w:t xml:space="preserve">Clientes de más de 100.000 USD</w:t>
      </w:r>
      <w:r>
        <w:t xml:space="preserve">: más de 1.800, con el mayor aumento trimestral de su historia [1].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Guía</w:t>
      </w:r>
      <w:r>
        <w:t xml:space="preserve">: ventas del ejercicio 1.998-2.010 M (+15,2 %), subida en agosto. Elastic bate su guía trimestral por 2,1 puntos de media en el último año (2,1, 3,1, 1,2 y 2,1 puntos). Es una guía prudente, pero no tanto como la de otras growth [1][2].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Compras</w:t>
      </w:r>
      <w:r>
        <w:t xml:space="preserve">: Jina AI (43 M USD) y Deductive AI (~70 M). No mueven el crecimiento más de 2 puntos, así que no hace falta separar el orgánico ni correr la v12 [3].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Mercado alcanzable</w:t>
      </w:r>
      <w:r>
        <w:t xml:space="preserve">: unos 60.000 M USD en 2028 (observabilidad, SIEM y seguridad, búsqueda y bases de datos vectoriales para IA; estimación propia, de memoria) [14].</w:t>
      </w:r>
      <w:r>
        <w:t xml:space="preserve"> </w:t>
      </w:r>
      <w:r>
        <w:rPr>
          <w:bCs/>
          <w:b/>
        </w:rPr>
        <w:t xml:space="preserve">Penetración</w:t>
      </w:r>
      <w:r>
        <w:t xml:space="preserve">: 3 %.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Rivales</w:t>
      </w:r>
      <w:r>
        <w:t xml:space="preserve">: en observabilidad, Datadog (+31 %), Dynatrace y Splunk (Cisco); en seguridad, CrowdStrike, Microsoft Sentinel y Splunk; en búsqueda y vectores, OpenSearch (AWS), las bases de datos de las nubes (Azure AI Search, Vertex AI Search, pgvector en Postgres), MongoDB y bases vectoriales nuevas como Pinecone o Turbopuffer.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qué gana</w:t>
      </w:r>
      <w:r>
        <w:t xml:space="preserve">: una sola plataforma para los tres usos, con los mismos datos; funciona en cualquier nube y dentro del cliente (incluso sin conexión, en defensa y administración: FedRAMP High, Google GDC); y miles de desarrolladores ya la conocen. Su ventaja real es que</w:t>
      </w:r>
      <w:r>
        <w:t xml:space="preserve"> </w:t>
      </w:r>
      <w:r>
        <w:rPr>
          <w:bCs/>
          <w:b/>
        </w:rPr>
        <w:t xml:space="preserve">las empresas ya tienen sus datos dentro de Elasticsearch</w:t>
      </w:r>
      <w:r>
        <w:t xml:space="preserve">: el agente de IA va a buscar donde están los datos.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¿Sí?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de ventas y de beneficio del año subidas en agosto; precio objetivo medio de 79,0 a 97,9 USD en 3 meses, con 13 subidas el 28-ago y una mejora a compra el 9-oct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92,06 frente a 65,8 USD; la media vuelve a subir desde agosto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+103 % frente a +16 % del Nasdaq-100 y +35 % del ETF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2,2 veces (10-abr) a 4,8 veces las ventas siguientes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no GAAP solo 0,5 puntos mejor; el GAAP empeora por la reestructuración. El primer beneficio operativo GAAP está guiado para el 2T, aún no ha pasado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«la IA se come el software» a «capa de contexto para la IA», sin euforia: el precio está por debajo del objetivo medio y 12 de 29 analistas siguen en mantener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[8][9][11]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Compras de directivos o inversores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compra de 0,7 M USD y Pictet al 5,2 %, frente a unos 436 M de ventas de directivos (el cofundador Schuurman, 3,5 M de acciones en octubre)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2T a finales de noviembre, con el primer beneficio operativo GAAP guiado; acuerdo con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[1][4]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 a 12 meses: no</w:t>
      </w:r>
      <w:r>
        <w:t xml:space="preserve"> </w:t>
      </w:r>
      <w:r>
        <w:t xml:space="preserve">(+12,5 %, lejos del 150 %).</w:t>
      </w:r>
    </w:p>
    <w:p>
      <w:pPr>
        <w:pStyle w:val="BodyText"/>
      </w:pPr>
      <w:r>
        <w:rPr>
          <w:bCs/>
          <w:b/>
        </w:rPr>
        <w:t xml:space="preserve">Alerta de euforia a 6 meses: no salta.</w:t>
      </w:r>
      <w:r>
        <w:t xml:space="preserve"> </w:t>
      </w:r>
      <w:r>
        <w:t xml:space="preserve">La acción ha subido un 103 % en 6 meses, por encima del umbral del 100 %. Pero la alerta pide además que el valor de empresa supere 20 veces el beneficio bruto, y Elastic está en 6,3 veces. La variante propuesta en la tanda 18 (múltiplo más de 1,4 veces su mediana) tampoco salta: está a 0,9 veces. La subida es un rebote desde un precio de crisis, no un múltiplo inflado: hace un año la acción valía 82 USD, y el múltiplo de hoy sigue por debajo de su mediana de 3 años.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Margen bruto</w:t>
      </w:r>
      <w:r>
        <w:t xml:space="preserve">: 75,5 % GAAP en 12 meses (76,6 % no GAAP en el trimestre). Baja unos 2 puntos en un año porque crece la nube, que tiene más coste de servidores.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Regla del 40</w:t>
      </w:r>
      <w:r>
        <w:t xml:space="preserve">: 35,6 (crecimiento del 16,2 % más margen FCF del 19,4 %). Restando los pagos en acciones, 18,8.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FCF</w:t>
      </w:r>
      <w:r>
        <w:t xml:space="preserve">: unos 350 M USD en 12 meses. El flujo de caja operativo pasó de 149 M en el ejercicio 2024 a 266 M en el 2025 y 327 M en el 2026. La guía del año es un FCF ajustado del 21,5 % de las ventas [1][2].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Rentabilidad contable</w:t>
      </w:r>
      <w:r>
        <w:t xml:space="preserve">: todavía pierde dinero en GAAP (−23,6 M de pérdida operativa en el 1T27, con 19,9 M de reestructuración). El beneficio neto del ejercicio 2026 fue positivo solo por un crédito fiscal. Como no gana dinero de forma estable, se valora por EV/ventas.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Caja e inversiones</w:t>
      </w:r>
      <w:r>
        <w:t xml:space="preserve">: 1.461 M USD a 31-jul, unos 1.391 M tras pagar Deductive AI.</w:t>
      </w:r>
      <w:r>
        <w:t xml:space="preserve"> </w:t>
      </w:r>
      <w:r>
        <w:rPr>
          <w:bCs/>
          <w:b/>
        </w:rPr>
        <w:t xml:space="preserve">Deuda</w:t>
      </w:r>
      <w:r>
        <w:t xml:space="preserve">: bonos de 575 M al 4,125 % con vencimiento en julio de 2029 [3].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Pista de caja</w:t>
      </w:r>
      <w:r>
        <w:t xml:space="preserve">: no aplica, genera caja.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Acciones</w:t>
      </w:r>
      <w:r>
        <w:t xml:space="preserve">: 105,0 M en circulación más 9,9 M de RSU y 1,3 M de opciones = 116,2 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Dilución</w:t>
      </w:r>
      <w:r>
        <w:t xml:space="preserve">: −1,2 % en un año (acciones medias del 1T27 frente al 1T26), gracias a las recompras: 340 M USD en el ejercicio 2026 a 76,91 USD de media y 40 M en el 1T27 a 49,71 USD. Quedan solo 120 M del programa. Sin recompras nuevas, los pagos en acciones diluirían alrededor de un 2 % al año.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Pagos en acciones: 16,8 % de las ventas, en rojo.</w:t>
      </w:r>
      <w:r>
        <w:t xml:space="preserve"> </w:t>
      </w:r>
      <w:r>
        <w:t xml:space="preserve">Son 303 M USD en 12 meses, casi todo el FCF.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Historial 5/5</w:t>
      </w:r>
      <w:r>
        <w:t xml:space="preserve">: ha batido su guía de ventas en los cuatro últimos trimestres comprobados (por 1 a 3 puntos de crecimiento) y ha subido la guía anual en cada trimestre del ejercicio 2026.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Dirección 3/5</w:t>
      </w:r>
      <w:r>
        <w:t xml:space="preserve">: el consejero delegado, Ash Kulkarni, no es fundador (desde 2022). A favor: recortó un 7 % de plantilla para invertir en IA y recompra acciones. En contra: los dos cofundadores venden fuerte (Schuurman, el 58 % de lo que tenía en octubre; Banon, unos 90 M USD en septiembre), se fue el director de producto en julio, y las recompras del ejercicio 2026 se hicieron a 77 USD de media, más caras que las de este año [3][4][7].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Múltiplo</w:t>
      </w:r>
      <w:r>
        <w:t xml:space="preserve">: EV de 9.881 M USD sobre unas ventas de los próximos 12 meses de 2.074 M (guía del 2T, resto del año guiado y el consenso para el 1T del ejercicio 2028) =</w:t>
      </w:r>
      <w:r>
        <w:t xml:space="preserve"> </w:t>
      </w:r>
      <w:r>
        <w:rPr>
          <w:bCs/>
          <w:b/>
        </w:rPr>
        <w:t xml:space="preserve">4,8 veces</w:t>
      </w:r>
      <w:r>
        <w:t xml:space="preserve">. Mediana de 3 años: 5,25 veces; mínimo: 2,2 veces (abril de 2026). Comparables: 7,1 veces de mediana (Datadog 20,3; MongoDB 8,8; Dynatrace 7,1; SentinelOne 5,8; Commvault 4,8) [12][13].</w:t>
      </w:r>
    </w:p>
    <w:p>
      <w:pPr>
        <w:pStyle w:val="BodyText"/>
      </w:pPr>
      <w:r>
        <w:rPr>
          <w:bCs/>
          <w:b/>
        </w:rPr>
        <w:t xml:space="preserve">Ventas del año objetivo</w:t>
      </w:r>
      <w:r>
        <w:t xml:space="preserve"> </w:t>
      </w:r>
      <w:r>
        <w:t xml:space="preserve">(ago-2027 a jul-2028): la regla mecánica parte del 16,2 % y llega a 2.383 M en el base. Mi proyección: 2.200 M en el bajista, 2.370 M en el base (igual que el consenso de esa ventana, extrapolado del consenso del ejercicio 2028, 2.300 M) y 2.550 M en el alcista [8][14]. La v11 toma la menor en cada escenario: la mecánica en el bajista y el alcista, la mía en el base.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−37,6 %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+76,3 %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106,2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+15,3 %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Asimetría</w:t>
      </w:r>
      <w:r>
        <w:t xml:space="preserve">: 2,0.</w:t>
      </w:r>
      <w:r>
        <w:t xml:space="preserve"> </w:t>
      </w:r>
      <w:r>
        <w:rPr>
          <w:bCs/>
          <w:b/>
        </w:rPr>
        <w:t xml:space="preserve">Compra hasta</w:t>
      </w:r>
      <w:r>
        <w:t xml:space="preserve">: 101,1 USD.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 la v9</w:t>
      </w:r>
      <w:r>
        <w:t xml:space="preserve"> </w:t>
      </w:r>
      <w:r>
        <w:t xml:space="preserve">(sin el tope de mi proyección): ponderada +15,7 %, base +12 % y compra hasta 101,4 USD. Casi igual, porque la mecánica y el consenso coinciden.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Consenso</w:t>
      </w:r>
      <w:r>
        <w:t xml:space="preserve">: precio objetivo medio de 97,9 USD (MarketBeat) o 111,5 USD (S&amp;P Global, 30 analistas).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DCF inverso</w:t>
      </w:r>
      <w:r>
        <w:t xml:space="preserve">: el precio descuenta crecer un 7,7 % al año durante 10 años, con un margen FCF maduro del 28 %, descuento del 10 % y crecimiento perpetuo del 3 %.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Filtro previo, confirmado con los datos completos</w:t>
      </w:r>
      <w:r>
        <w:t xml:space="preserve">: A) crecimiento del 16,2 %, pasa por poco (≥ 15 %; sin compras relevantes, el orgánico es el mismo); B) no aplica, no es rentable de forma estable en GAAP; C) el mayor «cliente» es un socio de canal con el 10 %, pasa (≤ 40 %); D) el crecimiento descontado es 0,48 veces el actual, pasa (≤ 0,8; el filtro decía 0,44, la diferencia sale de contar todas las RSU y restar la compra de Deductive).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(15-oct): poca actividad. 3 mensajes alcistas y 1 bajista de 30. Se habla de la venta del cofundador Schuurman, de Turbopuffer como rival que «se la comerá» y de una posible ruptura técnica por encima de 95 USD [11].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Prensa y análisis</w:t>
      </w:r>
      <w:r>
        <w:t xml:space="preserve"> </w:t>
      </w:r>
      <w:r>
        <w:t xml:space="preserve">(may-oct): TIKR y StockStory explican la caída de 2026 por el miedo a que la IA sustituya al software, y el rebote por dos resultados buenos, el acuerdo con OpenAI y el uso de Elastic como base vectorial por más de 2.700 clientes de la nube. En castellano, TIKR («Elastic ha subido hoy un 12 %») recoge el mismo giro [9][10].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Reddit y Rankia</w:t>
      </w:r>
      <w:r>
        <w:t xml:space="preserve">: no accesibles desde aquí (laguna).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Lectura</w:t>
      </w:r>
      <w:r>
        <w:t xml:space="preserve">: el sentimiento mejoró mucho desde abril, pero sigue dividido (12 de 29 analistas en mantener; Morgan Stanley con objetivo de 75 USD). Los datos acompañan (cRPO +21 %, guía subida, FCF al alza). No hay euforia.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pStyle w:val="FirstParagraph"/>
      </w:pPr>
      <w:r>
        <w:rPr>
          <w:bCs/>
          <w:b/>
        </w:rPr>
        <w:t xml:space="preserve">Alertas del método (v11)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Pagos en acciones del 16,8 % de las ventas (&gt; 15 %)</w:t>
      </w:r>
      <w:r>
        <w:t xml:space="preserve">: restándolos, la regla del 40 baja de 35,6 a 18,8 y la puntuación de 69,7 a 67,7. La señal no cambia, pero debilita la calidad del FCF: casi toda la caja que genera se «paga» con acciones nuevas, y las recompras solo compensan esa dilución. Debilita la convicción, no la señal.</w:t>
      </w:r>
    </w:p>
    <w:p>
      <w:pPr>
        <w:pStyle w:val="BodyText"/>
      </w:pPr>
      <w:r>
        <w:rPr>
          <w:bCs/>
          <w:b/>
        </w:rPr>
        <w:t xml:space="preserve">Lo que más pesa en contra de la señal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 probabilidades 35/50/15</w:t>
      </w:r>
      <w:r>
        <w:t xml:space="preserve"> </w:t>
      </w:r>
      <w:r>
        <w:t xml:space="preserve">(prueba de robustez), la ponderada baja al 3,9 % y pasa a Mantener. No le toca por el método (no depende de un producto ni de una decisión regulatoria), pero muestra que el margen depende del escenario alcista.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 la v14 (candidata)</w:t>
      </w:r>
      <w:r>
        <w:t xml:space="preserve">, que usa una dilución prevista del 2 % en vez del −1,2 % pasado (las recompras se acaban), la ponderada baja al 11,7 % y el «compra hasta» a 98,0 USD. Sigue en Comprar (baja).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Crecimiento justo en el listón</w:t>
      </w:r>
      <w:r>
        <w:t xml:space="preserve">: un 15 % es el mínimo del filtro previo. Si la guía del ejercicio 2028 sale por debajo del 13 %, la tesis growth se queda corta.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Riesgo de IA: medio.</w:t>
      </w:r>
      <w:r>
        <w:t xml:space="preserve"> </w:t>
      </w:r>
      <w:r>
        <w:t xml:space="preserve">A favor: los agentes de IA necesitan buscar en los datos de la empresa, y muchas empresas ya los tienen dentro de Elasticsearch; la búsqueda híbrida (texto más vectores) es justo lo que pide la IA. En contra: (1) las nubes regalan búsqueda vectorial dentro de sus bases de datos (Postgres con pgvector, Azure AI Search, Vertex AI) y los laboratorios de IA ofrecen sus propias herramientas de búsqueda y memoria; (2) bases vectoriales nuevas y baratas como Turbopuffer; (3) en observabilidad y seguridad, los agentes de IA de Datadog, CrowdStrike o Microsoft compiten por el mismo presupuesto. La parte de búsqueda pura es la más expuesta; observabilidad y seguridad lo son menos.</w:t>
      </w:r>
    </w:p>
    <w:p>
      <w:pPr>
        <w:pStyle w:val="BodyText"/>
      </w:pPr>
      <w:r>
        <w:rPr>
          <w:bCs/>
          <w:b/>
        </w:rPr>
        <w:t xml:space="preserve">Señales de venta concretas</w:t>
      </w:r>
      <w:r>
        <w:t xml:space="preserve">: dos trimestres seguidos con las ventas creciendo menos del 12 %; cRPO por debajo del 15 %; retención neta por debajo del 108 %; que no llegue el beneficio operativo GAAP guiado; o una ponderada de −10 % o peor con el objetivo de este informe (precio por encima de unos 118 USD).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Finales de noviembre de 2026</w:t>
      </w:r>
      <w:r>
        <w:t xml:space="preserve"> </w:t>
      </w:r>
      <w:r>
        <w:t xml:space="preserve">(estimada; el año pasado, 20-nov): resultados del 2T27. Lo que hay que mirar: primer beneficio operativo GAAP, cRPO, nube y clientes grandes.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Junta de accionistas (octubre de 2026)</w:t>
      </w:r>
      <w:r>
        <w:t xml:space="preserve">: entrada en el consejo de Julia Liuson (ex Microsoft, GitHub Copilot).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Finales de febrero de 2027</w:t>
      </w:r>
      <w:r>
        <w:t xml:space="preserve">: resultados del 3T;</w:t>
      </w:r>
      <w:r>
        <w:t xml:space="preserve"> </w:t>
      </w:r>
      <w:r>
        <w:rPr>
          <w:bCs/>
          <w:b/>
        </w:rPr>
        <w:t xml:space="preserve">mayo de 2027</w:t>
      </w:r>
      <w:r>
        <w:t xml:space="preserve">: resultados del año y primera guía del ejercicio 2028.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Sin fecha</w:t>
      </w:r>
      <w:r>
        <w:t xml:space="preserve">: más ventas de los cofundadores (presión sobre el precio); nuevo programa de recompras (quedan 120 M).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Bolsillo growth lleno</w:t>
      </w:r>
      <w:r>
        <w:t xml:space="preserve"> </w:t>
      </w:r>
      <w:r>
        <w:t xml:space="preserve">(~20 %): Nu +22 %, Axon +35 %, Shopify +19 %, Snowflake +16 % y Samsara +17 % (ponderada al precio actual con la v11). Sin liquidez libre: solo cabe sustituir.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¿Sustituye a alguna?</w:t>
      </w:r>
      <w:r>
        <w:t xml:space="preserve"> </w:t>
      </w:r>
      <w:r>
        <w:t xml:space="preserve">No. Elastic da +15,3 % al cierre y +16,3 % al precio de fuera de hora, con convicción baja. La más floja de la cartera, Snowflake, da +16 % con convicción media. Para cambiar hace falta rendir claramente más con igual o más convicción, y Elastic no lo hace.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Exposición a IA</w:t>
      </w:r>
      <w:r>
        <w:t xml:space="preserve">: Alphabet se vende mañana y no cuenta. Elastic añadiría la misma exposición que ya dan Snowflake (datos para IA) y la suplente MongoDB (base de datos para aplicaciones de IA). No diversifica.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Puesto de suplente: quinta.</w:t>
      </w:r>
      <w:r>
        <w:t xml:space="preserve"> </w:t>
      </w:r>
      <w:r>
        <w:t xml:space="preserve">Orden: MongoDB, Toast, Zscaler, Rubrik,</w:t>
      </w:r>
      <w:r>
        <w:t xml:space="preserve"> </w:t>
      </w:r>
      <w:r>
        <w:rPr>
          <w:bCs/>
          <w:b/>
        </w:rPr>
        <w:t xml:space="preserve">Elastic</w:t>
      </w:r>
      <w:r>
        <w:t xml:space="preserve">, dLocal, Dexcom, argenx, Datadog, Reddit, Saab, Natera e Ypsomed. Va detrás de Zscaler y Rubrik, que dan lo mismo o algo más y Rubrik con más convicción; y detrás de MongoDB, que da más (+23 %) en el mismo terreno. Va delante de dLocal porque su señal no depende de cómo se mida la comisión, y es la única de la lista que cotiza por debajo de su mediana de 3 años sin alerta de euforia.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 entra</w:t>
      </w:r>
      <w:r>
        <w:t xml:space="preserve">: 3,5 % en dos tramos, la mitad por debajo de 101,1 USD y la otra mitad tras los resultados del 2T, si llega el beneficio operativo GAAP y el cRPO crece al menos un 18 %.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Prueba de robustez</w:t>
      </w:r>
      <w:r>
        <w:t xml:space="preserve"> </w:t>
      </w:r>
      <w:r>
        <w:t xml:space="preserve">(</w:t>
      </w:r>
      <w:r>
        <w:rPr>
          <w:rStyle w:val="VerbatimChar"/>
        </w:rPr>
        <w:t xml:space="preserve">herramientas/robustez-growth.mjs --precios</w:t>
      </w:r>
      <w:r>
        <w:t xml:space="preserve">):</w:t>
      </w:r>
      <w:r>
        <w:t xml:space="preserve"> </w:t>
      </w:r>
      <w:r>
        <w:rPr>
          <w:bCs/>
          <w:b/>
        </w:rPr>
        <w:t xml:space="preserve">SÓLIDA</w:t>
      </w:r>
      <w:r>
        <w:t xml:space="preserve">, señal robusta Comprar. Da Comprar con la v11, con la v7, con las ventas del analista y al precio de hoy con el objetivo fijo; solo pasa a Mantener con probabilidades 35/50/15. Avisos: el objetivo se mueve con el precio si se recalcula (por eso se deja fijo en 106,2 USD y el límite es 101,1 USD), y la convicción es baja (peso 3,5 % y en tramos).</w:t>
      </w:r>
    </w:p>
    <w:p>
      <w:pPr>
        <w:pStyle w:val="BodyText"/>
      </w:pPr>
      <w:r>
        <w:rPr>
          <w:bCs/>
          <w:b/>
        </w:rPr>
        <w:t xml:space="preserve">Mejora de método propuesta</w:t>
      </w:r>
      <w:r>
        <w:t xml:space="preserve">: que el bloque E mida la dilución bruta (pagos en acciones), no la neta de recompras. Elastic saca 5 de 5 en dilución porque recompra, pero sus pagos en acciones son el 16,8 % de las ventas y el programa de recompras está casi agotado; la dilución neta pasada premia algo que no se va a repetir.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numPr>
          <w:ilvl w:val="0"/>
          <w:numId w:val="1011"/>
        </w:numPr>
        <w:pStyle w:val="Compact"/>
      </w:pPr>
      <w:r>
        <w:t xml:space="preserve">Elastic, nota de resultados del 1T del ejercicio 2027 (27-ago-2026), 8-K ex. 99.1, SEC.</w:t>
      </w:r>
    </w:p>
    <w:p>
      <w:pPr>
        <w:numPr>
          <w:ilvl w:val="0"/>
          <w:numId w:val="1011"/>
        </w:numPr>
        <w:pStyle w:val="Compact"/>
      </w:pPr>
      <w:r>
        <w:t xml:space="preserve">Elastic, notas de resultados del 4T26 (28-may-2026), 3T26 (26-feb-2026), 2T26 (20-nov-2025) y 1T26 (28-ago-2025), 8-K ex. 99.1, SEC.</w:t>
      </w:r>
    </w:p>
    <w:p>
      <w:pPr>
        <w:numPr>
          <w:ilvl w:val="0"/>
          <w:numId w:val="1011"/>
        </w:numPr>
        <w:pStyle w:val="Compact"/>
      </w:pPr>
      <w:r>
        <w:t xml:space="preserve">Elastic, 10-Q del 1T27 (28-ago-2026), SEC: acciones, RSU y opciones, concentración, bonos, compras y recompras.</w:t>
      </w:r>
    </w:p>
    <w:p>
      <w:pPr>
        <w:numPr>
          <w:ilvl w:val="0"/>
          <w:numId w:val="1011"/>
        </w:numPr>
        <w:pStyle w:val="Compact"/>
      </w:pPr>
      <w:r>
        <w:t xml:space="preserve">Elastic, 8-K del 24-jun-2026 (reestructuración y salida del director de producto) y del 27-ago-2026 (nombramiento de Julia Liuson), SEC.</w:t>
      </w:r>
    </w:p>
    <w:p>
      <w:pPr>
        <w:numPr>
          <w:ilvl w:val="0"/>
          <w:numId w:val="1011"/>
        </w:numPr>
        <w:pStyle w:val="Compact"/>
      </w:pPr>
      <w:r>
        <w:t xml:space="preserve">SEC, Schedule 13D de Pictet Asset Management (26-ene y 6-oct-2026).</w:t>
      </w:r>
    </w:p>
    <w:p>
      <w:pPr>
        <w:numPr>
          <w:ilvl w:val="0"/>
          <w:numId w:val="1011"/>
        </w:numPr>
        <w:pStyle w:val="Compact"/>
      </w:pPr>
      <w:r>
        <w:t xml:space="preserve">Yahoo Finance chart API (ESTC, QQQ e IGV), leída el 15-oct a las 08:15 UTC; segunda fuente del cierre: Nasdaq.com.</w:t>
      </w:r>
    </w:p>
    <w:p>
      <w:pPr>
        <w:numPr>
          <w:ilvl w:val="0"/>
          <w:numId w:val="1011"/>
        </w:numPr>
        <w:pStyle w:val="Compact"/>
      </w:pPr>
      <w:r>
        <w:t xml:space="preserve">SEC, formularios 4 de directivos y consejeros (oct-2025 a oct-2026).</w:t>
      </w:r>
    </w:p>
    <w:p>
      <w:pPr>
        <w:numPr>
          <w:ilvl w:val="0"/>
          <w:numId w:val="1011"/>
        </w:numPr>
        <w:pStyle w:val="Compact"/>
      </w:pPr>
      <w:r>
        <w:t xml:space="preserve">MarketBeat y StockAnalysis (S&amp;P Global): precios objetivo, recomendaciones y consenso de ventas (9 y 15-oct-2026).</w:t>
      </w:r>
    </w:p>
    <w:p>
      <w:pPr>
        <w:numPr>
          <w:ilvl w:val="0"/>
          <w:numId w:val="1011"/>
        </w:numPr>
        <w:pStyle w:val="Compact"/>
      </w:pPr>
      <w:r>
        <w:t xml:space="preserve">TIKR y StockStory (may-ago 2026), también en castellano.</w:t>
      </w:r>
    </w:p>
    <w:p>
      <w:pPr>
        <w:numPr>
          <w:ilvl w:val="0"/>
          <w:numId w:val="1011"/>
        </w:numPr>
        <w:pStyle w:val="Compact"/>
      </w:pPr>
      <w:r>
        <w:t xml:space="preserve">Barchart y Nasdaq.com (28-ago-2026).</w:t>
      </w:r>
    </w:p>
    <w:p>
      <w:pPr>
        <w:numPr>
          <w:ilvl w:val="0"/>
          <w:numId w:val="1011"/>
        </w:numPr>
        <w:pStyle w:val="Compact"/>
      </w:pPr>
      <w:r>
        <w:t xml:space="preserve">StockTwits (API pública, 15-oct-2026).</w:t>
      </w:r>
    </w:p>
    <w:p>
      <w:pPr>
        <w:numPr>
          <w:ilvl w:val="0"/>
          <w:numId w:val="1011"/>
        </w:numPr>
        <w:pStyle w:val="Compact"/>
      </w:pPr>
      <w:r>
        <w:t xml:space="preserve">Cálculo propio del EV, del EV/ventas de los 12 meses siguientes desde octubre de 2023 y del DCF inverso.</w:t>
      </w:r>
    </w:p>
    <w:p>
      <w:pPr>
        <w:numPr>
          <w:ilvl w:val="0"/>
          <w:numId w:val="1011"/>
        </w:numPr>
        <w:pStyle w:val="Compact"/>
      </w:pPr>
      <w:r>
        <w:t xml:space="preserve">Comparables: StockAnalysis (cierre del 14-oct) e informes growth del repo.</w:t>
      </w:r>
    </w:p>
    <w:p>
      <w:pPr>
        <w:numPr>
          <w:ilvl w:val="0"/>
          <w:numId w:val="1011"/>
        </w:numPr>
        <w:pStyle w:val="Compact"/>
      </w:pPr>
      <w:r>
        <w:t xml:space="preserve">De memoria, sin verificar en esta sesión: mercado alcanzable y consenso de la ventana objetivo extrapolado.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2026-10-15T08:31:32Z</dcterms:created>
  <dcterms:modified xsi:type="dcterms:W3CDTF">2026-10-15T08:31:32Z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