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flywire-flyw-análisis-growth-15-oct-2026"/>
    <w:p>
      <w:pPr>
        <w:pStyle w:val="Heading1"/>
      </w:pPr>
      <w:r>
        <w:t xml:space="preserve">Flywire (FLYW): análisis growth, 15-oct-2026</w:t>
      </w:r>
    </w:p>
    <w:p>
      <w:pPr>
        <w:pStyle w:val="FirstParagraph"/>
      </w:pPr>
      <w:r>
        <w:rPr>
          <w:bCs/>
          <w:b/>
        </w:rPr>
        <w:t xml:space="preserve">Señal: Mantener</w:t>
      </w:r>
      <w:r>
        <w:t xml:space="preserve"> </w:t>
      </w:r>
      <w:r>
        <w:t xml:space="preserve">· Puntuación 73,2/100 · Señales de cambio de tendencia 7/8</w:t>
      </w:r>
      <w:r>
        <w:t xml:space="preserve"> </w:t>
      </w:r>
      <w:r>
        <w:t xml:space="preserve">Precio 18,06 USD (cierre del 14-oct) · Objetivo 12 m 17,7 USD (ponderada −1,9 %, base −1,1 %, bajista −42,4 %, alcista +36,6 %) · Compra hasta 16,9 USD</w:t>
      </w:r>
      <w:r>
        <w:t xml:space="preserve"> </w:t>
      </w:r>
      <w:r>
        <w:t xml:space="preserve">Método v11 (vigente). Con v9 al lado: Comprar (baja), ponderada +11,3 %, base +14,3 %, bajista −40,4 %, compra hasta 19,1 USD.</w:t>
      </w:r>
      <w:r>
        <w:t xml:space="preserve"> </w:t>
      </w:r>
      <w:r>
        <w:t xml:space="preserve">Al precio de ahora (18,06 USD, última operación del 14-oct a las 20:00 UTC; el mercado aún no ha abierto el 15-oct) y con el objetivo fijo: −2,0 %.</w:t>
      </w:r>
      <w:r>
        <w:t xml:space="preserve"> </w:t>
      </w:r>
      <w:r>
        <w:t xml:space="preserve">Peso orientativo:</w:t>
      </w:r>
      <w:r>
        <w:t xml:space="preserve"> </w:t>
      </w:r>
      <w:r>
        <w:rPr>
          <w:bCs/>
          <w:b/>
        </w:rPr>
        <w:t xml:space="preserve">no entra</w:t>
      </w:r>
      <w:r>
        <w:t xml:space="preserve">. Pasaría a Comprar por debajo de 16,9 USD o si los resultados del 3T suben las previsiones de ventas de 2027-2028 un 8 %.</w:t>
      </w:r>
    </w:p>
    <w:bookmarkStart w:id="20" w:name="la-tesis-en-cinco-líneas"/>
    <w:p>
      <w:pPr>
        <w:pStyle w:val="Heading2"/>
      </w:pPr>
      <w:r>
        <w:t xml:space="preserve">1. La tesis en cinco líneas</w:t>
      </w:r>
    </w:p>
    <w:p>
      <w:pPr>
        <w:numPr>
          <w:ilvl w:val="0"/>
          <w:numId w:val="1001"/>
        </w:numPr>
        <w:pStyle w:val="Compact"/>
      </w:pPr>
      <w:r>
        <w:t xml:space="preserve">Flywire cobra pagos difíciles: matrículas de estudiantes extranjeros, facturas de hospitales, viajes caros y cobros entre empresas. Junta una red de cuentas bancarias locales en más de 140 monedas con software metido en los sistemas de cobro de cada cliente.</w:t>
      </w:r>
    </w:p>
    <w:p>
      <w:pPr>
        <w:numPr>
          <w:ilvl w:val="0"/>
          <w:numId w:val="1001"/>
        </w:numPr>
        <w:pStyle w:val="Compact"/>
      </w:pPr>
      <w:r>
        <w:t xml:space="preserve">Crece un 27 % sin contar compras, bate su guía cada trimestre por unos 8 puntos y ya gana dinero en el semestre. Cotiza a 2,6 veces las ventas de los 12 meses siguientes y a 4,4 veces el beneficio bruto: es barata.</w:t>
      </w:r>
    </w:p>
    <w:p>
      <w:pPr>
        <w:numPr>
          <w:ilvl w:val="0"/>
          <w:numId w:val="1001"/>
        </w:numPr>
        <w:pStyle w:val="Compact"/>
      </w:pPr>
      <w:r>
        <w:t xml:space="preserve">El problema es lo que viene. La propia empresa guía un +18 % para el segundo semestre y los analistas esperan un +15 % en 2027, porque Canadá, Australia, Reino Unido y EE. UU. ponen límites a los estudiantes extranjeros.</w:t>
      </w:r>
    </w:p>
    <w:p>
      <w:pPr>
        <w:numPr>
          <w:ilvl w:val="0"/>
          <w:numId w:val="1001"/>
        </w:numPr>
        <w:pStyle w:val="Compact"/>
      </w:pPr>
      <w:r>
        <w:t xml:space="preserve">Con las ventas del consenso, el precio de hoy ya está en el objetivo: ponderada del −1,9 %. Solo con la proyección mecánica (que proyecta el pasado) saldría Comprar.</w:t>
      </w:r>
    </w:p>
    <w:p>
      <w:pPr>
        <w:numPr>
          <w:ilvl w:val="0"/>
          <w:numId w:val="1001"/>
        </w:numPr>
        <w:pStyle w:val="Compact"/>
      </w:pPr>
      <w:r>
        <w:t xml:space="preserve">Es buena empresa a un precio justo, no una oportunidad. Se vigila: si en noviembre vuelve a batir y el consenso sube, o si el precio baja de 16,9 USD.</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vende:</w:t>
      </w:r>
      <w:r>
        <w:t xml:space="preserve"> </w:t>
      </w:r>
      <w:r>
        <w:t xml:space="preserve">el cobro completo de pagos que llegan de otros países o que son complejos. El que paga elige su moneda y su método local, y Flywire entrega el dinero conciliado en el sistema del cliente. El 83 % de los ingresos viene de comisiones por transacción y el 17 % de software y otros [1].</w:t>
      </w:r>
    </w:p>
    <w:p>
      <w:pPr>
        <w:numPr>
          <w:ilvl w:val="0"/>
          <w:numId w:val="1002"/>
        </w:numPr>
        <w:pStyle w:val="Compact"/>
      </w:pPr>
      <w:r>
        <w:rPr>
          <w:bCs/>
          <w:b/>
        </w:rPr>
        <w:t xml:space="preserve">A quién:</w:t>
      </w:r>
      <w:r>
        <w:t xml:space="preserve"> </w:t>
      </w:r>
      <w:r>
        <w:t xml:space="preserve">unos 5.300 clientes, sin contar Sertifi ni Invoiced. Son más de 3.300 centros educativos, más de 150 sistemas de salud de EE. UU. (cuatro de los diez mayores) y unos 1.800 clientes de viajes y empresas [6].</w:t>
      </w:r>
    </w:p>
    <w:p>
      <w:pPr>
        <w:numPr>
          <w:ilvl w:val="0"/>
          <w:numId w:val="1002"/>
        </w:numPr>
        <w:pStyle w:val="Compact"/>
      </w:pPr>
      <w:r>
        <w:rPr>
          <w:bCs/>
          <w:b/>
        </w:rPr>
        <w:t xml:space="preserve">Qué tiene de nuevo:</w:t>
      </w:r>
    </w:p>
    <w:p>
      <w:pPr>
        <w:numPr>
          <w:ilvl w:val="1"/>
          <w:numId w:val="1003"/>
        </w:numPr>
        <w:pStyle w:val="Compact"/>
      </w:pPr>
      <w:r>
        <w:t xml:space="preserve">Software por vertical: servicios financieros para estudiantes (SFS), integración con Workday Student, firma y autorización de pagos de hoteles (Sertifi) y cobros entre empresas (Invoiced).</w:t>
      </w:r>
    </w:p>
    <w:p>
      <w:pPr>
        <w:numPr>
          <w:ilvl w:val="1"/>
          <w:numId w:val="1003"/>
        </w:numPr>
        <w:pStyle w:val="Compact"/>
      </w:pPr>
      <w:r>
        <w:t xml:space="preserve">Funciones con agentes de IA, que empezaron a venderse en 2026 [1].</w:t>
      </w:r>
    </w:p>
    <w:p>
      <w:pPr>
        <w:numPr>
          <w:ilvl w:val="0"/>
          <w:numId w:val="1002"/>
        </w:numPr>
        <w:pStyle w:val="Compact"/>
      </w:pPr>
      <w:r>
        <w:rPr>
          <w:bCs/>
          <w:b/>
        </w:rPr>
        <w:t xml:space="preserve">Volumen:</w:t>
      </w:r>
      <w:r>
        <w:t xml:space="preserve"> </w:t>
      </w:r>
      <w:r>
        <w:t xml:space="preserve">8.200 M USD en el 2T26 (+38 %) [1].</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w:t>
            </w:r>
          </w:p>
        </w:tc>
        <w:tc>
          <w:tcPr/>
          <w:p>
            <w:pPr>
              <w:pStyle w:val="Compact"/>
              <w:jc w:val="left"/>
            </w:pPr>
            <w:r>
              <w:t xml:space="preserve">Del que es compra (Sertifi)</w:t>
            </w:r>
          </w:p>
        </w:tc>
        <w:tc>
          <w:tcPr/>
          <w:p>
            <w:pPr>
              <w:pStyle w:val="Compact"/>
              <w:jc w:val="left"/>
            </w:pPr>
            <w:r>
              <w:t xml:space="preserve">Guía a tipo constante (punto medio)</w:t>
            </w:r>
          </w:p>
        </w:tc>
        <w:tc>
          <w:tcPr/>
          <w:p>
            <w:pPr>
              <w:pStyle w:val="Compact"/>
              <w:jc w:val="left"/>
            </w:pPr>
            <w:r>
              <w:t xml:space="preserve">Real a tipo constante</w:t>
            </w:r>
          </w:p>
        </w:tc>
        <w:tc>
          <w:tcPr/>
          <w:p>
            <w:pPr>
              <w:pStyle w:val="Compact"/>
              <w:jc w:val="left"/>
            </w:pPr>
            <w:r>
              <w:t xml:space="preserve">Exceso</w:t>
            </w:r>
          </w:p>
        </w:tc>
      </w:tr>
      <w:tr>
        <w:tc>
          <w:tcPr/>
          <w:p>
            <w:pPr>
              <w:pStyle w:val="Compact"/>
              <w:jc w:val="left"/>
            </w:pPr>
            <w:r>
              <w:t xml:space="preserve">2T25</w:t>
            </w:r>
          </w:p>
        </w:tc>
        <w:tc>
          <w:tcPr/>
          <w:p>
            <w:pPr>
              <w:pStyle w:val="Compact"/>
              <w:jc w:val="left"/>
            </w:pPr>
            <w:r>
              <w:t xml:space="preserve">131,9</w:t>
            </w:r>
          </w:p>
        </w:tc>
        <w:tc>
          <w:tcPr/>
          <w:p>
            <w:pPr>
              <w:pStyle w:val="Compact"/>
              <w:jc w:val="left"/>
            </w:pPr>
            <w:r>
              <w:t xml:space="preserve">+27,2 %</w:t>
            </w:r>
          </w:p>
        </w:tc>
        <w:tc>
          <w:tcPr/>
          <w:p>
            <w:pPr>
              <w:pStyle w:val="Compact"/>
              <w:jc w:val="left"/>
            </w:pPr>
            <w:r>
              <w:t xml:space="preserve">12,4 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3T25</w:t>
            </w:r>
          </w:p>
        </w:tc>
        <w:tc>
          <w:tcPr/>
          <w:p>
            <w:pPr>
              <w:pStyle w:val="Compact"/>
              <w:jc w:val="left"/>
            </w:pPr>
            <w:r>
              <w:t xml:space="preserve">200,1</w:t>
            </w:r>
          </w:p>
        </w:tc>
        <w:tc>
          <w:tcPr/>
          <w:p>
            <w:pPr>
              <w:pStyle w:val="Compact"/>
              <w:jc w:val="left"/>
            </w:pPr>
            <w:r>
              <w:t xml:space="preserve">+27,6 %</w:t>
            </w:r>
          </w:p>
        </w:tc>
        <w:tc>
          <w:tcPr/>
          <w:p>
            <w:pPr>
              <w:pStyle w:val="Compact"/>
              <w:jc w:val="left"/>
            </w:pPr>
            <w:r>
              <w:t xml:space="preserve">12,9 M</w:t>
            </w:r>
          </w:p>
        </w:tc>
        <w:tc>
          <w:tcPr/>
          <w:p>
            <w:pPr>
              <w:pStyle w:val="Compact"/>
              <w:jc w:val="left"/>
            </w:pPr>
            <w:r>
              <w:t xml:space="preserve">17 %</w:t>
            </w:r>
          </w:p>
        </w:tc>
        <w:tc>
          <w:tcPr/>
          <w:p>
            <w:pPr>
              <w:pStyle w:val="Compact"/>
              <w:jc w:val="left"/>
            </w:pPr>
            <w:r>
              <w:t xml:space="preserve">26,3 %</w:t>
            </w:r>
          </w:p>
        </w:tc>
        <w:tc>
          <w:tcPr/>
          <w:p>
            <w:pPr>
              <w:pStyle w:val="Compact"/>
              <w:jc w:val="left"/>
            </w:pPr>
            <w:r>
              <w:t xml:space="preserve">+9,3 pp</w:t>
            </w:r>
          </w:p>
        </w:tc>
      </w:tr>
      <w:tr>
        <w:tc>
          <w:tcPr/>
          <w:p>
            <w:pPr>
              <w:pStyle w:val="Compact"/>
              <w:jc w:val="left"/>
            </w:pPr>
            <w:r>
              <w:t xml:space="preserve">4T25</w:t>
            </w:r>
          </w:p>
        </w:tc>
        <w:tc>
          <w:tcPr/>
          <w:p>
            <w:pPr>
              <w:pStyle w:val="Compact"/>
              <w:jc w:val="left"/>
            </w:pPr>
            <w:r>
              <w:t xml:space="preserve">157,5</w:t>
            </w:r>
          </w:p>
        </w:tc>
        <w:tc>
          <w:tcPr/>
          <w:p>
            <w:pPr>
              <w:pStyle w:val="Compact"/>
              <w:jc w:val="left"/>
            </w:pPr>
            <w:r>
              <w:t xml:space="preserve">+34,0 %</w:t>
            </w:r>
          </w:p>
        </w:tc>
        <w:tc>
          <w:tcPr/>
          <w:p>
            <w:pPr>
              <w:pStyle w:val="Compact"/>
              <w:jc w:val="left"/>
            </w:pPr>
            <w:r>
              <w:t xml:space="preserve">14,2 M</w:t>
            </w:r>
          </w:p>
        </w:tc>
        <w:tc>
          <w:tcPr/>
          <w:p>
            <w:pPr>
              <w:pStyle w:val="Compact"/>
              <w:jc w:val="left"/>
            </w:pPr>
            <w:r>
              <w:t xml:space="preserve">25 %</w:t>
            </w:r>
          </w:p>
        </w:tc>
        <w:tc>
          <w:tcPr/>
          <w:p>
            <w:pPr>
              <w:pStyle w:val="Compact"/>
              <w:jc w:val="left"/>
            </w:pPr>
            <w:r>
              <w:t xml:space="preserve">32,6 %</w:t>
            </w:r>
          </w:p>
        </w:tc>
        <w:tc>
          <w:tcPr/>
          <w:p>
            <w:pPr>
              <w:pStyle w:val="Compact"/>
              <w:jc w:val="left"/>
            </w:pPr>
            <w:r>
              <w:t xml:space="preserve">+7,6 pp</w:t>
            </w:r>
          </w:p>
        </w:tc>
      </w:tr>
      <w:tr>
        <w:tc>
          <w:tcPr/>
          <w:p>
            <w:pPr>
              <w:pStyle w:val="Compact"/>
              <w:jc w:val="left"/>
            </w:pPr>
            <w:r>
              <w:t xml:space="preserve">1T26</w:t>
            </w:r>
          </w:p>
        </w:tc>
        <w:tc>
          <w:tcPr/>
          <w:p>
            <w:pPr>
              <w:pStyle w:val="Compact"/>
              <w:jc w:val="left"/>
            </w:pPr>
            <w:r>
              <w:t xml:space="preserve">188,1</w:t>
            </w:r>
          </w:p>
        </w:tc>
        <w:tc>
          <w:tcPr/>
          <w:p>
            <w:pPr>
              <w:pStyle w:val="Compact"/>
              <w:jc w:val="left"/>
            </w:pPr>
            <w:r>
              <w:t xml:space="preserve">+41,0 %</w:t>
            </w:r>
          </w:p>
        </w:tc>
        <w:tc>
          <w:tcPr/>
          <w:p>
            <w:pPr>
              <w:pStyle w:val="Compact"/>
              <w:jc w:val="left"/>
            </w:pPr>
            <w:r>
              <w:t xml:space="preserve">parte (hasta el 24-feb)</w:t>
            </w:r>
          </w:p>
        </w:tc>
        <w:tc>
          <w:tcPr/>
          <w:p>
            <w:pPr>
              <w:pStyle w:val="Compact"/>
              <w:jc w:val="left"/>
            </w:pPr>
            <w:r>
              <w:t xml:space="preserve">28 %</w:t>
            </w:r>
          </w:p>
        </w:tc>
        <w:tc>
          <w:tcPr/>
          <w:p>
            <w:pPr>
              <w:pStyle w:val="Compact"/>
              <w:jc w:val="left"/>
            </w:pPr>
            <w:r>
              <w:t xml:space="preserve">37,2 %</w:t>
            </w:r>
          </w:p>
        </w:tc>
        <w:tc>
          <w:tcPr/>
          <w:p>
            <w:pPr>
              <w:pStyle w:val="Compact"/>
              <w:jc w:val="left"/>
            </w:pPr>
            <w:r>
              <w:t xml:space="preserve">+9,2 pp</w:t>
            </w:r>
          </w:p>
        </w:tc>
      </w:tr>
      <w:tr>
        <w:tc>
          <w:tcPr/>
          <w:p>
            <w:pPr>
              <w:pStyle w:val="Compact"/>
              <w:jc w:val="left"/>
            </w:pPr>
            <w:r>
              <w:t xml:space="preserve">2T26</w:t>
            </w:r>
          </w:p>
        </w:tc>
        <w:tc>
          <w:tcPr/>
          <w:p>
            <w:pPr>
              <w:pStyle w:val="Compact"/>
              <w:jc w:val="left"/>
            </w:pPr>
            <w:r>
              <w:t xml:space="preserve">167,7</w:t>
            </w:r>
          </w:p>
        </w:tc>
        <w:tc>
          <w:tcPr/>
          <w:p>
            <w:pPr>
              <w:pStyle w:val="Compact"/>
              <w:jc w:val="left"/>
            </w:pPr>
            <w:r>
              <w:t xml:space="preserve">+27,2 %</w:t>
            </w:r>
          </w:p>
        </w:tc>
        <w:tc>
          <w:tcPr/>
          <w:p>
            <w:pPr>
              <w:pStyle w:val="Compact"/>
              <w:jc w:val="left"/>
            </w:pPr>
            <w:r>
              <w:t xml:space="preserve">ya orgánico</w:t>
            </w:r>
          </w:p>
        </w:tc>
        <w:tc>
          <w:tcPr/>
          <w:p>
            <w:pPr>
              <w:pStyle w:val="Compact"/>
              <w:jc w:val="left"/>
            </w:pPr>
            <w:r>
              <w:t xml:space="preserve">21 %</w:t>
            </w:r>
          </w:p>
        </w:tc>
        <w:tc>
          <w:tcPr/>
          <w:p>
            <w:pPr>
              <w:pStyle w:val="Compact"/>
              <w:jc w:val="left"/>
            </w:pPr>
            <w:r>
              <w:t xml:space="preserve">26,9 %</w:t>
            </w:r>
          </w:p>
        </w:tc>
        <w:tc>
          <w:tcPr/>
          <w:p>
            <w:pPr>
              <w:pStyle w:val="Compact"/>
              <w:jc w:val="left"/>
            </w:pPr>
            <w:r>
              <w:t xml:space="preserve">+5,9 pp</w:t>
            </w:r>
          </w:p>
        </w:tc>
      </w:tr>
      <w:tr>
        <w:tc>
          <w:tcPr/>
          <w:p>
            <w:pPr>
              <w:pStyle w:val="Compact"/>
              <w:jc w:val="left"/>
            </w:pPr>
            <w:r>
              <w:rPr>
                <w:bCs/>
                <w:b/>
              </w:rPr>
              <w:t xml:space="preserve">12 meses a jun-2026</w:t>
            </w:r>
          </w:p>
        </w:tc>
        <w:tc>
          <w:tcPr/>
          <w:p>
            <w:pPr>
              <w:pStyle w:val="Compact"/>
              <w:jc w:val="left"/>
            </w:pPr>
            <w:r>
              <w:rPr>
                <w:bCs/>
                <w:b/>
              </w:rPr>
              <w:t xml:space="preserve">713,5</w:t>
            </w:r>
          </w:p>
        </w:tc>
        <w:tc>
          <w:tcPr/>
          <w:p>
            <w:pPr>
              <w:pStyle w:val="Compact"/>
              <w:jc w:val="left"/>
            </w:pPr>
            <w:r>
              <w:rPr>
                <w:bCs/>
                <w:b/>
              </w:rPr>
              <w:t xml:space="preserve">+32,2 %</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Ejercicio 2025 / 2024</w:t>
            </w:r>
          </w:p>
        </w:tc>
        <w:tc>
          <w:tcPr/>
          <w:p>
            <w:pPr>
              <w:pStyle w:val="Compact"/>
              <w:jc w:val="left"/>
            </w:pPr>
            <w:r>
              <w:t xml:space="preserve">623,0 / 492,1</w:t>
            </w:r>
          </w:p>
        </w:tc>
        <w:tc>
          <w:tcPr/>
          <w:p>
            <w:pPr>
              <w:pStyle w:val="Compact"/>
              <w:jc w:val="left"/>
            </w:pPr>
            <w:r>
              <w:t xml:space="preserve">+26,6 % / +22,1 %</w:t>
            </w:r>
          </w:p>
        </w:tc>
        <w:tc>
          <w:tcPr/>
          <w:p>
            <w:pPr>
              <w:pStyle w:val="Compact"/>
            </w:pPr>
          </w:p>
        </w:tc>
        <w:tc>
          <w:tcPr/>
          <w:p>
            <w:pPr>
              <w:pStyle w:val="Compact"/>
            </w:pPr>
          </w:p>
        </w:tc>
        <w:tc>
          <w:tcPr/>
          <w:p>
            <w:pPr>
              <w:pStyle w:val="Compact"/>
            </w:pPr>
          </w:p>
        </w:tc>
        <w:tc>
          <w:tcPr/>
          <w:p>
            <w:pPr>
              <w:pStyle w:val="Compact"/>
            </w:pPr>
          </w:p>
        </w:tc>
      </w:tr>
    </w:tbl>
    <w:p>
      <w:pPr>
        <w:pStyle w:val="BodyText"/>
      </w:pPr>
      <w:r>
        <w:t xml:space="preserve">Fuentes: [1][2][3][4][6]. Las guías son de ventas sin servicios auxiliares.</w:t>
      </w:r>
    </w:p>
    <w:p>
      <w:pPr>
        <w:numPr>
          <w:ilvl w:val="0"/>
          <w:numId w:val="1004"/>
        </w:numPr>
        <w:pStyle w:val="Compact"/>
      </w:pPr>
      <w:r>
        <w:rPr>
          <w:bCs/>
          <w:b/>
        </w:rPr>
        <w:t xml:space="preserve">Orgánico:</w:t>
      </w:r>
      <w:r>
        <w:t xml:space="preserve"> </w:t>
      </w:r>
      <w:r>
        <w:t xml:space="preserve">Sertifi se compró el 24-feb-2025 y aporta unos 13-14 M al trimestre. Sin ella, las ventas de 12 meses crecen un 26 %. El último trimestre ya es orgánico: +27,2 % [6].</w:t>
      </w:r>
    </w:p>
    <w:p>
      <w:pPr>
        <w:numPr>
          <w:ilvl w:val="0"/>
          <w:numId w:val="1004"/>
        </w:numPr>
        <w:pStyle w:val="Compact"/>
      </w:pPr>
      <w:r>
        <w:rPr>
          <w:bCs/>
          <w:b/>
        </w:rPr>
        <w:t xml:space="preserve">Aceleración:</w:t>
      </w:r>
      <w:r>
        <w:t xml:space="preserve"> </w:t>
      </w:r>
      <w:r>
        <w:t xml:space="preserve">con las cifras publicadas, el último trimestre crece 5,2 puntos menos que la media de los cuatro anteriores, que llevaban Sertifi. Sin Sertifi, acelera unos 4 puntos (cálculo propio).</w:t>
      </w:r>
    </w:p>
    <w:p>
      <w:pPr>
        <w:numPr>
          <w:ilvl w:val="0"/>
          <w:numId w:val="1004"/>
        </w:numPr>
        <w:pStyle w:val="Compact"/>
      </w:pPr>
      <w:r>
        <w:rPr>
          <w:bCs/>
          <w:b/>
        </w:rPr>
        <w:t xml:space="preserve">Crecimiento propio a 2 años:</w:t>
      </w:r>
      <w:r>
        <w:t xml:space="preserve"> </w:t>
      </w:r>
      <w:r>
        <w:t xml:space="preserve">27,1 % al año.</w:t>
      </w:r>
    </w:p>
    <w:p>
      <w:pPr>
        <w:numPr>
          <w:ilvl w:val="0"/>
          <w:numId w:val="1004"/>
        </w:numPr>
        <w:pStyle w:val="Compact"/>
      </w:pPr>
      <w:r>
        <w:rPr>
          <w:bCs/>
          <w:b/>
        </w:rPr>
        <w:t xml:space="preserve">Guía de 2026:</w:t>
      </w:r>
      <w:r>
        <w:t xml:space="preserve"> </w:t>
      </w:r>
      <w:r>
        <w:t xml:space="preserve">+21-27 % a tipo constante. Se ha subido dos veces (en febrero era +15-21 %). El segundo semestre implícito crece un 18 % y la guía del 3T es de +16-22 % [1][3].</w:t>
      </w:r>
    </w:p>
    <w:p>
      <w:pPr>
        <w:numPr>
          <w:ilvl w:val="0"/>
          <w:numId w:val="1004"/>
        </w:numPr>
        <w:pStyle w:val="Compact"/>
      </w:pPr>
      <w:r>
        <w:rPr>
          <w:bCs/>
          <w:b/>
        </w:rPr>
        <w:t xml:space="preserve">Historial frente a la guía:</w:t>
      </w:r>
      <w:r>
        <w:t xml:space="preserve"> </w:t>
      </w:r>
      <w:r>
        <w:t xml:space="preserve">en los últimos cuatro trimestres batió el punto medio por 8 puntos de media.</w:t>
      </w:r>
    </w:p>
    <w:p>
      <w:pPr>
        <w:numPr>
          <w:ilvl w:val="0"/>
          <w:numId w:val="1004"/>
        </w:numPr>
        <w:pStyle w:val="Compact"/>
      </w:pPr>
      <w:r>
        <w:rPr>
          <w:bCs/>
          <w:b/>
        </w:rPr>
        <w:t xml:space="preserve">Retención neta en dólares:</w:t>
      </w:r>
      <w:r>
        <w:t xml:space="preserve"> </w:t>
      </w:r>
      <w:r>
        <w:t xml:space="preserve">unos 110 % en 2025 [6].</w:t>
      </w:r>
    </w:p>
    <w:bookmarkEnd w:id="22"/>
    <w:bookmarkStart w:id="23" w:name="mercado-y-competencia"/>
    <w:p>
      <w:pPr>
        <w:pStyle w:val="Heading2"/>
      </w:pPr>
      <w:r>
        <w:t xml:space="preserve">4. Mercado y competencia</w:t>
      </w:r>
    </w:p>
    <w:p>
      <w:pPr>
        <w:numPr>
          <w:ilvl w:val="0"/>
          <w:numId w:val="1005"/>
        </w:numPr>
        <w:pStyle w:val="Compact"/>
      </w:pPr>
      <w:r>
        <w:rPr>
          <w:bCs/>
          <w:b/>
        </w:rPr>
        <w:t xml:space="preserve">Mercado alcanzable:</w:t>
      </w:r>
      <w:r>
        <w:t xml:space="preserve"> </w:t>
      </w:r>
      <w:r>
        <w:t xml:space="preserve">unos 9.000 M USD de ingresos en 2028. Es una estimación propia: pagos internacionales de matrícula y alojamiento de 6-7 M de estudiantes, pagos de pacientes en EE. UU., viajes de lujo y cobros entre empresas, a la comisión media de Flywire (~1,7 % del volumen) [16]. Flywire vende hoy el 7,9 % de esa cifra.</w:t>
      </w:r>
    </w:p>
    <w:p>
      <w:pPr>
        <w:numPr>
          <w:ilvl w:val="0"/>
          <w:numId w:val="1005"/>
        </w:numPr>
        <w:pStyle w:val="Compact"/>
      </w:pPr>
      <w:r>
        <w:rPr>
          <w:bCs/>
          <w:b/>
        </w:rPr>
        <w:t xml:space="preserve">Rivales:</w:t>
      </w:r>
    </w:p>
    <w:p>
      <w:pPr>
        <w:numPr>
          <w:ilvl w:val="1"/>
          <w:numId w:val="1006"/>
        </w:numPr>
        <w:pStyle w:val="Compact"/>
      </w:pPr>
      <w:r>
        <w:t xml:space="preserve">En educación, Convera (antes Western Union Business Solutions), TransferMate y PayMyTuition.</w:t>
      </w:r>
    </w:p>
    <w:p>
      <w:pPr>
        <w:numPr>
          <w:ilvl w:val="1"/>
          <w:numId w:val="1006"/>
        </w:numPr>
        <w:pStyle w:val="Compact"/>
      </w:pPr>
      <w:r>
        <w:t xml:space="preserve">Las transferencias de siempre de los bancos y las plataformas de pagos generalistas (Stripe, Adyen).</w:t>
      </w:r>
    </w:p>
    <w:p>
      <w:pPr>
        <w:numPr>
          <w:ilvl w:val="1"/>
          <w:numId w:val="1006"/>
        </w:numPr>
        <w:pStyle w:val="Compact"/>
      </w:pPr>
      <w:r>
        <w:t xml:space="preserve">En salud, las propias plataformas de facturación de los hospitales [dato de memoria].</w:t>
      </w:r>
    </w:p>
    <w:p>
      <w:pPr>
        <w:numPr>
          <w:ilvl w:val="0"/>
          <w:numId w:val="1005"/>
        </w:numPr>
        <w:pStyle w:val="Compact"/>
      </w:pPr>
      <w:r>
        <w:rPr>
          <w:bCs/>
          <w:b/>
        </w:rPr>
        <w:t xml:space="preserve">Por qué gana:</w:t>
      </w:r>
      <w:r>
        <w:t xml:space="preserve"> </w:t>
      </w:r>
      <w:r>
        <w:t xml:space="preserve">combina la red de pagos locales con el software conectado al sistema del cliente (Workday, NetSuite, sistemas de estudiantes y de hospitales). Cambiar de proveedor es caro: la pérdida de ingresos en educación y viajes es inferior al 1 % al año [3].</w:t>
      </w:r>
    </w:p>
    <w:p>
      <w:pPr>
        <w:numPr>
          <w:ilvl w:val="0"/>
          <w:numId w:val="1005"/>
        </w:numPr>
        <w:pStyle w:val="Compact"/>
      </w:pPr>
      <w:r>
        <w:rPr>
          <w:bCs/>
          <w:b/>
        </w:rPr>
        <w:t xml:space="preserve">Concentración:</w:t>
      </w:r>
      <w:r>
        <w:t xml:space="preserve"> </w:t>
      </w:r>
      <w:r>
        <w:t xml:space="preserve">ningún cliente llega al 10 % de las ventas [6]. Lo que pesa es el vertical: educación es la mayor parte del negocio (cerca del 60 %, dato de memoria; Flywire no lo publica). Fuera de los cuatro grandes mercados (EE. UU., Canadá, Reino Unido y Australia), la educación crece más del 30 % y aporta dos de cada tres clientes nuevos [1].</w:t>
      </w:r>
    </w:p>
    <w:p>
      <w:pPr>
        <w:numPr>
          <w:ilvl w:val="0"/>
          <w:numId w:val="1005"/>
        </w:numPr>
        <w:pStyle w:val="Compact"/>
      </w:pPr>
      <w:r>
        <w:rPr>
          <w:bCs/>
          <w:b/>
        </w:rPr>
        <w:t xml:space="preserve">Tecnología 3 de 5:</w:t>
      </w:r>
      <w:r>
        <w:t xml:space="preserve"> </w:t>
      </w:r>
      <w:r>
        <w:t xml:space="preserve">la red y las integraciones son difíciles de copiar, pero no imposibles.</w:t>
      </w:r>
      <w:r>
        <w:t xml:space="preserve"> </w:t>
      </w:r>
      <w:r>
        <w:rPr>
          <w:bCs/>
          <w:b/>
        </w:rPr>
        <w:t xml:space="preserve">Posición 4 de 5:</w:t>
      </w:r>
      <w:r>
        <w:t xml:space="preserve"> </w:t>
      </w:r>
      <w:r>
        <w:t xml:space="preserve">es líder en pagos internacionales de matrícula, pero en salud y viajes es un actor más.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Guía de 2026 subida en mayo y en agosto. RBC sube el precio objetivo a 25 USD. No hay serie de estimaciones [1][7][8]</w:t>
            </w:r>
          </w:p>
        </w:tc>
      </w:tr>
      <w:tr>
        <w:tc>
          <w:tcPr/>
          <w:p>
            <w:pPr>
              <w:pStyle w:val="Compact"/>
              <w:jc w:val="left"/>
            </w:pPr>
            <w:r>
              <w:t xml:space="preserve">2. Precio sobre la media de 200 sesiones y la media al alza</w:t>
            </w:r>
          </w:p>
        </w:tc>
        <w:tc>
          <w:tcPr/>
          <w:p>
            <w:pPr>
              <w:pStyle w:val="Compact"/>
              <w:jc w:val="left"/>
            </w:pPr>
            <w:r>
              <w:t xml:space="preserve">Sí</w:t>
            </w:r>
          </w:p>
        </w:tc>
        <w:tc>
          <w:tcPr/>
          <w:p>
            <w:pPr>
              <w:pStyle w:val="Compact"/>
              <w:jc w:val="left"/>
            </w:pPr>
            <w:r>
              <w:t xml:space="preserve">18,06 frente a 15,25. La media pasa de 14,0 a 15,25 en 60 sesiones [9]</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+47,7 % frente a +16,0 % del Nasdaq-100 [9]</w:t>
            </w:r>
          </w:p>
        </w:tc>
      </w:tr>
      <w:tr>
        <w:tc>
          <w:tcPr/>
          <w:p>
            <w:pPr>
              <w:pStyle w:val="Compact"/>
              <w:jc w:val="left"/>
            </w:pPr>
            <w:r>
              <w:t xml:space="preserve">4. El múltiplo sube ≥ 20 % desde su mínimo</w:t>
            </w:r>
          </w:p>
        </w:tc>
        <w:tc>
          <w:tcPr/>
          <w:p>
            <w:pPr>
              <w:pStyle w:val="Compact"/>
              <w:jc w:val="left"/>
            </w:pPr>
            <w:r>
              <w:t xml:space="preserve">Sí</w:t>
            </w:r>
          </w:p>
        </w:tc>
        <w:tc>
          <w:tcPr/>
          <w:p>
            <w:pPr>
              <w:pStyle w:val="Compact"/>
              <w:jc w:val="left"/>
            </w:pPr>
            <w:r>
              <w:t xml:space="preserve">De 1,3 veces las ventas (23-feb) a 2,6 hoy; sigue cerca de su mediana de 3 años (2,4) [9][10]</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Primer semestre con beneficio operativo contable (8,0 M frente a −20,0 M). En el 1T, margen operativo del 5,7 % frente a −8,2 % [1][2]</w:t>
            </w:r>
          </w:p>
        </w:tc>
      </w:tr>
      <w:tr>
        <w:tc>
          <w:tcPr/>
          <w:p>
            <w:pPr>
              <w:pStyle w:val="Compact"/>
              <w:jc w:val="left"/>
            </w:pPr>
            <w:r>
              <w:t xml:space="preserve">6. Sentimiento mejorando</w:t>
            </w:r>
          </w:p>
        </w:tc>
        <w:tc>
          <w:tcPr/>
          <w:p>
            <w:pPr>
              <w:pStyle w:val="Compact"/>
              <w:jc w:val="left"/>
            </w:pPr>
            <w:r>
              <w:t xml:space="preserve">Sí</w:t>
            </w:r>
          </w:p>
        </w:tc>
        <w:tc>
          <w:tcPr/>
          <w:p>
            <w:pPr>
              <w:pStyle w:val="Compact"/>
              <w:jc w:val="left"/>
            </w:pPr>
            <w:r>
              <w:t xml:space="preserve">StockTwits con 16 mensajes alcistas y ninguno bajista de 30. Morgan Stanley la pone como la de mejor crecimiento orgánico entre las fintech medianas [11]</w:t>
            </w:r>
          </w:p>
        </w:tc>
      </w:tr>
      <w:tr>
        <w:tc>
          <w:tcPr/>
          <w:p>
            <w:pPr>
              <w:pStyle w:val="Compact"/>
              <w:jc w:val="left"/>
            </w:pPr>
            <w:r>
              <w:t xml:space="preserve">7. Compras de directivos o de inversores de referencia</w:t>
            </w:r>
          </w:p>
        </w:tc>
        <w:tc>
          <w:tcPr/>
          <w:p>
            <w:pPr>
              <w:pStyle w:val="Compact"/>
              <w:jc w:val="left"/>
            </w:pPr>
            <w:r>
              <w:t xml:space="preserve">No</w:t>
            </w:r>
          </w:p>
        </w:tc>
        <w:tc>
          <w:tcPr/>
          <w:p>
            <w:pPr>
              <w:pStyle w:val="Compact"/>
              <w:jc w:val="left"/>
            </w:pPr>
            <w:r>
              <w:t xml:space="preserve">Los directivos solo venden y Voss Capital (activista) vende desde agosto. Entra Divisadero con más del 5 % y la empresa recompra [12]</w:t>
            </w:r>
          </w:p>
        </w:tc>
      </w:tr>
      <w:tr>
        <w:tc>
          <w:tcPr/>
          <w:p>
            <w:pPr>
              <w:pStyle w:val="Compact"/>
              <w:jc w:val="left"/>
            </w:pPr>
            <w:r>
              <w:t xml:space="preserve">8. Catalizador nuevo en 6 meses</w:t>
            </w:r>
          </w:p>
        </w:tc>
        <w:tc>
          <w:tcPr/>
          <w:p>
            <w:pPr>
              <w:pStyle w:val="Compact"/>
              <w:jc w:val="left"/>
            </w:pPr>
            <w:r>
              <w:t xml:space="preserve">Sí</w:t>
            </w:r>
          </w:p>
        </w:tc>
        <w:tc>
          <w:tcPr/>
          <w:p>
            <w:pPr>
              <w:pStyle w:val="Compact"/>
              <w:jc w:val="left"/>
            </w:pPr>
            <w:r>
              <w:t xml:space="preserve">Resultados del 3T a principios de noviembre, que es su trimestre fuerte; Workday Student; nuevo director de tecnología [1][13]</w:t>
            </w:r>
          </w:p>
        </w:tc>
      </w:tr>
    </w:tbl>
    <w:p>
      <w:pPr>
        <w:pStyle w:val="BodyText"/>
      </w:pPr>
      <w:r>
        <w:rPr>
          <w:bCs/>
          <w:b/>
        </w:rPr>
        <w:t xml:space="preserve">Euforia: no.</w:t>
      </w:r>
      <w:r>
        <w:t xml:space="preserve"> </w:t>
      </w:r>
      <w:r>
        <w:t xml:space="preserve">Sube un 39 % en 12 meses y un 48 % en 6 meses, pero desde mínimos y con el múltiplo en su mediana. El EV / beneficio bruto es de 4,4.</w:t>
      </w:r>
    </w:p>
    <w:bookmarkEnd w:id="24"/>
    <w:bookmarkStart w:id="25" w:name="X6a3ced9ea5ed5bb9ac58f5e7c1bb09ad4718b77"/>
    <w:p>
      <w:pPr>
        <w:pStyle w:val="Heading2"/>
      </w:pPr>
      <w:r>
        <w:t xml:space="preserve">6. Economía unitaria y camino a la rentabilidad</w:t>
      </w:r>
    </w:p>
    <w:p>
      <w:pPr>
        <w:numPr>
          <w:ilvl w:val="0"/>
          <w:numId w:val="1007"/>
        </w:numPr>
        <w:pStyle w:val="Compact"/>
      </w:pPr>
      <w:r>
        <w:rPr>
          <w:bCs/>
          <w:b/>
        </w:rPr>
        <w:t xml:space="preserve">Margen bruto:</w:t>
      </w:r>
      <w:r>
        <w:t xml:space="preserve"> </w:t>
      </w:r>
      <w:r>
        <w:t xml:space="preserve">57,7 % en 12 meses. Baja (63 % en 2024) porque crecen más los pagos con tarjeta y los países con más coste [1][3].</w:t>
      </w:r>
    </w:p>
    <w:p>
      <w:pPr>
        <w:numPr>
          <w:ilvl w:val="0"/>
          <w:numId w:val="1007"/>
        </w:numPr>
        <w:pStyle w:val="Compact"/>
      </w:pPr>
      <w:r>
        <w:rPr>
          <w:bCs/>
          <w:b/>
        </w:rPr>
        <w:t xml:space="preserve">Caja libre (FCF):</w:t>
      </w:r>
      <w:r>
        <w:t xml:space="preserve"> </w:t>
      </w:r>
      <w:r>
        <w:t xml:space="preserve">89 M en 2025, el 14,3 % de las ventas. El flujo de caja se mueve mucho de un trimestre a otro por el dinero de clientes en tránsito: por eso se usa el año entero [6].</w:t>
      </w:r>
    </w:p>
    <w:p>
      <w:pPr>
        <w:numPr>
          <w:ilvl w:val="0"/>
          <w:numId w:val="1007"/>
        </w:numPr>
        <w:pStyle w:val="Compact"/>
      </w:pPr>
      <w:r>
        <w:rPr>
          <w:bCs/>
          <w:b/>
        </w:rPr>
        <w:t xml:space="preserve">Regla del 40:</w:t>
      </w:r>
      <w:r>
        <w:t xml:space="preserve"> </w:t>
      </w:r>
      <w:r>
        <w:t xml:space="preserve">46,5 (32,2 de crecimiento más 14,3 de margen de caja libre).</w:t>
      </w:r>
    </w:p>
    <w:p>
      <w:pPr>
        <w:numPr>
          <w:ilvl w:val="0"/>
          <w:numId w:val="1007"/>
        </w:numPr>
        <w:pStyle w:val="Compact"/>
      </w:pPr>
      <w:r>
        <w:rPr>
          <w:bCs/>
          <w:b/>
        </w:rPr>
        <w:t xml:space="preserve">Apalancamiento operativo:</w:t>
      </w:r>
    </w:p>
    <w:p>
      <w:pPr>
        <w:numPr>
          <w:ilvl w:val="1"/>
          <w:numId w:val="1008"/>
        </w:numPr>
        <w:pStyle w:val="Compact"/>
      </w:pPr>
      <w:r>
        <w:t xml:space="preserve">EBITDA ajustado de 12 meses de 146 M (21 % de las ventas sin auxiliares).</w:t>
      </w:r>
    </w:p>
    <w:p>
      <w:pPr>
        <w:numPr>
          <w:ilvl w:val="1"/>
          <w:numId w:val="1008"/>
        </w:numPr>
        <w:pStyle w:val="Compact"/>
      </w:pPr>
      <w:r>
        <w:t xml:space="preserve">La guía pide de 2 a 4 puntos más de margen en 2026 y multiplicar por cuatro el beneficio neto.</w:t>
      </w:r>
    </w:p>
    <w:p>
      <w:pPr>
        <w:numPr>
          <w:ilvl w:val="1"/>
          <w:numId w:val="1008"/>
        </w:numPr>
        <w:pStyle w:val="Compact"/>
      </w:pPr>
      <w:r>
        <w:t xml:space="preserve">La dirección se marca 1.000 M de ventas y un 30 % de margen EBITDA ajustado [1].</w:t>
      </w:r>
    </w:p>
    <w:bookmarkEnd w:id="25"/>
    <w:bookmarkStart w:id="26" w:name="caja-deuda-y-dilución"/>
    <w:p>
      <w:pPr>
        <w:pStyle w:val="Heading2"/>
      </w:pPr>
      <w:r>
        <w:t xml:space="preserve">7. Caja, deuda y dilución</w:t>
      </w:r>
    </w:p>
    <w:p>
      <w:pPr>
        <w:numPr>
          <w:ilvl w:val="0"/>
          <w:numId w:val="1009"/>
        </w:numPr>
        <w:pStyle w:val="Compact"/>
      </w:pPr>
      <w:r>
        <w:rPr>
          <w:bCs/>
          <w:b/>
        </w:rPr>
        <w:t xml:space="preserve">Caja y valores:</w:t>
      </w:r>
      <w:r>
        <w:t xml:space="preserve"> </w:t>
      </w:r>
      <w:r>
        <w:t xml:space="preserve">294 M. No hay deuda: la línea de crédito de la compra de Sertifi se devolvió en 2025 [3].</w:t>
      </w:r>
    </w:p>
    <w:p>
      <w:pPr>
        <w:numPr>
          <w:ilvl w:val="0"/>
          <w:numId w:val="1009"/>
        </w:numPr>
        <w:pStyle w:val="Compact"/>
      </w:pPr>
      <w:r>
        <w:rPr>
          <w:bCs/>
          <w:b/>
        </w:rPr>
        <w:t xml:space="preserve">Caja propia:</w:t>
      </w:r>
      <w:r>
        <w:t xml:space="preserve"> </w:t>
      </w:r>
      <w:r>
        <w:t xml:space="preserve">167 M. Es la caja menos lo que se debe a clientes neto de lo que deben los socios de pago (235,5 − 108,7 = 126,8 M). Es la que se usa en el valor de empresa, por prudencia.</w:t>
      </w:r>
    </w:p>
    <w:p>
      <w:pPr>
        <w:numPr>
          <w:ilvl w:val="0"/>
          <w:numId w:val="1009"/>
        </w:numPr>
        <w:pStyle w:val="Compact"/>
      </w:pPr>
      <w:r>
        <w:rPr>
          <w:bCs/>
          <w:b/>
        </w:rPr>
        <w:t xml:space="preserve">Pista:</w:t>
      </w:r>
      <w:r>
        <w:t xml:space="preserve"> </w:t>
      </w:r>
      <w:r>
        <w:t xml:space="preserve">no aplica, porque genera caja.</w:t>
      </w:r>
    </w:p>
    <w:p>
      <w:pPr>
        <w:numPr>
          <w:ilvl w:val="0"/>
          <w:numId w:val="1009"/>
        </w:numPr>
        <w:pStyle w:val="Compact"/>
      </w:pPr>
      <w:r>
        <w:rPr>
          <w:bCs/>
          <w:b/>
        </w:rPr>
        <w:t xml:space="preserve">Dilución:</w:t>
      </w:r>
      <w:r>
        <w:t xml:space="preserve"> </w:t>
      </w:r>
      <w:r>
        <w:t xml:space="preserve">+0,5 % en acciones en un año. Las recompras compensan lo que se entrega en acciones: 3,1 M de acciones en el 2T, 1,9 M de acciones sin voto en mayo y 123 M USD de autorización pendiente [1][12].</w:t>
      </w:r>
    </w:p>
    <w:p>
      <w:pPr>
        <w:numPr>
          <w:ilvl w:val="0"/>
          <w:numId w:val="1009"/>
        </w:numPr>
        <w:pStyle w:val="Compact"/>
      </w:pPr>
      <w:r>
        <w:rPr>
          <w:bCs/>
          <w:b/>
        </w:rPr>
        <w:t xml:space="preserve">Pagos en acciones:</w:t>
      </w:r>
      <w:r>
        <w:t xml:space="preserve"> </w:t>
      </w:r>
      <w:r>
        <w:t xml:space="preserve">9,9 % de las ventas. No llega al rojo del 15 %.</w:t>
      </w:r>
    </w:p>
    <w:bookmarkEnd w:id="26"/>
    <w:bookmarkStart w:id="27" w:name="dirección-y-ejecución"/>
    <w:p>
      <w:pPr>
        <w:pStyle w:val="Heading2"/>
      </w:pPr>
      <w:r>
        <w:t xml:space="preserve">8. Dirección y ejecución</w:t>
      </w:r>
    </w:p>
    <w:p>
      <w:pPr>
        <w:numPr>
          <w:ilvl w:val="0"/>
          <w:numId w:val="1010"/>
        </w:numPr>
        <w:pStyle w:val="Compact"/>
      </w:pPr>
      <w:r>
        <w:rPr>
          <w:bCs/>
          <w:b/>
        </w:rPr>
        <w:t xml:space="preserve">Mike Massaro</w:t>
      </w:r>
      <w:r>
        <w:t xml:space="preserve"> </w:t>
      </w:r>
      <w:r>
        <w:t xml:space="preserve">es el consejero delegado desde 2017 (dato de memoria).</w:t>
      </w:r>
      <w:r>
        <w:t xml:space="preserve"> </w:t>
      </w:r>
      <w:r>
        <w:rPr>
          <w:bCs/>
          <w:b/>
        </w:rPr>
        <w:t xml:space="preserve">Rob Orgel</w:t>
      </w:r>
      <w:r>
        <w:t xml:space="preserve"> </w:t>
      </w:r>
      <w:r>
        <w:t xml:space="preserve">es presidente y director de operaciones y</w:t>
      </w:r>
      <w:r>
        <w:t xml:space="preserve"> </w:t>
      </w:r>
      <w:r>
        <w:rPr>
          <w:bCs/>
          <w:b/>
        </w:rPr>
        <w:t xml:space="preserve">Cosmin Pitigoi</w:t>
      </w:r>
      <w:r>
        <w:t xml:space="preserve">, director financiero. David King (cofundador técnico) pasó en enero a dirigir producto y educación y se busca un nuevo director de tecnología [13].</w:t>
      </w:r>
    </w:p>
    <w:p>
      <w:pPr>
        <w:numPr>
          <w:ilvl w:val="0"/>
          <w:numId w:val="1010"/>
        </w:numPr>
        <w:pStyle w:val="Compact"/>
      </w:pPr>
      <w:r>
        <w:t xml:space="preserve">En 2026 entraron dos consejeras de perfil técnico (Microsoft y GitLab) [13].</w:t>
      </w:r>
    </w:p>
    <w:p>
      <w:pPr>
        <w:numPr>
          <w:ilvl w:val="0"/>
          <w:numId w:val="1010"/>
        </w:numPr>
        <w:pStyle w:val="Compact"/>
      </w:pPr>
      <w:r>
        <w:rPr>
          <w:bCs/>
          <w:b/>
        </w:rPr>
        <w:t xml:space="preserve">Historial 5 de 5:</w:t>
      </w:r>
      <w:r>
        <w:t xml:space="preserve"> </w:t>
      </w:r>
      <w:r>
        <w:t xml:space="preserve">ha batido la guía de cada trimestre mirado y subió la de 2025 y la de 2026 dos veces cada una [1][2][3][4].</w:t>
      </w:r>
    </w:p>
    <w:p>
      <w:pPr>
        <w:numPr>
          <w:ilvl w:val="0"/>
          <w:numId w:val="1010"/>
        </w:numPr>
        <w:pStyle w:val="Compact"/>
      </w:pPr>
      <w:r>
        <w:rPr>
          <w:bCs/>
          <w:b/>
        </w:rPr>
        <w:t xml:space="preserve">Dirección 3 de 5:</w:t>
      </w:r>
      <w:r>
        <w:t xml:space="preserve"> </w:t>
      </w:r>
      <w:r>
        <w:t xml:space="preserve">recompra con sentido a precios bajos y devolvió pronto la deuda. Resta que todos los directivos vendan con regularidad (el consejero delegado, unas 330.000 acciones de mayo a septiembre) y que el activista Voss esté saliendo [12].</w:t>
      </w:r>
    </w:p>
    <w:bookmarkEnd w:id="27"/>
    <w:bookmarkStart w:id="28" w:name="valoración"/>
    <w:p>
      <w:pPr>
        <w:pStyle w:val="Heading2"/>
      </w:pPr>
      <w:r>
        <w:t xml:space="preserve">9. Valoración</w:t>
      </w:r>
    </w:p>
    <w:p>
      <w:pPr>
        <w:pStyle w:val="FirstParagraph"/>
      </w:pPr>
      <w:r>
        <w:rPr>
          <w:bCs/>
          <w:b/>
        </w:rPr>
        <w:t xml:space="preserve">Métrica: EV / ventas de los 12 meses siguientes.</w:t>
      </w:r>
      <w:r>
        <w:t xml:space="preserve"> </w:t>
      </w:r>
      <w:r>
        <w:t xml:space="preserve">El EBITDA ajustado es positivo, pero el beneficio operativo contable solo lo es en el semestre (el 2T tuvo pérdida) y el margen aún sube. Contraste: 14,7 veces el EBITDA ajustado de 12 meses.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Bajista</w:t>
            </w:r>
          </w:p>
        </w:tc>
        <w:tc>
          <w:tcPr/>
          <w:p>
            <w:pPr>
              <w:pStyle w:val="Compact"/>
              <w:jc w:val="left"/>
            </w:pPr>
            <w:r>
              <w:t xml:space="preserve">Base</w:t>
            </w:r>
          </w:p>
        </w:tc>
        <w:tc>
          <w:tcPr/>
          <w:p>
            <w:pPr>
              <w:pStyle w:val="Compact"/>
              <w:jc w:val="left"/>
            </w:pPr>
            <w:r>
              <w:t xml:space="preserve">Alcista</w:t>
            </w:r>
          </w:p>
        </w:tc>
      </w:tr>
      <w:tr>
        <w:tc>
          <w:tcPr/>
          <w:p>
            <w:pPr>
              <w:pStyle w:val="Compact"/>
              <w:jc w:val="left"/>
            </w:pPr>
            <w:r>
              <w:t xml:space="preserve">Ventas a jun-2028 (12 meses, M USD)</w:t>
            </w:r>
          </w:p>
        </w:tc>
        <w:tc>
          <w:tcPr/>
          <w:p>
            <w:pPr>
              <w:pStyle w:val="Compact"/>
              <w:jc w:val="left"/>
            </w:pPr>
            <w:r>
              <w:t xml:space="preserve">860</w:t>
            </w:r>
          </w:p>
        </w:tc>
        <w:tc>
          <w:tcPr/>
          <w:p>
            <w:pPr>
              <w:pStyle w:val="Compact"/>
              <w:jc w:val="left"/>
            </w:pPr>
            <w:r>
              <w:t xml:space="preserve">940</w:t>
            </w:r>
          </w:p>
        </w:tc>
        <w:tc>
          <w:tcPr/>
          <w:p>
            <w:pPr>
              <w:pStyle w:val="Compact"/>
              <w:jc w:val="left"/>
            </w:pPr>
            <w:r>
              <w:t xml:space="preserve">1.020</w:t>
            </w:r>
          </w:p>
        </w:tc>
      </w:tr>
      <w:tr>
        <w:tc>
          <w:tcPr/>
          <w:p>
            <w:pPr>
              <w:pStyle w:val="Compact"/>
              <w:jc w:val="left"/>
            </w:pPr>
            <w:r>
              <w:t xml:space="preserve">Múltiplo EV/ventas</w:t>
            </w:r>
          </w:p>
        </w:tc>
        <w:tc>
          <w:tcPr/>
          <w:p>
            <w:pPr>
              <w:pStyle w:val="Compact"/>
              <w:jc w:val="left"/>
            </w:pPr>
            <w:r>
              <w:t xml:space="preserve">1,4</w:t>
            </w:r>
          </w:p>
        </w:tc>
        <w:tc>
          <w:tcPr/>
          <w:p>
            <w:pPr>
              <w:pStyle w:val="Compact"/>
              <w:jc w:val="left"/>
            </w:pPr>
            <w:r>
              <w:t xml:space="preserve">2,3</w:t>
            </w:r>
          </w:p>
        </w:tc>
        <w:tc>
          <w:tcPr/>
          <w:p>
            <w:pPr>
              <w:pStyle w:val="Compact"/>
              <w:jc w:val="left"/>
            </w:pPr>
            <w:r>
              <w:t xml:space="preserve">2,9</w:t>
            </w:r>
          </w:p>
        </w:tc>
      </w:tr>
      <w:tr>
        <w:tc>
          <w:tcPr/>
          <w:p>
            <w:pPr>
              <w:pStyle w:val="Compact"/>
              <w:jc w:val="left"/>
            </w:pPr>
            <w:r>
              <w:t xml:space="preserve">Precio</w:t>
            </w:r>
          </w:p>
        </w:tc>
        <w:tc>
          <w:tcPr/>
          <w:p>
            <w:pPr>
              <w:pStyle w:val="Compact"/>
              <w:jc w:val="left"/>
            </w:pPr>
            <w:r>
              <w:t xml:space="preserve">10,4 USD</w:t>
            </w:r>
          </w:p>
        </w:tc>
        <w:tc>
          <w:tcPr/>
          <w:p>
            <w:pPr>
              <w:pStyle w:val="Compact"/>
              <w:jc w:val="left"/>
            </w:pPr>
            <w:r>
              <w:t xml:space="preserve">17,9 USD</w:t>
            </w:r>
          </w:p>
        </w:tc>
        <w:tc>
          <w:tcPr/>
          <w:p>
            <w:pPr>
              <w:pStyle w:val="Compact"/>
              <w:jc w:val="left"/>
            </w:pPr>
            <w:r>
              <w:t xml:space="preserve">24,7 USD</w:t>
            </w:r>
          </w:p>
        </w:tc>
      </w:tr>
      <w:tr>
        <w:tc>
          <w:tcPr/>
          <w:p>
            <w:pPr>
              <w:pStyle w:val="Compact"/>
              <w:jc w:val="left"/>
            </w:pPr>
            <w:r>
              <w:t xml:space="preserve">Rentabilidad</w:t>
            </w:r>
          </w:p>
        </w:tc>
        <w:tc>
          <w:tcPr/>
          <w:p>
            <w:pPr>
              <w:pStyle w:val="Compact"/>
              <w:jc w:val="left"/>
            </w:pPr>
            <w:r>
              <w:t xml:space="preserve">−42,4 %</w:t>
            </w:r>
          </w:p>
        </w:tc>
        <w:tc>
          <w:tcPr/>
          <w:p>
            <w:pPr>
              <w:pStyle w:val="Compact"/>
              <w:jc w:val="left"/>
            </w:pPr>
            <w:r>
              <w:t xml:space="preserve">−1,1 %</w:t>
            </w:r>
          </w:p>
        </w:tc>
        <w:tc>
          <w:tcPr/>
          <w:p>
            <w:pPr>
              <w:pStyle w:val="Compact"/>
              <w:jc w:val="left"/>
            </w:pPr>
            <w:r>
              <w:t xml:space="preserve">+36,6 %</w:t>
            </w:r>
          </w:p>
        </w:tc>
      </w:tr>
      <w:tr>
        <w:tc>
          <w:tcPr/>
          <w:p>
            <w:pPr>
              <w:pStyle w:val="Compact"/>
              <w:jc w:val="left"/>
            </w:pPr>
            <w:r>
              <w:t xml:space="preserve">Probabilidad</w:t>
            </w:r>
          </w:p>
        </w:tc>
        <w:tc>
          <w:tcPr/>
          <w:p>
            <w:pPr>
              <w:pStyle w:val="Compact"/>
              <w:jc w:val="left"/>
            </w:pPr>
            <w:r>
              <w:t xml:space="preserve">25 %</w:t>
            </w:r>
          </w:p>
        </w:tc>
        <w:tc>
          <w:tcPr/>
          <w:p>
            <w:pPr>
              <w:pStyle w:val="Compact"/>
              <w:jc w:val="left"/>
            </w:pPr>
            <w:r>
              <w:t xml:space="preserve">50 %</w:t>
            </w:r>
          </w:p>
        </w:tc>
        <w:tc>
          <w:tcPr/>
          <w:p>
            <w:pPr>
              <w:pStyle w:val="Compact"/>
              <w:jc w:val="left"/>
            </w:pPr>
            <w:r>
              <w:t xml:space="preserve">25 %</w:t>
            </w:r>
          </w:p>
        </w:tc>
      </w:tr>
    </w:tbl>
    <w:p>
      <w:pPr>
        <w:numPr>
          <w:ilvl w:val="0"/>
          <w:numId w:val="1011"/>
        </w:numPr>
        <w:pStyle w:val="Compact"/>
      </w:pPr>
      <w:r>
        <w:rPr>
          <w:bCs/>
          <w:b/>
        </w:rPr>
        <w:t xml:space="preserve">Ventas:</w:t>
      </w:r>
      <w:r>
        <w:t xml:space="preserve"> </w:t>
      </w:r>
      <w:r>
        <w:t xml:space="preserve">la regla mecánica daría 1.098 M en el base. Parte de un 26 %, que es la guía más lo que suele batirla. Manda la menor entre la regla y la del analista.</w:t>
      </w:r>
    </w:p>
    <w:p>
      <w:pPr>
        <w:numPr>
          <w:ilvl w:val="0"/>
          <w:numId w:val="1011"/>
        </w:numPr>
        <w:pStyle w:val="Compact"/>
      </w:pPr>
      <w:r>
        <w:rPr>
          <w:bCs/>
          <w:b/>
        </w:rPr>
        <w:t xml:space="preserve">Las del analista siguen al consenso:</w:t>
      </w:r>
    </w:p>
    <w:p>
      <w:pPr>
        <w:numPr>
          <w:ilvl w:val="1"/>
          <w:numId w:val="1012"/>
        </w:numPr>
        <w:pStyle w:val="Compact"/>
      </w:pPr>
      <w:r>
        <w:t xml:space="preserve">2026: 760,6 M, el extremo bajo de la guía.</w:t>
      </w:r>
    </w:p>
    <w:p>
      <w:pPr>
        <w:numPr>
          <w:ilvl w:val="1"/>
          <w:numId w:val="1012"/>
        </w:numPr>
        <w:pStyle w:val="Compact"/>
      </w:pPr>
      <w:r>
        <w:t xml:space="preserve">2027: 878,2 M (+15,5 %) [7].</w:t>
      </w:r>
    </w:p>
    <w:p>
      <w:pPr>
        <w:numPr>
          <w:ilvl w:val="1"/>
          <w:numId w:val="1012"/>
        </w:numPr>
        <w:pStyle w:val="Compact"/>
      </w:pPr>
      <w:r>
        <w:t xml:space="preserve">Con el mismo ritmo en 2028, los 12 meses a jun-2028 suman unos 940 M: es el base.</w:t>
      </w:r>
    </w:p>
    <w:p>
      <w:pPr>
        <w:numPr>
          <w:ilvl w:val="1"/>
          <w:numId w:val="1012"/>
        </w:numPr>
        <w:pStyle w:val="Compact"/>
      </w:pPr>
      <w:r>
        <w:t xml:space="preserve">El bajista (860 M, +10 % al año) supone que los límites a visados frenan la educación.</w:t>
      </w:r>
    </w:p>
    <w:p>
      <w:pPr>
        <w:numPr>
          <w:ilvl w:val="1"/>
          <w:numId w:val="1012"/>
        </w:numPr>
        <w:pStyle w:val="Compact"/>
      </w:pPr>
      <w:r>
        <w:t xml:space="preserve">El alcista (1.020 M, +20 % al año) supone que sigue batiendo como hasta ahora.</w:t>
      </w:r>
    </w:p>
    <w:p>
      <w:pPr>
        <w:numPr>
          <w:ilvl w:val="0"/>
          <w:numId w:val="1011"/>
        </w:numPr>
        <w:pStyle w:val="Compact"/>
      </w:pPr>
      <w:r>
        <w:rPr>
          <w:bCs/>
          <w:b/>
        </w:rPr>
        <w:t xml:space="preserve">Múltiplo:</w:t>
      </w:r>
      <w:r>
        <w:t xml:space="preserve"> </w:t>
      </w:r>
      <w:r>
        <w:t xml:space="preserve">el de hoy (2,6) rebajado un 12 % por la desaceleración (del 16,8 % al 13 %) da 2,3 en el base. El bajista es 0,6 veces el base. Los comparables cotizan a 2,2 veces: dLocal, Remitly y Wise [14].</w:t>
      </w:r>
    </w:p>
    <w:p>
      <w:pPr>
        <w:numPr>
          <w:ilvl w:val="0"/>
          <w:numId w:val="1011"/>
        </w:numPr>
        <w:pStyle w:val="Compact"/>
      </w:pPr>
      <w:r>
        <w:rPr>
          <w:bCs/>
          <w:b/>
        </w:rPr>
        <w:t xml:space="preserve">Objetivo ponderado:</w:t>
      </w:r>
      <w:r>
        <w:t xml:space="preserve"> </w:t>
      </w:r>
      <w:r>
        <w:t xml:space="preserve">17,7 USD, un −1,9 %. La asimetría es de 0,9: se puede perder más en el bajista de lo que se gana en el alcista.</w:t>
      </w:r>
    </w:p>
    <w:p>
      <w:pPr>
        <w:numPr>
          <w:ilvl w:val="0"/>
          <w:numId w:val="1011"/>
        </w:numPr>
        <w:pStyle w:val="Compact"/>
      </w:pPr>
      <w:r>
        <w:rPr>
          <w:bCs/>
          <w:b/>
        </w:rPr>
        <w:t xml:space="preserve">Consenso:</w:t>
      </w:r>
      <w:r>
        <w:t xml:space="preserve"> </w:t>
      </w:r>
      <w:r>
        <w:t xml:space="preserve">precio objetivo medio de 21,15 USD, de 14 analistas (+17 %) [7]. Nuestro objetivo es más prudente porque el múltiplo baja cuando el crecimiento frena.</w:t>
      </w:r>
    </w:p>
    <w:p>
      <w:pPr>
        <w:numPr>
          <w:ilvl w:val="0"/>
          <w:numId w:val="1011"/>
        </w:numPr>
        <w:pStyle w:val="Compact"/>
      </w:pPr>
      <w:r>
        <w:rPr>
          <w:bCs/>
          <w:b/>
        </w:rPr>
        <w:t xml:space="preserve">DCF inverso:</w:t>
      </w:r>
      <w:r>
        <w:t xml:space="preserve"> </w:t>
      </w:r>
      <w:r>
        <w:t xml:space="preserve">el precio descuenta un crecimiento de ventas del 3,3 % al año durante 10 años, con un margen de caja libre maduro del 20 % [15]. Es muy poco para lo que crece, y por eso pasa el filtro previo. El motor, en cambio, valora a 12 meses por múltiplo y no por flujos a 10 años.</w:t>
      </w:r>
    </w:p>
    <w:p>
      <w:pPr>
        <w:numPr>
          <w:ilvl w:val="0"/>
          <w:numId w:val="1011"/>
        </w:numPr>
        <w:pStyle w:val="Compact"/>
      </w:pPr>
      <w:r>
        <w:rPr>
          <w:bCs/>
          <w:b/>
        </w:rPr>
        <w:t xml:space="preserve">Compra hasta 16,9 USD</w:t>
      </w:r>
      <w:r>
        <w:t xml:space="preserve">, el precio al que la ponderada sube al 5 % y la base pasa del 0 %. Con v9 el límite sería de 19,1 USD.</w:t>
      </w:r>
    </w:p>
    <w:p>
      <w:pPr>
        <w:numPr>
          <w:ilvl w:val="0"/>
          <w:numId w:val="1011"/>
        </w:numPr>
        <w:pStyle w:val="Compact"/>
      </w:pPr>
      <w:r>
        <w:rPr>
          <w:bCs/>
          <w:b/>
        </w:rPr>
        <w:t xml:space="preserve">Qué haría falta para Comprar:</w:t>
      </w:r>
      <w:r>
        <w:t xml:space="preserve"> </w:t>
      </w:r>
      <w:r>
        <w:t xml:space="preserve">con las mismas reglas, unas ventas base de 1.020 M a jun-2028 (+20 % al año, un 8 % más que el consenso) darían una ponderada del 5,1 % y Comprar con convicción baja (prueba con el motor).</w:t>
      </w:r>
    </w:p>
    <w:p>
      <w:pPr>
        <w:pStyle w:val="FirstParagraph"/>
      </w:pPr>
      <w:r>
        <w:rPr>
          <w:bCs/>
          <w:b/>
        </w:rPr>
        <w:t xml:space="preserve">Filtro previo</w:t>
      </w:r>
      <w:r>
        <w:t xml:space="preserve"> </w:t>
      </w:r>
      <w:r>
        <w:t xml:space="preserve">(</w:t>
      </w:r>
      <w:r>
        <w:rPr>
          <w:rStyle w:val="VerbatimChar"/>
        </w:rPr>
        <w:t xml:space="preserve">verticales/growth/filtro-previo.md</w:t>
      </w:r>
      <w:r>
        <w:t xml:space="preserve">), con los datos completos:</w:t>
      </w:r>
      <w:r>
        <w:t xml:space="preserve"> </w:t>
      </w:r>
      <w:r>
        <w:t xml:space="preserve">-</w:t>
      </w:r>
      <w:r>
        <w:t xml:space="preserve"> </w:t>
      </w:r>
      <w:r>
        <w:rPr>
          <w:bCs/>
          <w:b/>
        </w:rPr>
        <w:t xml:space="preserve">A. Crecimiento orgánico:</w:t>
      </w:r>
      <w:r>
        <w:t xml:space="preserve"> </w:t>
      </w:r>
      <w:r>
        <w:t xml:space="preserve">26 % en 12 meses y 27 % en el último trimestre. Pasa.</w:t>
      </w:r>
      <w:r>
        <w:t xml:space="preserve"> </w:t>
      </w:r>
      <w:r>
        <w:t xml:space="preserve">-</w:t>
      </w:r>
      <w:r>
        <w:t xml:space="preserve"> </w:t>
      </w:r>
      <w:r>
        <w:rPr>
          <w:bCs/>
          <w:b/>
        </w:rPr>
        <w:t xml:space="preserve">B. EV/EBITDA frente a su mediana:</w:t>
      </w:r>
      <w:r>
        <w:t xml:space="preserve"> </w:t>
      </w:r>
      <w:r>
        <w:t xml:space="preserve">no aplica, porque no es rentable de forma estable.</w:t>
      </w:r>
      <w:r>
        <w:t xml:space="preserve"> </w:t>
      </w:r>
      <w:r>
        <w:t xml:space="preserve">-</w:t>
      </w:r>
      <w:r>
        <w:t xml:space="preserve"> </w:t>
      </w:r>
      <w:r>
        <w:rPr>
          <w:bCs/>
          <w:b/>
        </w:rPr>
        <w:t xml:space="preserve">C. Mayor cliente:</w:t>
      </w:r>
      <w:r>
        <w:t xml:space="preserve"> </w:t>
      </w:r>
      <w:r>
        <w:t xml:space="preserve">ningún cliente llega al 10 %. Pasa.</w:t>
      </w:r>
      <w:r>
        <w:t xml:space="preserve"> </w:t>
      </w:r>
      <w:r>
        <w:t xml:space="preserve">-</w:t>
      </w:r>
      <w:r>
        <w:t xml:space="preserve"> </w:t>
      </w:r>
      <w:r>
        <w:rPr>
          <w:bCs/>
          <w:b/>
        </w:rPr>
        <w:t xml:space="preserve">D. Crecimiento que descuenta el precio entre el actual:</w:t>
      </w:r>
      <w:r>
        <w:t xml:space="preserve"> </w:t>
      </w:r>
      <w:r>
        <w:t xml:space="preserve">0,13. Pasa.</w:t>
      </w:r>
    </w:p>
    <w:p>
      <w:pPr>
        <w:pStyle w:val="BodyText"/>
      </w:pPr>
      <w:r>
        <w:t xml:space="preserve">Las cuatro se confirman, pero el resultado es Mantener: el filtro mira el pasado y el precio, y lo que frena la compra es el crecimiento previsto, que es bastante menor que el actual (17 % frente a 27 %).</w:t>
      </w:r>
    </w:p>
    <w:bookmarkEnd w:id="28"/>
    <w:bookmarkStart w:id="29" w:name="foros-y-sentimiento"/>
    <w:p>
      <w:pPr>
        <w:pStyle w:val="Heading2"/>
      </w:pPr>
      <w:r>
        <w:t xml:space="preserve">10. Foros y sentimiento</w:t>
      </w:r>
    </w:p>
    <w:p>
      <w:pPr>
        <w:numPr>
          <w:ilvl w:val="0"/>
          <w:numId w:val="1013"/>
        </w:numPr>
        <w:pStyle w:val="Compact"/>
      </w:pPr>
      <w:r>
        <w:rPr>
          <w:bCs/>
          <w:b/>
        </w:rPr>
        <w:t xml:space="preserve">StockTwits</w:t>
      </w:r>
      <w:r>
        <w:t xml:space="preserve"> </w:t>
      </w:r>
      <w:r>
        <w:t xml:space="preserve">(15-oct, 30 mensajes): 16 alcistas y ninguno bajista, con solo 545 seguidores. Es una acción poco seguida. Hay objetivos caseros de 27-35 USD y quien cree que se exagera el miedo a los visados. También hay cansancio: «el mercado no está interesado» (23-sep). Un mensaje sitúa las posiciones cortas en el 11,5 % del capital flotante en agosto [11].</w:t>
      </w:r>
    </w:p>
    <w:p>
      <w:pPr>
        <w:numPr>
          <w:ilvl w:val="0"/>
          <w:numId w:val="1013"/>
        </w:numPr>
        <w:pStyle w:val="Compact"/>
      </w:pPr>
      <w:r>
        <w:rPr>
          <w:bCs/>
          <w:b/>
        </w:rPr>
        <w:t xml:space="preserve">Analistas:</w:t>
      </w:r>
      <w:r>
        <w:t xml:space="preserve"> </w:t>
      </w:r>
      <w:r>
        <w:t xml:space="preserve">tras el 2T (+4 %), Goldman sigue en Neutral (22 USD) y repite que la matrícula internacional en EE. UU. cae. Morgan Stanley, RBC y BTIG son positivos [7][8][11].</w:t>
      </w:r>
    </w:p>
    <w:p>
      <w:pPr>
        <w:numPr>
          <w:ilvl w:val="0"/>
          <w:numId w:val="1013"/>
        </w:numPr>
        <w:pStyle w:val="Compact"/>
      </w:pPr>
      <w:r>
        <w:rPr>
          <w:bCs/>
          <w:b/>
        </w:rPr>
        <w:t xml:space="preserve">Rumores:</w:t>
      </w:r>
      <w:r>
        <w:t xml:space="preserve"> </w:t>
      </w:r>
      <w:r>
        <w:t xml:space="preserve">en agosto subieron las empresas de pagos y software por rumores sobre Workday. Se habla de Flywire como posible objetivo de compra, pero no hay nada concreto [11].</w:t>
      </w:r>
    </w:p>
    <w:p>
      <w:pPr>
        <w:numPr>
          <w:ilvl w:val="0"/>
          <w:numId w:val="1013"/>
        </w:numPr>
        <w:pStyle w:val="Compact"/>
      </w:pPr>
      <w:r>
        <w:rPr>
          <w:bCs/>
          <w:b/>
        </w:rPr>
        <w:t xml:space="preserve">Reddit:</w:t>
      </w:r>
      <w:r>
        <w:t xml:space="preserve"> </w:t>
      </w:r>
      <w:r>
        <w:t xml:space="preserve">bloqueado desde aquí.</w:t>
      </w:r>
      <w:r>
        <w:t xml:space="preserve"> </w:t>
      </w:r>
      <w:r>
        <w:rPr>
          <w:bCs/>
          <w:b/>
        </w:rPr>
        <w:t xml:space="preserve">Rankia e Investing.com ES:</w:t>
      </w:r>
      <w:r>
        <w:t xml:space="preserve"> </w:t>
      </w:r>
      <w:r>
        <w:t xml:space="preserve">sin hilos recientes. Las dos quedan como laguna.</w:t>
      </w:r>
    </w:p>
    <w:p>
      <w:pPr>
        <w:numPr>
          <w:ilvl w:val="0"/>
          <w:numId w:val="1013"/>
        </w:numPr>
        <w:pStyle w:val="Compact"/>
      </w:pPr>
      <w:r>
        <w:rPr>
          <w:bCs/>
          <w:b/>
        </w:rPr>
        <w:t xml:space="preserve">Contraste con los datos:</w:t>
      </w:r>
      <w:r>
        <w:t xml:space="preserve"> </w:t>
      </w:r>
      <w:r>
        <w:t xml:space="preserve">el sentimiento ha mejorado con los resultados, que son buenos de verdad, pero no es eufórico. La duda del mercado (visados) es la misma que la de la guía de la propia empresa.</w:t>
      </w:r>
    </w:p>
    <w:bookmarkEnd w:id="29"/>
    <w:bookmarkStart w:id="30" w:name="riesgos-y-qué-rompería-la-tesis"/>
    <w:p>
      <w:pPr>
        <w:pStyle w:val="Heading2"/>
      </w:pPr>
      <w:r>
        <w:t xml:space="preserve">11. Riesgos y qué rompería la tesis</w:t>
      </w:r>
    </w:p>
    <w:p>
      <w:pPr>
        <w:pStyle w:val="FirstParagraph"/>
      </w:pPr>
      <w:r>
        <w:rPr>
          <w:bCs/>
          <w:b/>
        </w:rPr>
        <w:t xml:space="preserve">Robustez</w:t>
      </w:r>
      <w:r>
        <w:t xml:space="preserve"> </w:t>
      </w:r>
      <w:r>
        <w:t xml:space="preserve">(</w:t>
      </w:r>
      <w:r>
        <w:rPr>
          <w:rStyle w:val="VerbatimChar"/>
        </w:rPr>
        <w:t xml:space="preserve">herramientas/robustez-growth.mjs --precios</w:t>
      </w:r>
      <w:r>
        <w:t xml:space="preserve">).</w:t>
      </w:r>
      <w:r>
        <w:t xml:space="preserve"> </w:t>
      </w:r>
      <w:r>
        <w:rPr>
          <w:bCs/>
          <w:b/>
        </w:rPr>
        <w:t xml:space="preserve">Veredicto: FRÁGIL, señal robusta Mantener.</w:t>
      </w:r>
      <w:r>
        <w:t xml:space="preserve"> </w:t>
      </w:r>
      <w:r>
        <w:t xml:space="preserve">-</w:t>
      </w:r>
      <w:r>
        <w:t xml:space="preserve"> </w:t>
      </w:r>
      <w:r>
        <w:rPr>
          <w:rStyle w:val="VerbatimChar"/>
        </w:rPr>
        <w:t xml:space="preserve">calc.alertas</w:t>
      </w:r>
      <w:r>
        <w:t xml:space="preserve"> </w:t>
      </w:r>
      <w:r>
        <w:t xml:space="preserve">está vacío: ninguna alerta de v11.</w:t>
      </w:r>
      <w:r>
        <w:t xml:space="preserve"> </w:t>
      </w:r>
      <w:r>
        <w:t xml:space="preserve">- La regla mecánica (1.098 M) no supera en más de 1,2 veces la del analista (940 M).</w:t>
      </w:r>
      <w:r>
        <w:t xml:space="preserve"> </w:t>
      </w:r>
      <w:r>
        <w:t xml:space="preserve">- El múltiplo está en su mediana de 3 años, no en el doble.</w:t>
      </w:r>
      <w:r>
        <w:t xml:space="preserve"> </w:t>
      </w:r>
      <w:r>
        <w:t xml:space="preserve">- Hay guía anual, el exceso sobre la guía es de 8 puntos (por debajo de 10) y los pagos en acciones son el 9,9 %.</w:t>
      </w:r>
      <w:r>
        <w:t xml:space="preserve"> </w:t>
      </w:r>
      <w:r>
        <w:t xml:space="preserve">-</w:t>
      </w:r>
      <w:r>
        <w:t xml:space="preserve"> </w:t>
      </w:r>
      <w:r>
        <w:rPr>
          <w:bCs/>
          <w:b/>
        </w:rPr>
        <w:t xml:space="preserve">Por qué es frágil:</w:t>
      </w:r>
      <w:r>
        <w:t xml:space="preserve"> </w:t>
      </w:r>
      <w:r>
        <w:t xml:space="preserve">con v7, que proyecta el pasado sin el tope del analista, saldría Comprar con una ponderada del 15,2 %. Con v9 saldría Comprar con un 11,3 %.</w:t>
      </w:r>
      <w:r>
        <w:t xml:space="preserve"> </w:t>
      </w:r>
      <w:r>
        <w:t xml:space="preserve">- La diferencia es una sola cifra: cuánto crecerá en 2027-2028.</w:t>
      </w:r>
      <w:r>
        <w:t xml:space="preserve"> </w:t>
      </w:r>
      <w:r>
        <w:t xml:space="preserve">- El consenso dice un 15 %; la historia de batir la guía dice un 20 % o más.</w:t>
      </w:r>
      <w:r>
        <w:t xml:space="preserve"> </w:t>
      </w:r>
      <w:r>
        <w:t xml:space="preserve">- La regla vigente toma la menor de las dos, y así está pensada: la decisión es Mantener.</w:t>
      </w:r>
      <w:r>
        <w:t xml:space="preserve"> </w:t>
      </w:r>
      <w:r>
        <w:t xml:space="preserve">- Lo que debilita la señal de Mantener es que Flywire ha batido al consenso todos los trimestres. Lo que la refuerza es que la propia empresa guía un +18 % para el segundo semestre.</w:t>
      </w:r>
      <w:r>
        <w:t xml:space="preserve"> </w:t>
      </w:r>
      <w:r>
        <w:t xml:space="preserve">-</w:t>
      </w:r>
      <w:r>
        <w:t xml:space="preserve"> </w:t>
      </w:r>
      <w:r>
        <w:rPr>
          <w:bCs/>
          <w:b/>
        </w:rPr>
        <w:t xml:space="preserve">Otras variantes:</w:t>
      </w:r>
      <w:r>
        <w:t xml:space="preserve"> </w:t>
      </w:r>
      <w:r>
        <w:t xml:space="preserve">- Con probabilidades 35/50/15 la ponderada baja al −9,8 %.</w:t>
      </w:r>
      <w:r>
        <w:t xml:space="preserve"> </w:t>
      </w:r>
      <w:r>
        <w:t xml:space="preserve">- Con v12, que usa el crecimiento orgánico, da un −2,8 % (compra hasta 16,7 USD). Lo mismo con v14.</w:t>
      </w:r>
      <w:r>
        <w:t xml:space="preserve"> </w:t>
      </w:r>
      <w:r>
        <w:t xml:space="preserve">- Avisos de la prueba:</w:t>
      </w:r>
      <w:r>
        <w:t xml:space="preserve"> </w:t>
      </w:r>
      <w:r>
        <w:t xml:space="preserve">-</w:t>
      </w:r>
      <w:r>
        <w:t xml:space="preserve"> </w:t>
      </w:r>
      <w:r>
        <w:rPr>
          <w:bCs/>
          <w:b/>
        </w:rPr>
        <w:t xml:space="preserve">G2:</w:t>
      </w:r>
      <w:r>
        <w:t xml:space="preserve"> </w:t>
      </w:r>
      <w:r>
        <w:t xml:space="preserve">el objetivo se mueve con el precio. Si se revisa el precio, el objetivo de 17,7 USD queda fijo y el límite es 16,9.</w:t>
      </w:r>
      <w:r>
        <w:t xml:space="preserve"> </w:t>
      </w:r>
      <w:r>
        <w:t xml:space="preserve">-</w:t>
      </w:r>
      <w:r>
        <w:t xml:space="preserve"> </w:t>
      </w:r>
      <w:r>
        <w:rPr>
          <w:bCs/>
          <w:b/>
        </w:rPr>
        <w:t xml:space="preserve">G6:</w:t>
      </w:r>
      <w:r>
        <w:t xml:space="preserve"> </w:t>
      </w:r>
      <w:r>
        <w:t xml:space="preserve">bajista del −42 %.</w:t>
      </w:r>
    </w:p>
    <w:p>
      <w:pPr>
        <w:pStyle w:val="BodyText"/>
      </w:pPr>
      <w:r>
        <w:rPr>
          <w:bCs/>
          <w:b/>
        </w:rPr>
        <w:t xml:space="preserve">Riesgos:</w:t>
      </w:r>
      <w:r>
        <w:t xml:space="preserve"> </w:t>
      </w:r>
      <w:r>
        <w:t xml:space="preserve">1.</w:t>
      </w:r>
      <w:r>
        <w:t xml:space="preserve"> </w:t>
      </w:r>
      <w:r>
        <w:rPr>
          <w:bCs/>
          <w:b/>
        </w:rPr>
        <w:t xml:space="preserve">Visados de estudiante.</w:t>
      </w:r>
      <w:r>
        <w:t xml:space="preserve"> </w:t>
      </w:r>
      <w:r>
        <w:t xml:space="preserve">Es el riesgo principal.</w:t>
      </w:r>
      <w:r>
        <w:t xml:space="preserve"> </w:t>
      </w:r>
      <w:r>
        <w:t xml:space="preserve">- Canadá: 408.000 permisos de estudio en 2026, un 16 % menos que en 2024.</w:t>
      </w:r>
      <w:r>
        <w:t xml:space="preserve"> </w:t>
      </w:r>
      <w:r>
        <w:t xml:space="preserve">- Australia: techo de 295.000 estudiantes, India en el nivel de riesgo más alto y la tasa de visado un 25 % más cara.</w:t>
      </w:r>
      <w:r>
        <w:t xml:space="preserve"> </w:t>
      </w:r>
      <w:r>
        <w:t xml:space="preserve">- Reino Unido: tasa de 925 GBP por estudiante desde 2028 y visado de trabajo posterior de 18 meses.</w:t>
      </w:r>
      <w:r>
        <w:t xml:space="preserve"> </w:t>
      </w:r>
      <w:r>
        <w:t xml:space="preserve">- EE. UU.: tasa de 100.000 USD al visado H-1B, plazo máximo de cuatro años al visado de estudiante y menos préstamos de posgrado [6].</w:t>
      </w:r>
      <w:r>
        <w:t xml:space="preserve"> </w:t>
      </w:r>
      <w:r>
        <w:t xml:space="preserve">- La empresa ya lo descuenta en la guía, pero una caída mayor de la matrícula del otoño de 2026 se vería en el 3T.</w:t>
      </w:r>
      <w:r>
        <w:t xml:space="preserve"> </w:t>
      </w:r>
      <w:r>
        <w:t xml:space="preserve">2.</w:t>
      </w:r>
      <w:r>
        <w:t xml:space="preserve"> </w:t>
      </w:r>
      <w:r>
        <w:rPr>
          <w:bCs/>
          <w:b/>
        </w:rPr>
        <w:t xml:space="preserve">Tipos de cambio.</w:t>
      </w:r>
      <w:r>
        <w:t xml:space="preserve"> </w:t>
      </w:r>
      <w:r>
        <w:t xml:space="preserve">Parte del crecimiento viene de la divisa: el 1T26 ganó 6 puntos por ella. Gana con el diferencial de cambio, que puede estrecharse si hay competencia.</w:t>
      </w:r>
      <w:r>
        <w:t xml:space="preserve"> </w:t>
      </w:r>
      <w:r>
        <w:t xml:space="preserve">3.</w:t>
      </w:r>
      <w:r>
        <w:t xml:space="preserve"> </w:t>
      </w:r>
      <w:r>
        <w:rPr>
          <w:bCs/>
          <w:b/>
        </w:rPr>
        <w:t xml:space="preserve">Margen bruto a la baja:</w:t>
      </w:r>
      <w:r>
        <w:t xml:space="preserve"> </w:t>
      </w:r>
      <w:r>
        <w:t xml:space="preserve">6 puntos menos en dos años por el mix de pagos.</w:t>
      </w:r>
      <w:r>
        <w:t xml:space="preserve"> </w:t>
      </w:r>
      <w:r>
        <w:t xml:space="preserve">4.</w:t>
      </w:r>
      <w:r>
        <w:t xml:space="preserve"> </w:t>
      </w:r>
      <w:r>
        <w:rPr>
          <w:bCs/>
          <w:b/>
        </w:rPr>
        <w:t xml:space="preserve">Competencia en precio</w:t>
      </w:r>
      <w:r>
        <w:t xml:space="preserve"> </w:t>
      </w:r>
      <w:r>
        <w:t xml:space="preserve">en pagos internacionales: Wise, bancos y monedas estables (dato de memoria).</w:t>
      </w:r>
      <w:r>
        <w:t xml:space="preserve"> </w:t>
      </w:r>
      <w:r>
        <w:t xml:space="preserve">5.</w:t>
      </w:r>
      <w:r>
        <w:t xml:space="preserve"> </w:t>
      </w:r>
      <w:r>
        <w:rPr>
          <w:bCs/>
          <w:b/>
        </w:rPr>
        <w:t xml:space="preserve">Riesgo de IA: bajo.</w:t>
      </w:r>
      <w:r>
        <w:t xml:space="preserve"> </w:t>
      </w:r>
      <w:r>
        <w:t xml:space="preserve">Flywire no vende algo que un modelo de lenguaje sustituya. Vende el movimiento del dinero (licencias, cuentas locales, cumplimiento) y la conciliación dentro del sistema del cliente. La IA abarata el software de cobro de la competencia, pero no la red de pagos ni las licencias. Además, Flywire la usa en su producto (agentes de IA).</w:t>
      </w:r>
      <w:r>
        <w:t xml:space="preserve"> </w:t>
      </w:r>
      <w:r>
        <w:t xml:space="preserve">6.</w:t>
      </w:r>
      <w:r>
        <w:t xml:space="preserve"> </w:t>
      </w:r>
      <w:r>
        <w:rPr>
          <w:bCs/>
          <w:b/>
        </w:rPr>
        <w:t xml:space="preserve">Gobierno:</w:t>
      </w:r>
      <w:r>
        <w:t xml:space="preserve"> </w:t>
      </w:r>
      <w:r>
        <w:t xml:space="preserve">los directivos venden con regularidad y el activista sale.</w:t>
      </w:r>
    </w:p>
    <w:p>
      <w:pPr>
        <w:pStyle w:val="BodyText"/>
      </w:pPr>
      <w:r>
        <w:rPr>
          <w:bCs/>
          <w:b/>
        </w:rPr>
        <w:t xml:space="preserve">Qué rompería la tesis (señales de venta):</w:t>
      </w:r>
      <w:r>
        <w:t xml:space="preserve"> </w:t>
      </w:r>
      <w:r>
        <w:t xml:space="preserve">- Dos trimestres seguidos por debajo del punto medio de la guía.</w:t>
      </w:r>
      <w:r>
        <w:t xml:space="preserve"> </w:t>
      </w:r>
      <w:r>
        <w:t xml:space="preserve">- Crecimiento orgánico por debajo del 15 % en el 3T o el 4T.</w:t>
      </w:r>
      <w:r>
        <w:t xml:space="preserve"> </w:t>
      </w:r>
      <w:r>
        <w:t xml:space="preserve">- Pérdida de un gran cliente de educación o de Workday como socio.</w:t>
      </w:r>
      <w:r>
        <w:t xml:space="preserve"> </w:t>
      </w:r>
      <w:r>
        <w:t xml:space="preserve">- Recorte de la guía de 2026.</w:t>
      </w:r>
    </w:p>
    <w:bookmarkEnd w:id="30"/>
    <w:bookmarkStart w:id="31" w:name="catalizadores-con-fecha"/>
    <w:p>
      <w:pPr>
        <w:pStyle w:val="Heading2"/>
      </w:pPr>
      <w:r>
        <w:t xml:space="preserve">12. Catalizadores con fecha</w:t>
      </w:r>
    </w:p>
    <w:p>
      <w:pPr>
        <w:numPr>
          <w:ilvl w:val="0"/>
          <w:numId w:val="1014"/>
        </w:numPr>
        <w:pStyle w:val="Compact"/>
      </w:pPr>
      <w:r>
        <w:rPr>
          <w:bCs/>
          <w:b/>
        </w:rPr>
        <w:t xml:space="preserve">Principios de noviembre de 2026:</w:t>
      </w:r>
      <w:r>
        <w:t xml:space="preserve"> </w:t>
      </w:r>
      <w:r>
        <w:t xml:space="preserve">resultados del 3T, el trimestre fuerte por la matrícula de otoño. Es la prueba de los visados. En 2025 salieron el 4-nov.</w:t>
      </w:r>
    </w:p>
    <w:p>
      <w:pPr>
        <w:numPr>
          <w:ilvl w:val="0"/>
          <w:numId w:val="1014"/>
        </w:numPr>
        <w:pStyle w:val="Compact"/>
      </w:pPr>
      <w:r>
        <w:rPr>
          <w:bCs/>
          <w:b/>
        </w:rPr>
        <w:t xml:space="preserve">Febrero de 2027:</w:t>
      </w:r>
      <w:r>
        <w:t xml:space="preserve"> </w:t>
      </w:r>
      <w:r>
        <w:t xml:space="preserve">guía de 2027. Es la cifra que decide si el consenso del +15 % se queda corto.</w:t>
      </w:r>
    </w:p>
    <w:p>
      <w:pPr>
        <w:numPr>
          <w:ilvl w:val="0"/>
          <w:numId w:val="1014"/>
        </w:numPr>
        <w:pStyle w:val="Compact"/>
      </w:pPr>
      <w:r>
        <w:rPr>
          <w:bCs/>
          <w:b/>
        </w:rPr>
        <w:t xml:space="preserve">1-ene-2027:</w:t>
      </w:r>
      <w:r>
        <w:t xml:space="preserve"> </w:t>
      </w:r>
      <w:r>
        <w:t xml:space="preserve">el visado de posgrado del Reino Unido baja a 18 meses.</w:t>
      </w:r>
    </w:p>
    <w:p>
      <w:pPr>
        <w:numPr>
          <w:ilvl w:val="0"/>
          <w:numId w:val="1014"/>
        </w:numPr>
        <w:pStyle w:val="Compact"/>
      </w:pPr>
      <w:r>
        <w:rPr>
          <w:bCs/>
          <w:b/>
        </w:rPr>
        <w:t xml:space="preserve">En los próximos meses:</w:t>
      </w:r>
      <w:r>
        <w:t xml:space="preserve"> </w:t>
      </w:r>
      <w:r>
        <w:t xml:space="preserve">nombramiento del nuevo director de tecnología y más centros con Workday Student.</w:t>
      </w:r>
    </w:p>
    <w:bookmarkEnd w:id="31"/>
    <w:bookmarkStart w:id="32" w:name="encaje-en-cartera"/>
    <w:p>
      <w:pPr>
        <w:pStyle w:val="Heading2"/>
      </w:pPr>
      <w:r>
        <w:t xml:space="preserve">13. Encaje en cartera</w:t>
      </w:r>
    </w:p>
    <w:p>
      <w:pPr>
        <w:numPr>
          <w:ilvl w:val="0"/>
          <w:numId w:val="1015"/>
        </w:numPr>
        <w:pStyle w:val="Compact"/>
      </w:pPr>
      <w:r>
        <w:rPr>
          <w:bCs/>
          <w:b/>
        </w:rPr>
        <w:t xml:space="preserve">Frente al bolsillo growth:</w:t>
      </w:r>
      <w:r>
        <w:t xml:space="preserve"> </w:t>
      </w:r>
      <w:r>
        <w:t xml:space="preserve">el bolsillo está lleno (~20 %) con Nu (+22 %), Axon (+35 %), Shopify (+19 %), Snowflake (+16 %) y Samsara (+17 %), al precio actual con v11. No hay liquidez libre: solo cabe sustituir.</w:t>
      </w:r>
    </w:p>
    <w:p>
      <w:pPr>
        <w:numPr>
          <w:ilvl w:val="1"/>
          <w:numId w:val="1016"/>
        </w:numPr>
        <w:pStyle w:val="Compact"/>
      </w:pPr>
      <w:r>
        <w:t xml:space="preserve">Flywire da Mantener (−2,0 % al precio actual con el objetivo fijo), así que</w:t>
      </w:r>
      <w:r>
        <w:t xml:space="preserve"> </w:t>
      </w:r>
      <w:r>
        <w:rPr>
          <w:bCs/>
          <w:b/>
        </w:rPr>
        <w:t xml:space="preserve">no sustituye a ninguna</w:t>
      </w:r>
      <w:r>
        <w:t xml:space="preserve">.</w:t>
      </w:r>
    </w:p>
    <w:p>
      <w:pPr>
        <w:numPr>
          <w:ilvl w:val="1"/>
          <w:numId w:val="1016"/>
        </w:numPr>
        <w:pStyle w:val="Compact"/>
      </w:pPr>
      <w:r>
        <w:t xml:space="preserve">Ni siquiera a la más floja, Snowflake (+16 %, convicción media).</w:t>
      </w:r>
    </w:p>
    <w:p>
      <w:pPr>
        <w:numPr>
          <w:ilvl w:val="0"/>
          <w:numId w:val="1015"/>
        </w:numPr>
        <w:pStyle w:val="Compact"/>
      </w:pPr>
      <w:r>
        <w:rPr>
          <w:bCs/>
          <w:b/>
        </w:rPr>
        <w:t xml:space="preserve">Suplentes:</w:t>
      </w:r>
      <w:r>
        <w:t xml:space="preserve"> </w:t>
      </w:r>
      <w:r>
        <w:rPr>
          <w:bCs/>
          <w:b/>
        </w:rPr>
        <w:t xml:space="preserve">no entra en la lista</w:t>
      </w:r>
      <w:r>
        <w:t xml:space="preserve">, porque solo están las que dan Comprar: MongoDB, Toast, Zscaler, Rubrik, dLocal, Dexcom, argenx, Datadog, Reddit, Saab, Natera e Ypsomed. Va a la lista de Mantener, con disparador:</w:t>
      </w:r>
    </w:p>
    <w:p>
      <w:pPr>
        <w:numPr>
          <w:ilvl w:val="1"/>
          <w:numId w:val="1017"/>
        </w:numPr>
        <w:pStyle w:val="Compact"/>
      </w:pPr>
      <w:r>
        <w:t xml:space="preserve">por debajo de 16,9 USD;</w:t>
      </w:r>
    </w:p>
    <w:p>
      <w:pPr>
        <w:numPr>
          <w:ilvl w:val="1"/>
          <w:numId w:val="1017"/>
        </w:numPr>
        <w:pStyle w:val="Compact"/>
      </w:pPr>
      <w:r>
        <w:t xml:space="preserve">o tras el 3T, si el consenso de ventas de 2027-2028 sube un 8 %.</w:t>
      </w:r>
    </w:p>
    <w:p>
      <w:pPr>
        <w:numPr>
          <w:ilvl w:val="1"/>
          <w:numId w:val="1017"/>
        </w:numPr>
        <w:pStyle w:val="Compact"/>
      </w:pPr>
      <w:r>
        <w:t xml:space="preserve">Si pasara a Comprar con convicción baja (~5 %), quedaría detrás de Natera (+8 %), en el puesto 12, delante de Ypsomed.</w:t>
      </w:r>
    </w:p>
    <w:p>
      <w:pPr>
        <w:numPr>
          <w:ilvl w:val="0"/>
          <w:numId w:val="1015"/>
        </w:numPr>
        <w:pStyle w:val="Compact"/>
      </w:pPr>
      <w:r>
        <w:rPr>
          <w:bCs/>
          <w:b/>
        </w:rPr>
        <w:t xml:space="preserve">Con lo que ya hay:</w:t>
      </w:r>
      <w:r>
        <w:t xml:space="preserve"> </w:t>
      </w:r>
      <w:r>
        <w:t xml:space="preserve">sumaría más pagos internacionales a dLocal (suplente) y a Nu (Latinoamérica), pero Flywire depende de la educación, no de los mercados emergentes. Alphabet se vende mañana y no cuenta como exposición a IA; Flywire tampoco la aporta.</w:t>
      </w:r>
    </w:p>
    <w:p>
      <w:pPr>
        <w:numPr>
          <w:ilvl w:val="0"/>
          <w:numId w:val="1015"/>
        </w:numPr>
        <w:pStyle w:val="Compact"/>
      </w:pPr>
      <w:r>
        <w:rPr>
          <w:bCs/>
          <w:b/>
        </w:rPr>
        <w:t xml:space="preserve">Peso:</w:t>
      </w:r>
      <w:r>
        <w:t xml:space="preserve"> </w:t>
      </w:r>
      <w:r>
        <w:t xml:space="preserve">0 %. Ni orden ni tramos.</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13,3</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r>
      <w:tr>
        <w:tc>
          <w:tcPr/>
          <w:p>
            <w:pPr>
              <w:pStyle w:val="Compact"/>
              <w:jc w:val="left"/>
            </w:pPr>
            <w:r>
              <w:t xml:space="preserve">C. Cambio de tendencia (7 de 8 señales)</w:t>
            </w:r>
          </w:p>
        </w:tc>
        <w:tc>
          <w:tcPr/>
          <w:p>
            <w:pPr>
              <w:pStyle w:val="Compact"/>
              <w:jc w:val="left"/>
            </w:pPr>
            <w:r>
              <w:t xml:space="preserve">17,5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11</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8</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73,2</w:t>
            </w:r>
          </w:p>
        </w:tc>
        <w:tc>
          <w:tcPr/>
          <w:p>
            <w:pPr>
              <w:pStyle w:val="Compact"/>
              <w:jc w:val="left"/>
            </w:pPr>
            <w:r>
              <w:rPr>
                <w:bCs/>
                <w:b/>
              </w:rPr>
              <w:t xml:space="preserve">100</w:t>
            </w:r>
          </w:p>
        </w:tc>
      </w:tr>
    </w:tbl>
    <w:bookmarkEnd w:id="33"/>
    <w:bookmarkStart w:id="34" w:name="fuentes"/>
    <w:p>
      <w:pPr>
        <w:pStyle w:val="Heading2"/>
      </w:pPr>
      <w:r>
        <w:t xml:space="preserve">Fuentes</w:t>
      </w:r>
    </w:p>
    <w:p>
      <w:pPr>
        <w:pStyle w:val="FirstParagraph"/>
      </w:pPr>
      <w:r>
        <w:t xml:space="preserve">[1] Flywire, nota de resultados del 2T26 (4-ago-2026), 8-K ex. 99.1 (SEC): ventas, volumen, márgenes, EBITDA ajustado, caja, recompras, guía de 2026 y del 3T26, novedades comerciales.</w:t>
      </w:r>
      <w:r>
        <w:t xml:space="preserve"> </w:t>
      </w:r>
      <w:r>
        <w:t xml:space="preserve">[2] Flywire, nota de resultados del 1T26 (5-may-2026), 8-K ex. 99.1: ventas +41 %, +37,2 % a tipo constante, guía de 2026 (+18-24 %) y del 2T26.</w:t>
      </w:r>
      <w:r>
        <w:t xml:space="preserve"> </w:t>
      </w:r>
      <w:r>
        <w:t xml:space="preserve">[3] Flywire, nota de resultados del 4T25 (24-feb-2026), 8-K ex. 99.1: 2025 (623,0 M; Sertifi 44,1 M), guía inicial de 2026 (+15-21 %) y del 1T26 (+26-30 %), pérdida de ingresos inferior al 1 %.</w:t>
      </w:r>
      <w:r>
        <w:t xml:space="preserve"> </w:t>
      </w:r>
      <w:r>
        <w:t xml:space="preserve">[4] Flywire, notas de resultados del 3T25 (4-nov-2025) y 2T25 (5-ago-2025), 8-K ex. 99.1: ventas, Sertifi por trimestre y guías del 3T25 y 4T25.</w:t>
      </w:r>
      <w:r>
        <w:t xml:space="preserve"> </w:t>
      </w:r>
      <w:r>
        <w:t xml:space="preserve">[5] Flywire, nota de resultados del 4T24 (25-feb-2025): guía de 2025 y compra de Sertifi.</w:t>
      </w:r>
      <w:r>
        <w:t xml:space="preserve"> </w:t>
      </w:r>
      <w:r>
        <w:t xml:space="preserve">[6] Flywire, 10-Q del 2T26 (5-ago-2026) y SEC XBRL companyfacts (CIK 1580560): ventas trimestrales, Sertifi, clientes, retención, fondos de clientes, acciones, pagos en acciones, flujo de caja y riesgos de visados por país.</w:t>
      </w:r>
      <w:r>
        <w:t xml:space="preserve"> </w:t>
      </w:r>
      <w:r>
        <w:t xml:space="preserve">[7] StockAnalysis.com (S&amp;P Global), previsiones de FLYW (14-oct-2026): 14 analistas, objetivo medio 21,15 USD, ventas 2026 760,6 M y 2027 878,2 M, cambios recientes de recomendación.</w:t>
      </w:r>
      <w:r>
        <w:t xml:space="preserve"> </w:t>
      </w:r>
      <w:r>
        <w:t xml:space="preserve">[8] Chartmill, Quiver Quant e Investing.com (4/5-ago-2026): reacción al 2T26 y riesgo de visados.</w:t>
      </w:r>
      <w:r>
        <w:t xml:space="preserve"> </w:t>
      </w:r>
      <w:r>
        <w:t xml:space="preserve">[9] Yahoo Finance chart API (FLYW y QQQ) y Nasdaq.com: cierres, medias, mínimos y máximos; cierre del 14-oct 18,06 USD en las dos fuentes.</w:t>
      </w:r>
      <w:r>
        <w:t xml:space="preserve"> </w:t>
      </w:r>
      <w:r>
        <w:t xml:space="preserve">[10] Cálculo propio del EV/ventas de los 12 meses siguientes y de su historia de 3 años.</w:t>
      </w:r>
      <w:r>
        <w:t xml:space="preserve"> </w:t>
      </w:r>
      <w:r>
        <w:t xml:space="preserve">[11] StockTwits (API pública, 15-oct-2026) y nota de Morgan Stanley citada allí; Reddit bloqueado.</w:t>
      </w:r>
      <w:r>
        <w:t xml:space="preserve"> </w:t>
      </w:r>
      <w:r>
        <w:t xml:space="preserve">[12] SEC, Formularios 4 y 13G (may-oct 2026) y 8-K del 15-may-2026.</w:t>
      </w:r>
      <w:r>
        <w:t xml:space="preserve"> </w:t>
      </w:r>
      <w:r>
        <w:t xml:space="preserve">[13] SEC, 8-K del 13-ene, 25-mar y 22-sep-2026.</w:t>
      </w:r>
      <w:r>
        <w:t xml:space="preserve"> </w:t>
      </w:r>
      <w:r>
        <w:t xml:space="preserve">[14] Informes growth del repo del 14-oct-2026 (dLocal, Remitly, Wise).</w:t>
      </w:r>
      <w:r>
        <w:t xml:space="preserve"> </w:t>
      </w:r>
      <w:r>
        <w:t xml:space="preserve">[15] Cálculo propio de DCF inverso (margen maduro 20 %, descuento 10 %, perpetuo 3 %).</w:t>
      </w:r>
      <w:r>
        <w:t xml:space="preserve"> </w:t>
      </w:r>
      <w:r>
        <w:t xml:space="preserve">[16] Estimación propia del mercado alcanzable (no verificada).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2026-10-15T08:31:20Z</dcterms:created>
  <dcterms:modified xsi:type="dcterms:W3CDTF">2026-10-15T08:31:20Z</dcterms:modified>
</cp:coreProperties>
</file>

<file path=docProps/custom.xml><?xml version="1.0" encoding="utf-8"?>
<Properties xmlns="http://schemas.openxmlformats.org/officeDocument/2006/custom-properties" xmlns:vt="http://schemas.openxmlformats.org/officeDocument/2006/docPropsVTypes"/>
</file>