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a0c00ff2ad9bb56e189dc3f45a17d61ce115e3"/>
    <w:p>
      <w:pPr>
        <w:pStyle w:val="Heading1"/>
      </w:pPr>
      <w:r>
        <w:t xml:space="preserve">Guardant Health (GH): análisis growth, 15-oct-2026</w:t>
      </w:r>
    </w:p>
    <w:p>
      <w:pPr>
        <w:pStyle w:val="FirstParagraph"/>
      </w:pPr>
      <w:r>
        <w:rPr>
          <w:bCs/>
          <w:b/>
        </w:rPr>
        <w:t xml:space="preserve">Señal: Mantener</w:t>
      </w:r>
      <w:r>
        <w:t xml:space="preserve"> </w:t>
      </w:r>
      <w:r>
        <w:t xml:space="preserve">· Puntuación 74,3/100 · Señales de cambio de tendencia 6/8 · Método v11 (vigente)</w:t>
      </w:r>
      <w:r>
        <w:t xml:space="preserve"> </w:t>
      </w:r>
      <w:r>
        <w:t xml:space="preserve">Precio 162,99 USD (cierre del 14-oct) · Objetivo 12 m 181,5 USD · Ponderada +11,3 % · Base +12,9 % · Bajista −46,1 % · Alcista +65,6 % · Compra hasta 172,8 USD</w:t>
      </w:r>
      <w:r>
        <w:t xml:space="preserve"> </w:t>
      </w:r>
      <w:r>
        <w:t xml:space="preserve">Peso orientativo: no entra hoy (veto de euforia)</w:t>
      </w:r>
      <w:r>
        <w:t xml:space="preserve"> </w:t>
      </w:r>
      <w:r>
        <w:t xml:space="preserve">Al lado, v9: ponderada +12,8 %, base +15,8 %, bajista −46,1 %, también Mantener por euforia. Candidata v14: ponderada +14,6 %, Mantener por euforia.</w:t>
      </w:r>
    </w:p>
    <w:p>
      <w:pPr>
        <w:pStyle w:val="BodyText"/>
      </w:pPr>
      <w:r>
        <w:rPr>
          <w:bCs/>
          <w:b/>
        </w:rPr>
        <w:t xml:space="preserve">Por qué Mantener y no Comprar:</w:t>
      </w:r>
      <w:r>
        <w:t xml:space="preserve"> </w:t>
      </w:r>
      <w:r>
        <w:t xml:space="preserve">pasa todo lo demás (puntuación, valoración, bajista, caja), pero ha subido un 160 % en 12 meses con un EV / beneficio bruto de 24 veces, y la regla de euforia veta la compra. Ojo: el veto se levanta solo en pocos días por el calendario. Desde el 16-oct la referencia de hace un año pasa a 67,47 USD y, si el precio sigue por debajo de 168,7 USD, la subida baja del 150 %. Entonces el motor daría Comprar con convicción baja (3,5 %) sin que cambie nada del negocio. El informe lo trata como una compra de baja calidad, no como una señal nueva (sección 13).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Guardant vende análisis de ADN en sangre contra el cáncer: elegir tratamiento (Guardant360), vigilar recaídas (Reveal) y, desde 2024, cribado de cáncer de colon (Shield, la primera prueba en sangre aprobada por la FDA).</w:t>
      </w:r>
    </w:p>
    <w:p>
      <w:pPr>
        <w:numPr>
          <w:ilvl w:val="0"/>
          <w:numId w:val="1001"/>
        </w:numPr>
        <w:pStyle w:val="Compact"/>
      </w:pPr>
      <w:r>
        <w:t xml:space="preserve">Crece un 43 % y acelera: el 2T26 subió un 44 %, la guía de 2026 se subió dos veces y Shield pasó de 16.000 a 66.000 pruebas por trimestre en un año.</w:t>
      </w:r>
    </w:p>
    <w:p>
      <w:pPr>
        <w:numPr>
          <w:ilvl w:val="0"/>
          <w:numId w:val="1001"/>
        </w:numPr>
        <w:pStyle w:val="Compact"/>
      </w:pPr>
      <w:r>
        <w:t xml:space="preserve">Aún pierde dinero (FCF del −20 % de las ventas), pero la pérdida baja y tiene caja para unos 5 años; la empresa promete equilibrio de caja a final de 2027.</w:t>
      </w:r>
    </w:p>
    <w:p>
      <w:pPr>
        <w:numPr>
          <w:ilvl w:val="0"/>
          <w:numId w:val="1001"/>
        </w:numPr>
        <w:pStyle w:val="Compact"/>
      </w:pPr>
      <w:r>
        <w:t xml:space="preserve">El precio ya cuenta mucho: cotiza a 16 veces las ventas de los próximos 12 meses, el triple de su mediana de 3 años, tras subir un 160 % en un año.</w:t>
      </w:r>
    </w:p>
    <w:p>
      <w:pPr>
        <w:numPr>
          <w:ilvl w:val="0"/>
          <w:numId w:val="1001"/>
        </w:numPr>
        <w:pStyle w:val="Compact"/>
      </w:pPr>
      <w:r>
        <w:t xml:space="preserve">La competencia llega: Abbott empieza este otoño a vender la prueba en sangre de Freenome, aprobada en julio, junto a Cologuard.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Oncología (67 % de las ventas de 12 meses):</w:t>
      </w:r>
      <w:r>
        <w:t xml:space="preserve"> </w:t>
      </w:r>
      <w:r>
        <w:t xml:space="preserve">Guardant360 Liquid (la prueba en sangre más usada en EE. UU. para elegir tratamiento en cáncer avanzado; aprobada la versión Liquid CDx en 2026), Guardant360 Tissue, Reveal (enfermedad residual sin biopsia del tumor) y Response. Volumen del 2T26 +63 %.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Biofarma y datos (19 %):</w:t>
      </w:r>
      <w:r>
        <w:t xml:space="preserve"> </w:t>
      </w:r>
      <w:r>
        <w:t xml:space="preserve">pruebas y datos para ensayos de farmacéuticas y diagnósticos de acompañamiento (en octubre, aprobado en Europa con un fármaco de AstraZeneca). Crece un 9 %.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Cribado (13 % de 12 meses; 16 % del 2T26):</w:t>
      </w:r>
      <w:r>
        <w:t xml:space="preserve"> </w:t>
      </w:r>
      <w:r>
        <w:t xml:space="preserve">Shield, cáncer de colon en adultos de 45 años o más. Medicare la paga a 1.495 USD (tarifa ADLT fijada hasta fin de 2027). UnitedHealth la cubre desde julio y la American Cancer Society la incluye en sus guías (como opción no preferente). Prepara pulmón y detección de varios cánceres (designación de dispositivo innovador).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nuevo:</w:t>
      </w:r>
      <w:r>
        <w:t xml:space="preserve"> </w:t>
      </w:r>
      <w:r>
        <w:t xml:space="preserve">una plataforma única de secuenciación de ADN tumoral en sangre que sirve para las tres fases (tratamiento, recaída y cribado), con la mayor base de datos clínica del sector. Nota de tecnología 4 de 5: Shield ya no es la única prueba aprobada.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Riesgo de IA:</w:t>
      </w:r>
      <w:r>
        <w:t xml:space="preserve"> </w:t>
      </w:r>
      <w:r>
        <w:t xml:space="preserve">bajo como amenaza y algo positivo como herramienta. El valor está en la química de laboratorio, la aprobación de la FDA, el reembolso y los datos clínicos propios, que un modelo de IA no sustituye. La IA ayuda a leer los patrones de metilación (Shield, «Smart» de Reveal). No hay riesgo de que la IA genérica haga innecesaria la prueba.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+48,3 %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+44,3 %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Últimos 12 meses: 1.183,1 M (+42,7 %). Crecimiento anual compuesto a 2 años: 35,6 %. Aceleración: +5,0 puntos frente a la media de los cuatro trimestres anteriores. Todo orgánico (no hay compras que muevan el crecimiento, así que no aplica v12).</w:t>
      </w:r>
    </w:p>
    <w:p>
      <w:pPr>
        <w:numPr>
          <w:ilvl w:val="0"/>
          <w:numId w:val="1003"/>
        </w:numPr>
        <w:pStyle w:val="Compact"/>
      </w:pPr>
      <w:r>
        <w:t xml:space="preserve">Por años: 2023, 563,9 M; 2024, 739,0 M (+31 %); 2025, 982,0 M (+33 %).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2026 de 1.340-1.360 M (+37 %), subida dos veces desde 1.250-1.280 M. Lo que queda del año implica +30,5 % en el segundo semestre. En 2025 acabó 17 puntos por encima de su primera guía (+33 % real frente a +16 % guiado), así que v9 no recorta la proyección.</w:t>
      </w:r>
    </w:p>
    <w:p>
      <w:pPr>
        <w:numPr>
          <w:ilvl w:val="0"/>
          <w:numId w:val="1003"/>
        </w:numPr>
        <w:pStyle w:val="Compact"/>
      </w:pPr>
      <w:r>
        <w:t xml:space="preserve">Ojo: el volumen de oncología crece más que sus ventas (63 % frente a 38 %): pesa más Reveal, que cobra menos por prueba.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 en 2028:</w:t>
      </w:r>
      <w:r>
        <w:t xml:space="preserve"> </w:t>
      </w:r>
      <w:r>
        <w:t xml:space="preserve">unos 30.000 M USD (estimación propia: selección de tratamiento ~6.000 M, recaída ~10.000 M, cribado de colon en sangre en EE. UU. ~12.000 M y biofarma ~2.000 M). Penetración: 3,9 %.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Rivales:</w:t>
      </w:r>
      <w:r>
        <w:t xml:space="preserve"> </w:t>
      </w:r>
      <w:r>
        <w:t xml:space="preserve">en selección de tratamiento, Foundation Medicine (Roche) y Tempus; en recaída, Natera (Signatera) va muy por delante en volumen; en cribado, Cologuard en heces (Abbott, tras comprar Exact Sciences) y, desde julio, SimpleScreen de Freenome, que vende Abbott. La colonoscopia sigue siendo la referencia.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gana:</w:t>
      </w:r>
      <w:r>
        <w:t xml:space="preserve"> </w:t>
      </w:r>
      <w:r>
        <w:t xml:space="preserve">fue la primera en cribado en sangre aprobada y pagada por Medicare, tiene la red comercial de oncología más grande en biopsia líquida y la misma plataforma alimenta los tres negocios. Posición 4 de 5: líder en biopsia líquida para tratamiento y en cribado en sangre, segunda en recaída.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Clientes:</w:t>
      </w:r>
      <w:r>
        <w:t xml:space="preserve"> </w:t>
      </w:r>
      <w:r>
        <w:t xml:space="preserve">Medicare es el 27 % de las ventas y ningún otro pagador llega al 10 %. No es concentración en sentido comercial: paga con tarifas públicas.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2026 subida dos veces (+7 %) y la de Shield de 168 a 224 M de punto medio; subidas de objetivo en octubre (Barclays 220, BofA 200, Morgan Stanley 200) [1][11]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162,99 frente a 126,7 USD, y la media sube (103,9 hace 60 sesiones)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+88,6 % frente a +16,0 % del Nasdaq-100 y +15,6 % del IBB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6,7 a 15,8 veces en 12 meses (+136 %) 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del 2T26 7,4 puntos mejor (−38,5 % frente a −45,9 %); margen FCF 7,6 puntos mejor 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es eufórico: 25 de 26 analistas en Comprar, StockTwits 12 alcistas y 0 bajistas [11][13]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ventas: el co-CEO Talasaz vendió unas 557.500 acciones desde abril; nuevo aviso de venta el 14-oct 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(finales de octubre o primeros de noviembre), cobertura privada de Shield en marcha, Guardant360 Liquid CDx aprobada [1][16]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sí.</w:t>
      </w:r>
      <w:r>
        <w:t xml:space="preserve"> </w:t>
      </w:r>
      <w:r>
        <w:t xml:space="preserve">+160,5 % en 12 meses con un EV / beneficio bruto de 24,3 veces (la regla veta con más de 150 % y más de 20 veces). Subida a 6 meses: +88,6 % (por debajo del umbral de la alerta de 6 meses, 100 %).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t xml:space="preserve">Margen bruto de 12 meses: 65,0 % (67 % sin ajustes en el 2T26). Shield aún lo diluye; la FDA aprobó un flujo de laboratorio más barato.</w:t>
      </w:r>
    </w:p>
    <w:p>
      <w:pPr>
        <w:numPr>
          <w:ilvl w:val="0"/>
          <w:numId w:val="1005"/>
        </w:numPr>
        <w:pStyle w:val="Compact"/>
      </w:pPr>
      <w:r>
        <w:t xml:space="preserve">FCF de 12 meses: −240,7 M, un −20,3 % de las ventas. Guía de quema de 2026: 195-205 M (233 M en 2025).</w:t>
      </w:r>
    </w:p>
    <w:p>
      <w:pPr>
        <w:numPr>
          <w:ilvl w:val="0"/>
          <w:numId w:val="1005"/>
        </w:numPr>
        <w:pStyle w:val="Compact"/>
      </w:pPr>
      <w:r>
        <w:t xml:space="preserve">Regla del 40: 22,4 (6,2 restando los pagos en acciones).</w:t>
      </w:r>
    </w:p>
    <w:p>
      <w:pPr>
        <w:numPr>
          <w:ilvl w:val="0"/>
          <w:numId w:val="1005"/>
        </w:numPr>
        <w:pStyle w:val="Compact"/>
      </w:pPr>
      <w:r>
        <w:t xml:space="preserve">Camino: la empresa promete equilibrio de caja a final de 2027 (unos 14 meses). El gasto comercial crece por Shield (ventas y marketing 190 M en el 2T, +59 %), y por eso la mejora es lenta.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t xml:space="preserve">Caja: 1.167,7 M a 30-jun (incluye 114 M restringidos). Pista: unos 58 meses con la quema de 12 meses.</w:t>
      </w:r>
    </w:p>
    <w:p>
      <w:pPr>
        <w:numPr>
          <w:ilvl w:val="0"/>
          <w:numId w:val="1006"/>
        </w:numPr>
        <w:pStyle w:val="Compact"/>
      </w:pPr>
      <w:r>
        <w:t xml:space="preserve">Convertibles: 1.493 M en tres emisiones (2027 a 139,82 USD; 2031 a 62,22 USD; 2033 a 121,50 USD). Los tres están dentro del dinero al precio de hoy, así que se cuentan como acciones (16,5 M) y no como deuda. El de 2027 (490,7 M) vence en septiembre de 2027.</w:t>
      </w:r>
    </w:p>
    <w:p>
      <w:pPr>
        <w:numPr>
          <w:ilvl w:val="0"/>
          <w:numId w:val="1006"/>
        </w:numPr>
        <w:pStyle w:val="Compact"/>
      </w:pPr>
      <w:r>
        <w:t xml:space="preserve">Acciones diluidas: 161,1 M. Dilución del último año: 7,1 %, de la que 3 puntos son la ampliación de noviembre de 2025 (a 90 USD, ya en caja). Dilución prevista: 4 %.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acciones: 16,2 % de las ventas, en rojo</w:t>
      </w:r>
      <w:r>
        <w:t xml:space="preserve"> </w:t>
      </w:r>
      <w:r>
        <w:t xml:space="preserve">(más del 15 %).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t xml:space="preserve">Los cofundadores Helmy Eltoukhy y AmirAli Talasaz son co-CEO desde 2012.</w:t>
      </w:r>
    </w:p>
    <w:p>
      <w:pPr>
        <w:numPr>
          <w:ilvl w:val="0"/>
          <w:numId w:val="1007"/>
        </w:numPr>
        <w:pStyle w:val="Compact"/>
      </w:pPr>
      <w:r>
        <w:t xml:space="preserve">Historial 5 de 5: bate y sube la guía cada año (2025 acabó un 15 % por encima de su primera guía).</w:t>
      </w:r>
    </w:p>
    <w:p>
      <w:pPr>
        <w:numPr>
          <w:ilvl w:val="0"/>
          <w:numId w:val="1007"/>
        </w:numPr>
        <w:pStyle w:val="Compact"/>
      </w:pPr>
      <w:r>
        <w:t xml:space="preserve">Dirección 3 de 5: ventas constantes de acciones de los fundadores, pagos en acciones altos y un crecimiento pagado con convertibles y una ampliación.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EV de hoy: 162,99 × 161,1 M − 1.167,7 M = 25.090 M USD. Ventas de los próximos 12 meses: unos 1.590 M (+34 %). EV/ventas NTM: 15,8 veces. EV / beneficio bruto NTM: 24,3 veces (bajo el tope de 35). Mediana de 3 años: 5,2 veces; comparables: 7,3 veces.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en 2 años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−46,1 %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+65,6 %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181,5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+11,3 %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Ventas: la menor entre la regla mecánica (bajista 1.655, base 2.206, alcista 2.448) y la nuestra (1.850, 2.150, 2.450). La base es la nuestra, cerca del consenso; el bajista y el alcista, los mecánicos.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Consenso:</w:t>
      </w:r>
      <w:r>
        <w:t xml:space="preserve"> </w:t>
      </w:r>
      <w:r>
        <w:t xml:space="preserve">ventas 2026 de 1.360 M y 2027 de 1.840 M; objetivo medio de 201,64 USD, un 24 % por encima del precio. Nuestras ventas base a 2 años quedan un 17 % por encima del consenso de 2027 porque llegan medio año más lejos (a junio de 2028).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el precio descuenta un crecimiento del 27,6 % al año durante 10 años (con un margen FCF maduro del 25 %), un 65 % del crecimiento de hoy.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Compra hasta:</w:t>
      </w:r>
      <w:r>
        <w:t xml:space="preserve"> </w:t>
      </w:r>
      <w:r>
        <w:t xml:space="preserve">172,8 USD (con la euforia levantada).</w:t>
      </w:r>
    </w:p>
    <w:p>
      <w:pPr>
        <w:numPr>
          <w:ilvl w:val="0"/>
          <w:numId w:val="1008"/>
        </w:numPr>
        <w:pStyle w:val="Compact"/>
      </w:pPr>
      <w:r>
        <w:t xml:space="preserve">Al precio actual (162,99 USD, el mismo cierre; el mercado aún no abría a las 07:45 UTC) y con el objetivo fijo de 181,5 USD: +11,4 %.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Filtro previo</w:t>
      </w:r>
      <w:r>
        <w:t xml:space="preserve"> </w:t>
      </w:r>
      <w:r>
        <w:t xml:space="preserve">(</w:t>
      </w:r>
      <w:r>
        <w:rPr>
          <w:rStyle w:val="VerbatimChar"/>
        </w:rPr>
        <w:t xml:space="preserve">filtro-previo.md</w:t>
      </w:r>
      <w:r>
        <w:t xml:space="preserve">), con los datos completos: A, crecimiento de 12 meses del 42,7 %: pasa. B: no aplica (no es rentable). C, mayor cliente o producto: Medicare 27 % y ningún otro cliente del 10 %; la mayor prueba, Guardant360 Liquid, no tiene línea propia (oncología entera es el 67 % y se estima Guardant360 Liquid en torno al 50 %): pasa por cliente, y por producto queda dudosa porque supera el 40 % si se cuenta la prueba (el filtro hablaba de Shield). D, DCF inverso entre crecimiento: 27,6 / 42,7 = 0,65: pasa. Se confirman A y D, C por cliente, y queda la duda de producto.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(15-oct): 12 alcistas y 0 bajistas de 30 mensajes. Tras la caída del 5 al 14-oct (del máximo de 187 a 163 USD) dominan los «oportunidad para entrar más» y se atribuye la bajada a una venta general en biotecnología, no a noticias de la empresa.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Analistas:</w:t>
      </w:r>
      <w:r>
        <w:t xml:space="preserve"> </w:t>
      </w:r>
      <w:r>
        <w:t xml:space="preserve">20 en Compra fuerte, 5 en Compra y 1 en Venta; objetivo de 105 a 240 USD.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Seeking Alpha y prensa:</w:t>
      </w:r>
      <w:r>
        <w:t xml:space="preserve"> </w:t>
      </w:r>
      <w:r>
        <w:t xml:space="preserve">el debate es la valoración frente al progreso de Shield y la llegada de Abbott con Freenome; la American Cancer Society solo pone las pruebas en sangre como opción no preferente.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 y foros en castellano:</w:t>
      </w:r>
      <w:r>
        <w:t xml:space="preserve"> </w:t>
      </w:r>
      <w:r>
        <w:t xml:space="preserve">no se pudo leer Reddit (bloqueo de la API); una búsqueda en Rankia e Investing.com ES no devolvió hilos recientes; lo que circula en castellano son noticias traducidas.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Contraste:</w:t>
      </w:r>
      <w:r>
        <w:t xml:space="preserve"> </w:t>
      </w:r>
      <w:r>
        <w:t xml:space="preserve">el sentimiento va por delante de los datos. El negocio acelera de verdad, pero el precio ya ha triplicado el múltiplo. Interés corto del 9,2 %: hay bastantes bajistas.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pStyle w:val="FirstParagraph"/>
      </w:pPr>
      <w:r>
        <w:rPr>
          <w:bCs/>
          <w:b/>
        </w:rPr>
        <w:t xml:space="preserve">Alertas del método (v11) y si debilitan la señal: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Múltiplo de hoy (15,8) más de 2 veces su mediana de 3 años (5,2).</w:t>
      </w:r>
      <w:r>
        <w:t xml:space="preserve"> </w:t>
      </w:r>
      <w:r>
        <w:t xml:space="preserve">Es la alerta más seria. En el backtest, de los casos con el múltiplo más del doble de su mediana, solo 1 de 11 batió al Nasdaq-100. Con v14, si el bajista se calcula con el múltiplo de su mediana, saldría −65 % en vez de −46 %, y con esa regla no compraría.</w:t>
      </w:r>
      <w:r>
        <w:t xml:space="preserve"> </w:t>
      </w:r>
      <w:r>
        <w:rPr>
          <w:bCs/>
          <w:b/>
        </w:rPr>
        <w:t xml:space="preserve">Debilita la señal</w:t>
      </w:r>
      <w:r>
        <w:t xml:space="preserve">: es la razón principal para no tratar el Comprar mecánico de los próximos días como una compra de calidad.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Exceso sobre la guía de 17,2 puntos.</w:t>
      </w:r>
      <w:r>
        <w:t xml:space="preserve"> </w:t>
      </w:r>
      <w:r>
        <w:t xml:space="preserve">La guía casi no recorta la proyección. Lo compensa que la base es nuestra, cerca del consenso, y no la mecánica. Debilita poco.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Pagos en acciones del 16,2 % de las ventas.</w:t>
      </w:r>
      <w:r>
        <w:t xml:space="preserve"> </w:t>
      </w:r>
      <w:r>
        <w:t xml:space="preserve">Restándolos, la regla del 40 baja a 6,2 y la puntuación a 73,3. No cambia la señal, pero el FCF real para el accionista es peor de lo que parece.</w:t>
      </w:r>
    </w:p>
    <w:p>
      <w:pPr>
        <w:pStyle w:val="BodyText"/>
      </w:pPr>
      <w:r>
        <w:rPr>
          <w:bCs/>
          <w:b/>
        </w:rPr>
        <w:t xml:space="preserve">Riesgos de negocio:</w:t>
      </w:r>
      <w:r>
        <w:t xml:space="preserve"> </w:t>
      </w:r>
      <w:r>
        <w:t xml:space="preserve">competencia en cribado (Abbott con Freenome y Cologuard; pruebas de nueva generación de otros); que el USPSTF no incluya la prueba en sangre, lo que frenaría la cobertura privada obligatoria; recortes de tarifas de Medicare cuando venza la de Shield (fin de 2027); dilución y convertibles; y la caída del sentimiento, que en growth arrastra el precio más que el negocio.</w:t>
      </w:r>
    </w:p>
    <w:p>
      <w:pPr>
        <w:pStyle w:val="BodyText"/>
      </w:pPr>
      <w:r>
        <w:rPr>
          <w:bCs/>
          <w:b/>
        </w:rPr>
        <w:t xml:space="preserve">Señales de venta concretas:</w:t>
      </w:r>
      <w:r>
        <w:t xml:space="preserve"> </w:t>
      </w:r>
      <w:r>
        <w:t xml:space="preserve">dos trimestres seguidos con Shield por debajo de su guía de volumen; crecimiento de oncología por debajo del 20 %; quema de caja que no mejore en 2027; pérdida de la tarifa de Medicare de Shield.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0"/>
        </w:numPr>
        <w:pStyle w:val="Compact"/>
      </w:pPr>
      <w:r>
        <w:t xml:space="preserve">Resultados del 3T26: finales de octubre o primeros de noviembre (en 2025, el 29-oct; sin fecha confirmada).</w:t>
      </w:r>
    </w:p>
    <w:p>
      <w:pPr>
        <w:numPr>
          <w:ilvl w:val="0"/>
          <w:numId w:val="1010"/>
        </w:numPr>
        <w:pStyle w:val="Compact"/>
      </w:pPr>
      <w:r>
        <w:t xml:space="preserve">Lanzamiento comercial de SimpleScreen por Abbott: otoño de 2026.</w:t>
      </w:r>
    </w:p>
    <w:p>
      <w:pPr>
        <w:numPr>
          <w:ilvl w:val="0"/>
          <w:numId w:val="1010"/>
        </w:numPr>
        <w:pStyle w:val="Compact"/>
      </w:pPr>
      <w:r>
        <w:t xml:space="preserve">Guía de 2027: febrero de 2027.</w:t>
      </w:r>
    </w:p>
    <w:p>
      <w:pPr>
        <w:numPr>
          <w:ilvl w:val="0"/>
          <w:numId w:val="1010"/>
        </w:numPr>
        <w:pStyle w:val="Compact"/>
      </w:pPr>
      <w:r>
        <w:t xml:space="preserve">Tarifa de Medicare de Shield: fijada hasta el 31-dic-2027.</w:t>
      </w:r>
    </w:p>
    <w:p>
      <w:pPr>
        <w:numPr>
          <w:ilvl w:val="0"/>
          <w:numId w:val="1010"/>
        </w:numPr>
        <w:pStyle w:val="Compact"/>
      </w:pPr>
      <w:r>
        <w:t xml:space="preserve">Vencimiento del convertible de 2027: 15-sep-2027.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Hoy: no entra.</w:t>
      </w:r>
      <w:r>
        <w:t xml:space="preserve"> </w:t>
      </w:r>
      <w:r>
        <w:t xml:space="preserve">La señal es Mantener por euforia.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Cuando se levante la euforia (por calendario, desde el 16-oct si el precio no pasa de 168,7 USD):</w:t>
      </w:r>
      <w:r>
        <w:t xml:space="preserve"> </w:t>
      </w:r>
      <w:r>
        <w:t xml:space="preserve">el motor daría Comprar con convicción baja y una ponderada del 11 %. El bolsillo growth está lleno (~20 %) y sin liquidez libre: solo cabría sustituyendo. La más floja de las cinco es Snowflake (+16 %, convicción media). Guardant rinde menos (+11 %) y con menos convicción (baja):</w:t>
      </w:r>
      <w:r>
        <w:t xml:space="preserve"> </w:t>
      </w:r>
      <w:r>
        <w:rPr>
          <w:bCs/>
          <w:b/>
        </w:rPr>
        <w:t xml:space="preserve">no sustituye a ninguna</w:t>
      </w:r>
      <w:r>
        <w:t xml:space="preserve"> </w:t>
      </w:r>
      <w:r>
        <w:t xml:space="preserve">(Nu +22 %, Axon +35 %, Shopify +19 %, Snowflake +16 %, Samsara +17 %).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Puesto de suplente:</w:t>
      </w:r>
      <w:r>
        <w:t xml:space="preserve"> </w:t>
      </w:r>
      <w:r>
        <w:t xml:space="preserve">detrás de Saab, en el puesto 11, empatada con Natera (que pasa a ser la 12 por ponderada más baja): las dos tienen el múltiplo más del doble de su mediana, y son rivales directas en recaída, así que no tendría sentido llevar las dos. Orden propuesto: MongoDB, Toast, Zscaler, Rubrik, dLocal, Dexcom, argenx, Datadog, Reddit, Saab, Guardant, Natera, Ypsomed.</w:t>
      </w:r>
    </w:p>
    <w:p>
      <w:pPr>
        <w:numPr>
          <w:ilvl w:val="0"/>
          <w:numId w:val="1011"/>
        </w:numPr>
        <w:pStyle w:val="Compact"/>
      </w:pPr>
      <w:r>
        <w:t xml:space="preserve">No añade exposición a IA (la de Alphabet sale mañana y no cuenta); suma salud, donde el bolsillo no tiene nada.</w:t>
      </w:r>
    </w:p>
    <w:p>
      <w:pPr>
        <w:numPr>
          <w:ilvl w:val="0"/>
          <w:numId w:val="1011"/>
        </w:numPr>
        <w:pStyle w:val="Compact"/>
      </w:pPr>
      <w:r>
        <w:t xml:space="preserve">Si algún día entra: 3,5 %, en dos tramos (mitad, y mitad tras los resultados del 3T si Shield cumple su guía de volumen), por debajo de 172,8 USD.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33"/>
    <w:bookmarkStart w:id="34" w:name="robustez"/>
    <w:p>
      <w:pPr>
        <w:pStyle w:val="Heading2"/>
      </w:pPr>
      <w:r>
        <w:t xml:space="preserve">Robustez</w:t>
      </w:r>
    </w:p>
    <w:p>
      <w:pPr>
        <w:pStyle w:val="FirstParagraph"/>
      </w:pPr>
      <w:r>
        <w:rPr>
          <w:rStyle w:val="VerbatimChar"/>
        </w:rPr>
        <w:t xml:space="preserve">node herramientas/robustez-growth.mjs informes-growth/guardant-2026-10-15 --precios</w:t>
      </w:r>
      <w:r>
        <w:t xml:space="preserve">:</w:t>
      </w:r>
      <w:r>
        <w:t xml:space="preserve"> </w:t>
      </w:r>
      <w:r>
        <w:rPr>
          <w:bCs/>
          <w:b/>
        </w:rPr>
        <w:t xml:space="preserve">SÓLIDA, señal robusta: Mantener.</w:t>
      </w:r>
      <w:r>
        <w:t xml:space="preserve"> </w:t>
      </w:r>
      <w:r>
        <w:t xml:space="preserve">Todas las variantes dan Mantener (v7, ventas del analista, pesos 35/50/15, precio de hoy con el objetivo fijo). Avisos:</w:t>
      </w:r>
      <w:r>
        <w:t xml:space="preserve"> </w:t>
      </w:r>
      <w:r>
        <w:t xml:space="preserve">- G2: el objetivo se mueve casi uno a uno con el precio, así que al revisar el precio se deja fijo el objetivo (181,5 USD) y el límite es 172,8 USD.</w:t>
      </w:r>
      <w:r>
        <w:t xml:space="preserve"> </w:t>
      </w:r>
      <w:r>
        <w:t xml:space="preserve">- G3: las ventas base superan al consenso de 2027 en un 17 %; con las del consenso la señal sigue siendo Mantener.</w:t>
      </w:r>
      <w:r>
        <w:t xml:space="preserve"> </w:t>
      </w:r>
      <w:r>
        <w:t xml:space="preserve">- G5 y G6: subida del 161 % en 12 meses y bajista del −46 %: si entra, posición pequeña y en dos tramos.</w:t>
      </w:r>
    </w:p>
    <w:p>
      <w:pPr>
        <w:pStyle w:val="BodyText"/>
      </w:pPr>
      <w:r>
        <w:t xml:space="preserve">Lectura: el Mantener es robusto. Lo que no es robusto es el Comprar que saldría en unos días al levantarse la euforia: depende de una fecha y choca con la alerta de múltiplo caro. Mejora de método propuesta: que el veto de euforia mire también la subida desde el mínimo de 12 meses o la media de varias referencias, para que no salte de un día para otro por la fecha de inicio de la ventana (aquí, del 16-oct al 30-oct la referencia sube de 67 a 92 USD).</w:t>
      </w:r>
    </w:p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Guardant Health, resultados del 2T 2026 (30-jul-2026), 8-K ex. 99.1, SEC.</w:t>
      </w:r>
      <w:r>
        <w:t xml:space="preserve"> </w:t>
      </w:r>
      <w:r>
        <w:t xml:space="preserve">[2] Guardant Health, resultados del 4T 2025 (19-feb-2026), 8-K ex. 99.1, SEC.</w:t>
      </w:r>
      <w:r>
        <w:t xml:space="preserve"> </w:t>
      </w:r>
      <w:r>
        <w:t xml:space="preserve">[3] Guardant Health, 10-Q del 2T 2026 (30-jul-2026), SEC: Medicare 27 %, convertibles, opciones y RSU, acciones a 24-jul.</w:t>
      </w:r>
      <w:r>
        <w:t xml:space="preserve"> </w:t>
      </w:r>
      <w:r>
        <w:t xml:space="preserve">[4] SEC XBRL companyfacts (CIK 1576280).</w:t>
      </w:r>
      <w:r>
        <w:t xml:space="preserve"> </w:t>
      </w:r>
      <w:r>
        <w:t xml:space="preserve">[6] Yahoo Finance chart API (GH, QQQ, IBB), diario a 2 y 5 años.</w:t>
      </w:r>
      <w:r>
        <w:t xml:space="preserve"> </w:t>
      </w:r>
      <w:r>
        <w:t xml:space="preserve">[7] Nasdaq.com, histórico de GH (segunda fuente del cierre).</w:t>
      </w:r>
      <w:r>
        <w:t xml:space="preserve"> </w:t>
      </w:r>
      <w:r>
        <w:t xml:space="preserve">[8] Guardant Health, 8-K de resultados del 4T24, 1T25, 2T25 y 1T26 (guías).</w:t>
      </w:r>
      <w:r>
        <w:t xml:space="preserve"> </w:t>
      </w:r>
      <w:r>
        <w:t xml:space="preserve">[9] Guardant Health, 8-K del 4T25 (ventas de 2025).</w:t>
      </w:r>
      <w:r>
        <w:t xml:space="preserve"> </w:t>
      </w:r>
      <w:r>
        <w:t xml:space="preserve">[10] Business Wire (11-mar-2025): estatus ADLT de Shield, 1.495 USD.</w:t>
      </w:r>
      <w:r>
        <w:t xml:space="preserve"> </w:t>
      </w:r>
      <w:r>
        <w:t xml:space="preserve">[11] StockAnalysis, previsiones de GH (14-oct-2026).</w:t>
      </w:r>
      <w:r>
        <w:t xml:space="preserve"> </w:t>
      </w:r>
      <w:r>
        <w:t xml:space="preserve">[12] Cálculo propio de EV, múltiplos históricos y DCF inverso.</w:t>
      </w:r>
      <w:r>
        <w:t xml:space="preserve"> </w:t>
      </w:r>
      <w:r>
        <w:t xml:space="preserve">[13] StockTwits, flujo de GH (15-oct-2026).</w:t>
      </w:r>
      <w:r>
        <w:t xml:space="preserve"> </w:t>
      </w:r>
      <w:r>
        <w:t xml:space="preserve">[14] StockAnalysis, estadísticas de GH (14-oct-2026).</w:t>
      </w:r>
      <w:r>
        <w:t xml:space="preserve"> </w:t>
      </w:r>
      <w:r>
        <w:t xml:space="preserve">[15] SEC, Formularios 4 y 144 de abr-oct 2026; 13G/A de T. Rowe Price.</w:t>
      </w:r>
      <w:r>
        <w:t xml:space="preserve"> </w:t>
      </w:r>
      <w:r>
        <w:t xml:space="preserve">[16] CancerNetwork, Fierce Biotech y HCPLive (27-jul-2026): aprobación de SimpleScreen CRC de Freenome, vendida por Abbott.</w:t>
      </w:r>
      <w:r>
        <w:t xml:space="preserve"> </w:t>
      </w:r>
      <w:r>
        <w:t xml:space="preserve">[17] Yahoo Finance y Kalkine (ago-2026): reacción a los resultados del 2T, UnitedHealth y American Cancer Society.</w:t>
      </w:r>
      <w:r>
        <w:t xml:space="preserve"> </w:t>
      </w:r>
      <w:r>
        <w:t xml:space="preserve">[18] StockAnalysis, estadísticas de Tempus AI (14-oct-2026).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2026-10-15T08:31:17Z</dcterms:created>
  <dcterms:modified xsi:type="dcterms:W3CDTF">2026-10-15T08:31:17Z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