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e4327d28e505211c9948b70590d73adcd5c5f48"/>
    <w:p>
      <w:pPr>
        <w:pStyle w:val="Heading1"/>
      </w:pPr>
      <w:r>
        <w:t xml:space="preserve">Hinge Health (HNGE): análisis growth, 15-oct-2026</w:t>
      </w:r>
    </w:p>
    <w:p>
      <w:pPr>
        <w:pStyle w:val="FirstParagraph"/>
      </w:pPr>
      <w:r>
        <w:rPr>
          <w:bCs/>
          <w:b/>
        </w:rPr>
        <w:t xml:space="preserve">Señal (método vigente v11): Comprar (convicción media)</w:t>
      </w:r>
      <w:r>
        <w:t xml:space="preserve"> </w:t>
      </w:r>
      <w:r>
        <w:t xml:space="preserve">· Puntuación 89,7/100 · Señales de cambio de tendencia 6/8 · EV/beneficio bruto 11,5 veces</w:t>
      </w:r>
      <w:r>
        <w:t xml:space="preserve"> </w:t>
      </w:r>
      <w:r>
        <w:t xml:space="preserve">Precio 105,00 USD (cierre del 14-oct) · Objetivo 12 m 120,4 USD · Ponderada +14,6 % · Base +14,5 % · Bajista −38,3 % · Alcista +67,9 % · Compra hasta 114,6 USD</w:t>
      </w:r>
      <w:r>
        <w:t xml:space="preserve"> </w:t>
      </w:r>
      <w:r>
        <w:t xml:space="preserve">Con la v9 (referencia): Comprar (alta), ponderada +37 %, base +40,6 %, bajista −38,1 %, compra hasta 137 USD</w:t>
      </w:r>
      <w:r>
        <w:t xml:space="preserve"> </w:t>
      </w:r>
      <w:r>
        <w:t xml:space="preserve">Precio actual: 105,95 USD (fuera de hora, 14-oct a las 22:47 UTC); con el objetivo fijo, ponderada +13,6 %</w:t>
      </w:r>
      <w:r>
        <w:t xml:space="preserve"> </w:t>
      </w:r>
      <w:r>
        <w:t xml:space="preserve">Peso orientativo: 4 % por la regla, pero</w:t>
      </w:r>
      <w:r>
        <w:t xml:space="preserve"> </w:t>
      </w:r>
      <w:r>
        <w:rPr>
          <w:bCs/>
          <w:b/>
        </w:rPr>
        <w:t xml:space="preserve">hoy no entra</w:t>
      </w:r>
      <w:r>
        <w:t xml:space="preserve">: el bolsillo growth está lleno y no supera con claridad a ninguna de las cinco (sección 13). Queda como</w:t>
      </w:r>
      <w:r>
        <w:t xml:space="preserve"> </w:t>
      </w:r>
      <w:r>
        <w:rPr>
          <w:bCs/>
          <w:b/>
        </w:rPr>
        <w:t xml:space="preserve">quinta suplente</w:t>
      </w:r>
      <w:r>
        <w:t xml:space="preserve">.</w:t>
      </w:r>
      <w:r>
        <w:t xml:space="preserve"> </w:t>
      </w:r>
      <w:r>
        <w:t xml:space="preserve">Prueba de robustez:</w:t>
      </w:r>
      <w:r>
        <w:t xml:space="preserve"> </w:t>
      </w:r>
      <w:r>
        <w:rPr>
          <w:bCs/>
          <w:b/>
        </w:rPr>
        <w:t xml:space="preserve">SÓLIDA</w:t>
      </w:r>
      <w:r>
        <w:t xml:space="preserve">, Comprar en dos tramos.</w:t>
      </w:r>
      <w:r>
        <w:t xml:space="preserve"> </w:t>
      </w:r>
      <w:r>
        <w:t xml:space="preserve">Filtro previo: las cuatro pruebas se confirman con los datos completos (sección 9).</w:t>
      </w:r>
    </w:p>
    <w:bookmarkStart w:id="20" w:name="la-tesis-en-cinco-líneas"/>
    <w:p>
      <w:pPr>
        <w:pStyle w:val="Heading2"/>
      </w:pPr>
      <w:r>
        <w:t xml:space="preserve">1. La tesis en cinco líneas</w:t>
      </w:r>
    </w:p>
    <w:p>
      <w:pPr>
        <w:numPr>
          <w:ilvl w:val="0"/>
          <w:numId w:val="1001"/>
        </w:numPr>
        <w:pStyle w:val="Compact"/>
      </w:pPr>
      <w:r>
        <w:t xml:space="preserve">Hinge Health trata dolores de espalda y articulaciones con una aplicación, un sensor y fisioterapeutas a distancia, y lo paga la empresa o la aseguradora del paciente. Factura 720 M USD en 12 meses, crece un 50 %, tiene un margen bruto del 85 % y genera mucha caja: FCF del 39 % de las ventas.</w:t>
      </w:r>
    </w:p>
    <w:p>
      <w:pPr>
        <w:numPr>
          <w:ilvl w:val="0"/>
          <w:numId w:val="1001"/>
        </w:numPr>
        <w:pStyle w:val="Compact"/>
      </w:pPr>
      <w:r>
        <w:t xml:space="preserve">El crecimiento no frena: el último trimestre creció un 53 %, más que la media del año anterior. La empresa ha subido su guía de 2026 tres veces este año y bate su propia guía trimestral por 11,5 puntos de media.</w:t>
      </w:r>
    </w:p>
    <w:p>
      <w:pPr>
        <w:numPr>
          <w:ilvl w:val="0"/>
          <w:numId w:val="1001"/>
        </w:numPr>
        <w:pStyle w:val="Compact"/>
      </w:pPr>
      <w:r>
        <w:t xml:space="preserve">La IA es el motor del margen: el seguimiento del movimiento por cámara y la automatización hacen que cada fisioterapeuta atienda a muchos más pacientes. El margen operativo no GAAP pasó del 19 % al 29 % en un año.</w:t>
      </w:r>
    </w:p>
    <w:p>
      <w:pPr>
        <w:numPr>
          <w:ilvl w:val="0"/>
          <w:numId w:val="1001"/>
        </w:numPr>
        <w:pStyle w:val="Compact"/>
      </w:pPr>
      <w:r>
        <w:t xml:space="preserve">La acción ha subido un 171 % en 6 meses y cotiza a 9,7 veces las ventas de los próximos 12 meses, muy por encima de su mediana desde la salida a bolsa (5,7 veces). Aun así, el precio solo exige crecer un 17,6 % al año durante 10 años, un tercio de lo que crece hoy.</w:t>
      </w:r>
    </w:p>
    <w:p>
      <w:pPr>
        <w:numPr>
          <w:ilvl w:val="0"/>
          <w:numId w:val="1001"/>
        </w:numPr>
        <w:pStyle w:val="Compact"/>
      </w:pPr>
      <w:r>
        <w:t xml:space="preserve">La regla da Comprar (media) con un margen corto: +14,6 %. No mejora con claridad a ninguna de las cinco growth de la cartera, así que queda de suplente, con entrada en dos tramos por debajo de 114,6 USD.</w:t>
      </w:r>
    </w:p>
    <w:bookmarkEnd w:id="20"/>
    <w:bookmarkStart w:id="21" w:name="negocio-y-tecnología"/>
    <w:p>
      <w:pPr>
        <w:pStyle w:val="Heading2"/>
      </w:pPr>
      <w:r>
        <w:t xml:space="preserve">2. Negocio y tecnología</w:t>
      </w:r>
    </w:p>
    <w:p>
      <w:pPr>
        <w:pStyle w:val="FirstParagraph"/>
      </w:pPr>
      <w:r>
        <w:t xml:space="preserve">Hinge Health vende un programa digital de fisioterapia para dolores de músculos y articulaciones (espalda, rodilla, hombro, suelo pélvico, prevención de caídas). El paciente recibe un plan de ejercicios en el móvil, la cámara del teléfono corrige la postura (TrueMotion) y, si hace falta, un aparato propio de electroestimulación aprobado por la FDA (Enso). Detrás hay fisioterapeutas y médicos que supervisan a distancia. Los clientes son empresas que se pagan su propio seguro médico y, cada vez más, aseguradoras, Medicare Advantage y planes públicos: 2.929 clientes y 25 M de personas con derecho a usarlo [1][4].</w:t>
      </w:r>
    </w:p>
    <w:p>
      <w:pPr>
        <w:pStyle w:val="BodyText"/>
      </w:pPr>
      <w:r>
        <w:t xml:space="preserve">El cliente solo paga por las personas que se apuntan y usan el programa, y Hinge pone parte de su cobro en riesgo si no hay ahorro o mejora. Por eso el dato que mueve las ventas es el porcentaje de personas con derecho que se apuntan («yield»): del 3,4 % en 2024 al 3,9 % en 2025 y un 4,45 % previsto en 2026 [15].</w:t>
      </w:r>
    </w:p>
    <w:p>
      <w:pPr>
        <w:pStyle w:val="BodyText"/>
      </w:pPr>
      <w:r>
        <w:t xml:space="preserve">Lo nuevo:</w:t>
      </w:r>
      <w:r>
        <w:t xml:space="preserve"> </w:t>
      </w:r>
      <w:r>
        <w:rPr>
          <w:bCs/>
          <w:b/>
        </w:rPr>
        <w:t xml:space="preserve">migraña</w:t>
      </w:r>
      <w:r>
        <w:t xml:space="preserve"> </w:t>
      </w:r>
      <w:r>
        <w:t xml:space="preserve">(desde 2026; 450 clientes y 5 M de vidas),</w:t>
      </w:r>
      <w:r>
        <w:t xml:space="preserve"> </w:t>
      </w:r>
      <w:r>
        <w:rPr>
          <w:bCs/>
          <w:b/>
        </w:rPr>
        <w:t xml:space="preserve">digestivo</w:t>
      </w:r>
      <w:r>
        <w:t xml:space="preserve"> </w:t>
      </w:r>
      <w:r>
        <w:t xml:space="preserve">(compra de Cylinder Health por 105 M USD, lanzamiento en 2027) y</w:t>
      </w:r>
      <w:r>
        <w:t xml:space="preserve"> </w:t>
      </w:r>
      <w:r>
        <w:rPr>
          <w:bCs/>
          <w:b/>
        </w:rPr>
        <w:t xml:space="preserve">HingeSelect</w:t>
      </w:r>
      <w:r>
        <w:t xml:space="preserve"> </w:t>
      </w:r>
      <w:r>
        <w:t xml:space="preserve">con cirugía incluida (2027). La idea es pasar de «fisioterapia digital» a una plataforma que automatiza la atención de varias dolencias crónicas [1][15].</w:t>
      </w:r>
    </w:p>
    <w:p>
      <w:pPr>
        <w:pStyle w:val="BodyText"/>
      </w:pPr>
      <w:r>
        <w:rPr>
          <w:bCs/>
          <w:b/>
        </w:rPr>
        <w:t xml:space="preserve">Tecnología 4/5</w:t>
      </w:r>
      <w:r>
        <w:t xml:space="preserve">: visión por ordenador propia, un aparato con aprobación de la FDA y datos de más de 1,5 M de pacientes. Sword Health ofrece algo parecido.</w:t>
      </w:r>
      <w:r>
        <w:t xml:space="preserve"> </w:t>
      </w:r>
      <w:r>
        <w:rPr>
          <w:bCs/>
          <w:b/>
        </w:rPr>
        <w:t xml:space="preserve">Posición 5/5</w:t>
      </w:r>
      <w:r>
        <w:t xml:space="preserve">: líder claro; la dirección dice que es «tres o cuatro veces más grande que el segundo».</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USD)</w:t>
            </w:r>
          </w:p>
        </w:tc>
        <w:tc>
          <w:tcPr/>
          <w:p>
            <w:pPr>
              <w:pStyle w:val="Compact"/>
              <w:jc w:val="left"/>
            </w:pPr>
            <w:r>
              <w:t xml:space="preserve">Crecimiento interanual</w:t>
            </w:r>
          </w:p>
        </w:tc>
      </w:tr>
      <w:tr>
        <w:tc>
          <w:tcPr/>
          <w:p>
            <w:pPr>
              <w:pStyle w:val="Compact"/>
              <w:jc w:val="left"/>
            </w:pPr>
            <w:r>
              <w:t xml:space="preserve">2T25</w:t>
            </w:r>
          </w:p>
        </w:tc>
        <w:tc>
          <w:tcPr/>
          <w:p>
            <w:pPr>
              <w:pStyle w:val="Compact"/>
              <w:jc w:val="left"/>
            </w:pPr>
            <w:r>
              <w:t xml:space="preserve">139,1</w:t>
            </w:r>
          </w:p>
        </w:tc>
        <w:tc>
          <w:tcPr/>
          <w:p>
            <w:pPr>
              <w:pStyle w:val="Compact"/>
              <w:jc w:val="left"/>
            </w:pPr>
            <w:r>
              <w:t xml:space="preserve">54,9 %</w:t>
            </w:r>
          </w:p>
        </w:tc>
      </w:tr>
      <w:tr>
        <w:tc>
          <w:tcPr/>
          <w:p>
            <w:pPr>
              <w:pStyle w:val="Compact"/>
              <w:jc w:val="left"/>
            </w:pPr>
            <w:r>
              <w:t xml:space="preserve">3T25</w:t>
            </w:r>
          </w:p>
        </w:tc>
        <w:tc>
          <w:tcPr/>
          <w:p>
            <w:pPr>
              <w:pStyle w:val="Compact"/>
              <w:jc w:val="left"/>
            </w:pPr>
            <w:r>
              <w:t xml:space="preserve">154,2</w:t>
            </w:r>
          </w:p>
        </w:tc>
        <w:tc>
          <w:tcPr/>
          <w:p>
            <w:pPr>
              <w:pStyle w:val="Compact"/>
              <w:jc w:val="left"/>
            </w:pPr>
            <w:r>
              <w:t xml:space="preserve">53,3 %</w:t>
            </w:r>
          </w:p>
        </w:tc>
      </w:tr>
      <w:tr>
        <w:tc>
          <w:tcPr/>
          <w:p>
            <w:pPr>
              <w:pStyle w:val="Compact"/>
              <w:jc w:val="left"/>
            </w:pPr>
            <w:r>
              <w:t xml:space="preserve">4T25</w:t>
            </w:r>
          </w:p>
        </w:tc>
        <w:tc>
          <w:tcPr/>
          <w:p>
            <w:pPr>
              <w:pStyle w:val="Compact"/>
              <w:jc w:val="left"/>
            </w:pPr>
            <w:r>
              <w:t xml:space="preserve">170,7</w:t>
            </w:r>
          </w:p>
        </w:tc>
        <w:tc>
          <w:tcPr/>
          <w:p>
            <w:pPr>
              <w:pStyle w:val="Compact"/>
              <w:jc w:val="left"/>
            </w:pPr>
            <w:r>
              <w:t xml:space="preserve">45,6 %</w:t>
            </w:r>
          </w:p>
        </w:tc>
      </w:tr>
      <w:tr>
        <w:tc>
          <w:tcPr/>
          <w:p>
            <w:pPr>
              <w:pStyle w:val="Compact"/>
              <w:jc w:val="left"/>
            </w:pPr>
            <w:r>
              <w:t xml:space="preserve">1T26</w:t>
            </w:r>
          </w:p>
        </w:tc>
        <w:tc>
          <w:tcPr/>
          <w:p>
            <w:pPr>
              <w:pStyle w:val="Compact"/>
              <w:jc w:val="left"/>
            </w:pPr>
            <w:r>
              <w:t xml:space="preserve">182,3</w:t>
            </w:r>
          </w:p>
        </w:tc>
        <w:tc>
          <w:tcPr/>
          <w:p>
            <w:pPr>
              <w:pStyle w:val="Compact"/>
              <w:jc w:val="left"/>
            </w:pPr>
            <w:r>
              <w:t xml:space="preserve">47,2 %</w:t>
            </w:r>
          </w:p>
        </w:tc>
      </w:tr>
      <w:tr>
        <w:tc>
          <w:tcPr/>
          <w:p>
            <w:pPr>
              <w:pStyle w:val="Compact"/>
              <w:jc w:val="left"/>
            </w:pPr>
            <w:r>
              <w:t xml:space="preserve">2T26</w:t>
            </w:r>
          </w:p>
        </w:tc>
        <w:tc>
          <w:tcPr/>
          <w:p>
            <w:pPr>
              <w:pStyle w:val="Compact"/>
              <w:jc w:val="left"/>
            </w:pPr>
            <w:r>
              <w:t xml:space="preserve">212,8</w:t>
            </w:r>
          </w:p>
        </w:tc>
        <w:tc>
          <w:tcPr/>
          <w:p>
            <w:pPr>
              <w:pStyle w:val="Compact"/>
              <w:jc w:val="left"/>
            </w:pPr>
            <w:r>
              <w:t xml:space="preserve">53,0 %</w:t>
            </w:r>
          </w:p>
        </w:tc>
      </w:tr>
      <w:tr>
        <w:tc>
          <w:tcPr/>
          <w:p>
            <w:pPr>
              <w:pStyle w:val="Compact"/>
              <w:jc w:val="left"/>
            </w:pPr>
            <w:r>
              <w:t xml:space="preserve">Guía 3T26</w:t>
            </w:r>
          </w:p>
        </w:tc>
        <w:tc>
          <w:tcPr/>
          <w:p>
            <w:pPr>
              <w:pStyle w:val="Compact"/>
              <w:jc w:val="left"/>
            </w:pPr>
            <w:r>
              <w:t xml:space="preserve">223-225</w:t>
            </w:r>
          </w:p>
        </w:tc>
        <w:tc>
          <w:tcPr/>
          <w:p>
            <w:pPr>
              <w:pStyle w:val="Compact"/>
              <w:jc w:val="left"/>
            </w:pPr>
            <w:r>
              <w:t xml:space="preserve">45 %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Año</w:t>
            </w:r>
          </w:p>
        </w:tc>
        <w:tc>
          <w:tcPr/>
          <w:p>
            <w:pPr>
              <w:pStyle w:val="Compact"/>
              <w:jc w:val="left"/>
            </w:pPr>
            <w:r>
              <w:t xml:space="preserve">Ventas (M USD)</w:t>
            </w:r>
          </w:p>
        </w:tc>
        <w:tc>
          <w:tcPr/>
          <w:p>
            <w:pPr>
              <w:pStyle w:val="Compact"/>
              <w:jc w:val="left"/>
            </w:pPr>
            <w:r>
              <w:t xml:space="preserve">Crecimiento</w:t>
            </w:r>
          </w:p>
        </w:tc>
      </w:tr>
      <w:tr>
        <w:tc>
          <w:tcPr/>
          <w:p>
            <w:pPr>
              <w:pStyle w:val="Compact"/>
              <w:jc w:val="left"/>
            </w:pPr>
            <w:r>
              <w:t xml:space="preserve">2023</w:t>
            </w:r>
          </w:p>
        </w:tc>
        <w:tc>
          <w:tcPr/>
          <w:p>
            <w:pPr>
              <w:pStyle w:val="Compact"/>
              <w:jc w:val="left"/>
            </w:pPr>
            <w:r>
              <w:t xml:space="preserve">292,7</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390,4</w:t>
            </w:r>
          </w:p>
        </w:tc>
        <w:tc>
          <w:tcPr/>
          <w:p>
            <w:pPr>
              <w:pStyle w:val="Compact"/>
              <w:jc w:val="left"/>
            </w:pPr>
            <w:r>
              <w:t xml:space="preserve">33 %</w:t>
            </w:r>
          </w:p>
        </w:tc>
      </w:tr>
      <w:tr>
        <w:tc>
          <w:tcPr/>
          <w:p>
            <w:pPr>
              <w:pStyle w:val="Compact"/>
              <w:jc w:val="left"/>
            </w:pPr>
            <w:r>
              <w:t xml:space="preserve">2025</w:t>
            </w:r>
          </w:p>
        </w:tc>
        <w:tc>
          <w:tcPr/>
          <w:p>
            <w:pPr>
              <w:pStyle w:val="Compact"/>
              <w:jc w:val="left"/>
            </w:pPr>
            <w:r>
              <w:t xml:space="preserve">587,9</w:t>
            </w:r>
          </w:p>
        </w:tc>
        <w:tc>
          <w:tcPr/>
          <w:p>
            <w:pPr>
              <w:pStyle w:val="Compact"/>
              <w:jc w:val="left"/>
            </w:pPr>
            <w:r>
              <w:t xml:space="preserve">51 %</w:t>
            </w:r>
          </w:p>
        </w:tc>
      </w:tr>
      <w:tr>
        <w:tc>
          <w:tcPr/>
          <w:p>
            <w:pPr>
              <w:pStyle w:val="Compact"/>
              <w:jc w:val="left"/>
            </w:pPr>
            <w:r>
              <w:t xml:space="preserve">2026, guía</w:t>
            </w:r>
          </w:p>
        </w:tc>
        <w:tc>
          <w:tcPr/>
          <w:p>
            <w:pPr>
              <w:pStyle w:val="Compact"/>
              <w:jc w:val="left"/>
            </w:pPr>
            <w:r>
              <w:t xml:space="preserve">858</w:t>
            </w:r>
          </w:p>
        </w:tc>
        <w:tc>
          <w:tcPr/>
          <w:p>
            <w:pPr>
              <w:pStyle w:val="Compact"/>
              <w:jc w:val="left"/>
            </w:pPr>
            <w:r>
              <w:t xml:space="preserve">46 %</w:t>
            </w:r>
          </w:p>
        </w:tc>
      </w:tr>
    </w:tbl>
    <w:p>
      <w:pPr>
        <w:pStyle w:val="BodyText"/>
      </w:pPr>
      <w:r>
        <w:t xml:space="preserve">Fuentes: [1][2][4][14].</w:t>
      </w:r>
    </w:p>
    <w:p>
      <w:pPr>
        <w:numPr>
          <w:ilvl w:val="0"/>
          <w:numId w:val="1002"/>
        </w:numPr>
        <w:pStyle w:val="Compact"/>
      </w:pPr>
      <w:r>
        <w:rPr>
          <w:bCs/>
          <w:b/>
        </w:rPr>
        <w:t xml:space="preserve">12 meses</w:t>
      </w:r>
      <w:r>
        <w:t xml:space="preserve">: +49,8 %.</w:t>
      </w:r>
      <w:r>
        <w:t xml:space="preserve"> </w:t>
      </w:r>
      <w:r>
        <w:rPr>
          <w:bCs/>
          <w:b/>
        </w:rPr>
        <w:t xml:space="preserve">CAGR a 2 años</w:t>
      </w:r>
      <w:r>
        <w:t xml:space="preserve">: +46,5 %.</w:t>
      </w:r>
      <w:r>
        <w:t xml:space="preserve"> </w:t>
      </w:r>
      <w:r>
        <w:rPr>
          <w:bCs/>
          <w:b/>
        </w:rPr>
        <w:t xml:space="preserve">Aceleración</w:t>
      </w:r>
      <w:r>
        <w:t xml:space="preserve">: +2,8 puntos (53,0 % frente a una media del 50,3 % en los cuatro trimestres anteriores).</w:t>
      </w:r>
    </w:p>
    <w:p>
      <w:pPr>
        <w:numPr>
          <w:ilvl w:val="0"/>
          <w:numId w:val="1002"/>
        </w:numPr>
        <w:pStyle w:val="Compact"/>
      </w:pPr>
      <w:r>
        <w:rPr>
          <w:bCs/>
          <w:b/>
        </w:rPr>
        <w:t xml:space="preserve">Facturación de 12 meses</w:t>
      </w:r>
      <w:r>
        <w:t xml:space="preserve">: 861,8 M USD, +52 %.</w:t>
      </w:r>
      <w:r>
        <w:t xml:space="preserve"> </w:t>
      </w:r>
      <w:r>
        <w:rPr>
          <w:bCs/>
          <w:b/>
        </w:rPr>
        <w:t xml:space="preserve">Clientes</w:t>
      </w:r>
      <w:r>
        <w:t xml:space="preserve">: +24 %.</w:t>
      </w:r>
      <w:r>
        <w:t xml:space="preserve"> </w:t>
      </w:r>
      <w:r>
        <w:rPr>
          <w:bCs/>
          <w:b/>
        </w:rPr>
        <w:t xml:space="preserve">Retención de clientes</w:t>
      </w:r>
      <w:r>
        <w:t xml:space="preserve">: 97 % [1][4].</w:t>
      </w:r>
    </w:p>
    <w:p>
      <w:pPr>
        <w:numPr>
          <w:ilvl w:val="0"/>
          <w:numId w:val="1002"/>
        </w:numPr>
        <w:pStyle w:val="Compact"/>
      </w:pPr>
      <w:r>
        <w:rPr>
          <w:bCs/>
          <w:b/>
        </w:rPr>
        <w:t xml:space="preserve">Guía</w:t>
      </w:r>
      <w:r>
        <w:t xml:space="preserve">: ventas de 2026 de 856-860 M, subida tres veces este año desde 737 M. El segundo semestre implícito crece un 42,5 %. No hay guía de 2027. Hinge bate su guía trimestral por 11,5 puntos de media (12,2, 12,6, 8,3 y 12,8 puntos en los últimos cuatro trimestres) [1][2][3].</w:t>
      </w:r>
    </w:p>
    <w:p>
      <w:pPr>
        <w:numPr>
          <w:ilvl w:val="0"/>
          <w:numId w:val="1002"/>
        </w:numPr>
        <w:pStyle w:val="Compact"/>
      </w:pPr>
      <w:r>
        <w:rPr>
          <w:bCs/>
          <w:b/>
        </w:rPr>
        <w:t xml:space="preserve">Compras</w:t>
      </w:r>
      <w:r>
        <w:t xml:space="preserve">: Cylinder Health factura 20-25 M USD al año y aporta unos 3 puntos al crecimiento de los próximos 12 meses. Sin ella, el crecimiento previsto pasa del 33,9 % al 31,1 %. Como mueve más de 2 puntos, se calcula también con la v12 (sección 9) [15].</w:t>
      </w:r>
    </w:p>
    <w:p>
      <w:pPr>
        <w:numPr>
          <w:ilvl w:val="0"/>
          <w:numId w:val="1002"/>
        </w:numPr>
        <w:pStyle w:val="Compact"/>
      </w:pPr>
      <w:r>
        <w:rPr>
          <w:bCs/>
          <w:b/>
        </w:rPr>
        <w:t xml:space="preserve">Ojo</w:t>
      </w:r>
      <w:r>
        <w:t xml:space="preserve">: un punto del margen bruto del 2T26 vino de una devolución de aranceles que no se repite [15].</w:t>
      </w:r>
    </w:p>
    <w:bookmarkEnd w:id="22"/>
    <w:bookmarkStart w:id="23" w:name="mercado-y-competencia"/>
    <w:p>
      <w:pPr>
        <w:pStyle w:val="Heading2"/>
      </w:pPr>
      <w:r>
        <w:t xml:space="preserve">4. Mercado y competencia</w:t>
      </w:r>
    </w:p>
    <w:p>
      <w:pPr>
        <w:numPr>
          <w:ilvl w:val="0"/>
          <w:numId w:val="1003"/>
        </w:numPr>
        <w:pStyle w:val="Compact"/>
      </w:pPr>
      <w:r>
        <w:rPr>
          <w:bCs/>
          <w:b/>
        </w:rPr>
        <w:t xml:space="preserve">Mercado alcanzable</w:t>
      </w:r>
      <w:r>
        <w:t xml:space="preserve">: unos 18.000 M USD según el folleto de salida a bolsa (10.000 M en empresas autoaseguradas y 8.000 M en seguros completos, Medicare Advantage y planes federales). Migraña y digestivo lo amplían, pero no se cuentan [14].</w:t>
      </w:r>
      <w:r>
        <w:t xml:space="preserve"> </w:t>
      </w:r>
      <w:r>
        <w:rPr>
          <w:bCs/>
          <w:b/>
        </w:rPr>
        <w:t xml:space="preserve">Penetración</w:t>
      </w:r>
      <w:r>
        <w:t xml:space="preserve">: 4 %.</w:t>
      </w:r>
    </w:p>
    <w:p>
      <w:pPr>
        <w:numPr>
          <w:ilvl w:val="0"/>
          <w:numId w:val="1003"/>
        </w:numPr>
        <w:pStyle w:val="Compact"/>
      </w:pPr>
      <w:r>
        <w:rPr>
          <w:bCs/>
          <w:b/>
        </w:rPr>
        <w:t xml:space="preserve">Rivales</w:t>
      </w:r>
      <w:r>
        <w:t xml:space="preserve">: Sword Health (privada, la más parecida, con su propia IA), Kaia (privada), Omada (cotiza, crece en diabetes y añade músculos y articulaciones), las propias aseguradoras y la fisioterapia presencial.</w:t>
      </w:r>
    </w:p>
    <w:p>
      <w:pPr>
        <w:numPr>
          <w:ilvl w:val="0"/>
          <w:numId w:val="1003"/>
        </w:numPr>
        <w:pStyle w:val="Compact"/>
      </w:pPr>
      <w:r>
        <w:rPr>
          <w:bCs/>
          <w:b/>
        </w:rPr>
        <w:t xml:space="preserve">Por qué gana</w:t>
      </w:r>
      <w:r>
        <w:t xml:space="preserve">: es el proveedor por defecto en casi la mitad de las 100 mayores empresas de EE. UU., suele ser el único proveedor digital de ese tipo en cada cliente durante contratos de tres años, y entra a través de las grandes aseguradoras. Con más pacientes tiene más datos y más automatización, y por tanto mejor margen.</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Guía de ventas de 2026 subida tres veces (+16 % en el punto medio); objetivos de Barclays, Stifel y BofA al alza; objetivo medio de 111,2 USD</w:t>
            </w:r>
          </w:p>
        </w:tc>
        <w:tc>
          <w:tcPr/>
          <w:p>
            <w:pPr>
              <w:pStyle w:val="Compact"/>
              <w:jc w:val="left"/>
            </w:pPr>
            <w:r>
              <w:t xml:space="preserve">[1][2][3][8]</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105,00 frente a 63,3 USD; la media sube desde el verano</w:t>
            </w:r>
          </w:p>
        </w:tc>
        <w:tc>
          <w:tcPr/>
          <w:p>
            <w:pPr>
              <w:pStyle w:val="Compact"/>
              <w:jc w:val="left"/>
            </w:pPr>
            <w:r>
              <w:t xml:space="preserve">[6]</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+171 % frente a +16 % del Nasdaq-100</w:t>
            </w:r>
          </w:p>
        </w:tc>
        <w:tc>
          <w:tcPr/>
          <w:p>
            <w:pPr>
              <w:pStyle w:val="Compact"/>
              <w:jc w:val="left"/>
            </w:pPr>
            <w:r>
              <w:t xml:space="preserve">[6]</w:t>
            </w:r>
          </w:p>
        </w:tc>
      </w:tr>
      <w:tr>
        <w:tc>
          <w:tcPr/>
          <w:p>
            <w:pPr>
              <w:pStyle w:val="Compact"/>
              <w:jc w:val="left"/>
            </w:pPr>
            <w:r>
              <w:t xml:space="preserve">4. Mejora del múltiplo</w:t>
            </w:r>
          </w:p>
        </w:tc>
        <w:tc>
          <w:tcPr/>
          <w:p>
            <w:pPr>
              <w:pStyle w:val="Compact"/>
              <w:jc w:val="left"/>
            </w:pPr>
            <w:r>
              <w:t xml:space="preserve">Sí</w:t>
            </w:r>
          </w:p>
        </w:tc>
        <w:tc>
          <w:tcPr/>
          <w:p>
            <w:pPr>
              <w:pStyle w:val="Compact"/>
              <w:jc w:val="left"/>
            </w:pPr>
            <w:r>
              <w:t xml:space="preserve">De 3,1 veces (6-feb) a 9,7 veces las ventas siguientes</w:t>
            </w:r>
          </w:p>
        </w:tc>
        <w:tc>
          <w:tcPr/>
          <w:p>
            <w:pPr>
              <w:pStyle w:val="Compact"/>
              <w:jc w:val="left"/>
            </w:pPr>
            <w:r>
              <w:t xml:space="preserve">[6][12]</w:t>
            </w:r>
          </w:p>
        </w:tc>
      </w:tr>
      <w:tr>
        <w:tc>
          <w:tcPr/>
          <w:p>
            <w:pPr>
              <w:pStyle w:val="Compact"/>
              <w:jc w:val="left"/>
            </w:pPr>
            <w:r>
              <w:t xml:space="preserve">5. Inflexión operativa</w:t>
            </w:r>
          </w:p>
        </w:tc>
        <w:tc>
          <w:tcPr/>
          <w:p>
            <w:pPr>
              <w:pStyle w:val="Compact"/>
              <w:jc w:val="left"/>
            </w:pPr>
            <w:r>
              <w:t xml:space="preserve">Sí</w:t>
            </w:r>
          </w:p>
        </w:tc>
        <w:tc>
          <w:tcPr/>
          <w:p>
            <w:pPr>
              <w:pStyle w:val="Compact"/>
              <w:jc w:val="left"/>
            </w:pPr>
            <w:r>
              <w:t xml:space="preserve">Margen operativo no GAAP del 29 % frente al 19 % un año antes; cuarto trimestre con beneficio GAAP</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Mejoró, pero el precio ya está en el objetivo de los analistas y un 12,5 % del capital flotante está vendido a corto: se trata como eufórico</w:t>
            </w:r>
          </w:p>
        </w:tc>
        <w:tc>
          <w:tcPr/>
          <w:p>
            <w:pPr>
              <w:pStyle w:val="Compact"/>
              <w:jc w:val="left"/>
            </w:pPr>
            <w:r>
              <w:t xml:space="preserve">[8][9][10][11]</w:t>
            </w:r>
          </w:p>
        </w:tc>
      </w:tr>
      <w:tr>
        <w:tc>
          <w:tcPr/>
          <w:p>
            <w:pPr>
              <w:pStyle w:val="Compact"/>
              <w:jc w:val="left"/>
            </w:pPr>
            <w:r>
              <w:t xml:space="preserve">7. Compras de directivos o inversores de referencia</w:t>
            </w:r>
          </w:p>
        </w:tc>
        <w:tc>
          <w:tcPr/>
          <w:p>
            <w:pPr>
              <w:pStyle w:val="Compact"/>
              <w:jc w:val="left"/>
            </w:pPr>
            <w:r>
              <w:t xml:space="preserve">No</w:t>
            </w:r>
          </w:p>
        </w:tc>
        <w:tc>
          <w:tcPr/>
          <w:p>
            <w:pPr>
              <w:pStyle w:val="Compact"/>
              <w:jc w:val="left"/>
            </w:pPr>
            <w:r>
              <w:t xml:space="preserve">Ninguna compra; ventas continuas de los fundadores y del director financiero; entra BlackRock, un gestor indexado</w:t>
            </w:r>
          </w:p>
        </w:tc>
        <w:tc>
          <w:tcPr/>
          <w:p>
            <w:pPr>
              <w:pStyle w:val="Compact"/>
              <w:jc w:val="left"/>
            </w:pPr>
            <w:r>
              <w:t xml:space="preserve">[5][7]</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el 2-nov; migraña, digestivo y HingeSelect en 2027</w:t>
            </w:r>
          </w:p>
        </w:tc>
        <w:tc>
          <w:tcPr/>
          <w:p>
            <w:pPr>
              <w:pStyle w:val="Compact"/>
              <w:jc w:val="left"/>
            </w:pPr>
            <w:r>
              <w:t xml:space="preserve">[1][15]</w:t>
            </w:r>
          </w:p>
        </w:tc>
      </w:tr>
    </w:tbl>
    <w:p>
      <w:pPr>
        <w:pStyle w:val="BodyText"/>
      </w:pPr>
      <w:r>
        <w:rPr>
          <w:bCs/>
          <w:b/>
        </w:rPr>
        <w:t xml:space="preserve">Euforia a 12 meses: no</w:t>
      </w:r>
      <w:r>
        <w:t xml:space="preserve"> </w:t>
      </w:r>
      <w:r>
        <w:t xml:space="preserve">(+108 %, lejos del 150 %).</w:t>
      </w:r>
    </w:p>
    <w:p>
      <w:pPr>
        <w:pStyle w:val="BodyText"/>
      </w:pPr>
      <w:r>
        <w:rPr>
          <w:bCs/>
          <w:b/>
        </w:rPr>
        <w:t xml:space="preserve">Alerta de euforia a 6 meses: no salta en el motor, pero sí con la regla que propuso el análisis de Rubrik.</w:t>
      </w:r>
      <w:r>
        <w:t xml:space="preserve"> </w:t>
      </w:r>
      <w:r>
        <w:t xml:space="preserve">La acción ha subido un 171 % en 6 meses (el filtro previo hablaba de un 137 %, con otra fecha de partida; con el cierre del 14-abr sale un 171 %). La alerta del motor pide además que el valor de empresa supere 20 veces el beneficio bruto, y Hinge está en 11,5 veces porque su margen bruto es muy alto (85 %). La propuesta pendiente de backtest (subida de más del 100 % con el múltiplo por encima de 1,4 veces su mediana)</w:t>
      </w:r>
      <w:r>
        <w:t xml:space="preserve"> </w:t>
      </w:r>
      <w:r>
        <w:rPr>
          <w:bCs/>
          <w:b/>
        </w:rPr>
        <w:t xml:space="preserve">sí salta</w:t>
      </w:r>
      <w:r>
        <w:t xml:space="preserve">: el múltiplo está a 1,7 veces su mediana. Lectura: la subida es vertical, pero viene acompañada de datos (guía subida tres veces, crecimiento que acelera, margen al alza) y el precio no es extremo frente a lo que deja cada venta. La señal no cambia, pero se trata como si la alerta estuviera activa: entrada en dos tramos y sin perseguir el precio por encima de 114,6 USD.</w:t>
      </w:r>
    </w:p>
    <w:bookmarkEnd w:id="24"/>
    <w:bookmarkStart w:id="25" w:name="X6a3ced9ea5ed5bb9ac58f5e7c1bb09ad4718b77"/>
    <w:p>
      <w:pPr>
        <w:pStyle w:val="Heading2"/>
      </w:pPr>
      <w:r>
        <w:t xml:space="preserve">6. Economía unitaria y camino a la rentabilidad</w:t>
      </w:r>
    </w:p>
    <w:p>
      <w:pPr>
        <w:numPr>
          <w:ilvl w:val="0"/>
          <w:numId w:val="1004"/>
        </w:numPr>
        <w:pStyle w:val="Compact"/>
      </w:pPr>
      <w:r>
        <w:rPr>
          <w:bCs/>
          <w:b/>
        </w:rPr>
        <w:t xml:space="preserve">Margen bruto</w:t>
      </w:r>
      <w:r>
        <w:t xml:space="preserve">: 84,5 % GAAP en 12 meses (86 % en el último trimestre, con un punto de aranceles que no se repite).</w:t>
      </w:r>
    </w:p>
    <w:p>
      <w:pPr>
        <w:numPr>
          <w:ilvl w:val="0"/>
          <w:numId w:val="1004"/>
        </w:numPr>
        <w:pStyle w:val="Compact"/>
      </w:pPr>
      <w:r>
        <w:rPr>
          <w:bCs/>
          <w:b/>
        </w:rPr>
        <w:t xml:space="preserve">Regla del 40</w:t>
      </w:r>
      <w:r>
        <w:t xml:space="preserve">: 89 (crecimiento del 50 % más margen FCF del 39 %). Restando los pagos en acciones, 78.</w:t>
      </w:r>
    </w:p>
    <w:p>
      <w:pPr>
        <w:numPr>
          <w:ilvl w:val="0"/>
          <w:numId w:val="1004"/>
        </w:numPr>
        <w:pStyle w:val="Compact"/>
      </w:pPr>
      <w:r>
        <w:rPr>
          <w:bCs/>
          <w:b/>
        </w:rPr>
        <w:t xml:space="preserve">FCF</w:t>
      </w:r>
      <w:r>
        <w:t xml:space="preserve">: 284 M USD en 12 meses, frente a 45 M en 2024. Parte viene de que los clientes pagan por adelantado (los ingresos diferidos subieron 116 M en el semestre), así que el FCF va por delante del beneficio [1].</w:t>
      </w:r>
    </w:p>
    <w:p>
      <w:pPr>
        <w:numPr>
          <w:ilvl w:val="0"/>
          <w:numId w:val="1004"/>
        </w:numPr>
        <w:pStyle w:val="Compact"/>
      </w:pPr>
      <w:r>
        <w:rPr>
          <w:bCs/>
          <w:b/>
        </w:rPr>
        <w:t xml:space="preserve">Rentabilidad contable</w:t>
      </w:r>
      <w:r>
        <w:t xml:space="preserve">: beneficio operativo GAAP de 40,4 M USD en el 2T26 (19 %). El año 2025 da pérdida GAAP de 546 M solo por los pagos en acciones que se dispararon con la salida a bolsa (591 M en un trimestre). El objetivo de la dirección es un margen operativo de más del 35 % a largo plazo.</w:t>
      </w:r>
    </w:p>
    <w:p>
      <w:pPr>
        <w:numPr>
          <w:ilvl w:val="0"/>
          <w:numId w:val="1004"/>
        </w:numPr>
        <w:pStyle w:val="Compact"/>
      </w:pPr>
      <w:r>
        <w:rPr>
          <w:bCs/>
          <w:b/>
        </w:rPr>
        <w:t xml:space="preserve">Por qué se valora por ventas y no por EBITDA</w:t>
      </w:r>
      <w:r>
        <w:t xml:space="preserve">: gana dinero, pero su margen todavía sube rápido (10 puntos en un año) y no hay historia de EV/EBITDA, porque cotiza desde mayo de 2025 y hasta 2025 perdía dinero. Con EBITDA se valoraría un margen que aún no es el de llegada. Como contraste, cotiza a unas 34 veces el beneficio operativo no GAAP de los próximos 12 meses.</w:t>
      </w:r>
    </w:p>
    <w:bookmarkEnd w:id="25"/>
    <w:bookmarkStart w:id="26" w:name="caja-deuda-y-dilución"/>
    <w:p>
      <w:pPr>
        <w:pStyle w:val="Heading2"/>
      </w:pPr>
      <w:r>
        <w:t xml:space="preserve">7. Caja, deuda y dilución</w:t>
      </w:r>
    </w:p>
    <w:p>
      <w:pPr>
        <w:numPr>
          <w:ilvl w:val="0"/>
          <w:numId w:val="1005"/>
        </w:numPr>
        <w:pStyle w:val="Compact"/>
      </w:pPr>
      <w:r>
        <w:rPr>
          <w:bCs/>
          <w:b/>
        </w:rPr>
        <w:t xml:space="preserve">Caja e inversiones</w:t>
      </w:r>
      <w:r>
        <w:t xml:space="preserve">: 475,6 M USD a 30-jun. En el 3T salen unos 77,5 M de impuestos de las acciones de los fundadores y 105 M de Cylinder: caja ajustada de unos 293 M.</w:t>
      </w:r>
      <w:r>
        <w:t xml:space="preserve"> </w:t>
      </w:r>
      <w:r>
        <w:rPr>
          <w:bCs/>
          <w:b/>
        </w:rPr>
        <w:t xml:space="preserve">Deuda</w:t>
      </w:r>
      <w:r>
        <w:t xml:space="preserve">: ninguna [1][4].</w:t>
      </w:r>
    </w:p>
    <w:p>
      <w:pPr>
        <w:numPr>
          <w:ilvl w:val="0"/>
          <w:numId w:val="1005"/>
        </w:numPr>
        <w:pStyle w:val="Compact"/>
      </w:pPr>
      <w:r>
        <w:rPr>
          <w:bCs/>
          <w:b/>
        </w:rPr>
        <w:t xml:space="preserve">Pista de caja</w:t>
      </w:r>
      <w:r>
        <w:t xml:space="preserve">: no aplica, genera caja.</w:t>
      </w:r>
    </w:p>
    <w:p>
      <w:pPr>
        <w:numPr>
          <w:ilvl w:val="0"/>
          <w:numId w:val="1005"/>
        </w:numPr>
        <w:pStyle w:val="Compact"/>
      </w:pPr>
      <w:r>
        <w:rPr>
          <w:bCs/>
          <w:b/>
        </w:rPr>
        <w:t xml:space="preserve">Acciones</w:t>
      </w:r>
      <w:r>
        <w:t xml:space="preserve">: 80,7 M en circulación a 29-jul, más unos 11 M de acciones restringidas, acciones por objetivos y opciones = 92 M.</w:t>
      </w:r>
    </w:p>
    <w:p>
      <w:pPr>
        <w:numPr>
          <w:ilvl w:val="0"/>
          <w:numId w:val="1005"/>
        </w:numPr>
        <w:pStyle w:val="Compact"/>
      </w:pPr>
      <w:r>
        <w:rPr>
          <w:bCs/>
          <w:b/>
        </w:rPr>
        <w:t xml:space="preserve">Dilución</w:t>
      </w:r>
      <w:r>
        <w:t xml:space="preserve">: ninguna en el último año. Las acciones diluidas medias bajan (84,5 M en el 4T25 y 83,4 M en el 2T26) porque recompra: 196,5 M USD hasta julio y otros 300 M aprobados.</w:t>
      </w:r>
    </w:p>
    <w:p>
      <w:pPr>
        <w:numPr>
          <w:ilvl w:val="0"/>
          <w:numId w:val="1005"/>
        </w:numPr>
        <w:pStyle w:val="Compact"/>
      </w:pPr>
      <w:r>
        <w:rPr>
          <w:bCs/>
          <w:b/>
        </w:rPr>
        <w:t xml:space="preserve">Pagos en acciones</w:t>
      </w:r>
      <w:r>
        <w:t xml:space="preserve">: 11,5 % de las ventas, por debajo del umbral del 15 %.</w:t>
      </w:r>
    </w:p>
    <w:bookmarkEnd w:id="26"/>
    <w:bookmarkStart w:id="27" w:name="dirección-y-ejecución"/>
    <w:p>
      <w:pPr>
        <w:pStyle w:val="Heading2"/>
      </w:pPr>
      <w:r>
        <w:t xml:space="preserve">8. Dirección y ejecución</w:t>
      </w:r>
    </w:p>
    <w:p>
      <w:pPr>
        <w:numPr>
          <w:ilvl w:val="0"/>
          <w:numId w:val="1006"/>
        </w:numPr>
        <w:pStyle w:val="Compact"/>
      </w:pPr>
      <w:r>
        <w:rPr>
          <w:bCs/>
          <w:b/>
        </w:rPr>
        <w:t xml:space="preserve">Historial 5/5</w:t>
      </w:r>
      <w:r>
        <w:t xml:space="preserve">: ha batido la guía de ventas en todos los trimestres desde que salió a bolsa y ha subido la anual tres veces este año.</w:t>
      </w:r>
    </w:p>
    <w:p>
      <w:pPr>
        <w:numPr>
          <w:ilvl w:val="0"/>
          <w:numId w:val="1006"/>
        </w:numPr>
        <w:pStyle w:val="Compact"/>
      </w:pPr>
      <w:r>
        <w:rPr>
          <w:bCs/>
          <w:b/>
        </w:rPr>
        <w:t xml:space="preserve">Dirección 4/5</w:t>
      </w:r>
      <w:r>
        <w:t xml:space="preserve">: los dos fundadores dirigen la empresa (Daniel Perez, consejero delegado, y Gabriel Mecklenburg, presidente ejecutivo) y los directivos tienen alrededor del 17 % del capital. Asignación de capital sensata: recompras con caja propia y compras pequeñas. En contra: venden de forma continua con planes programados (Mecklenburg, unos 23 M USD entre marzo y junio y otras 200.000 acciones el 12-oct) [7].</w:t>
      </w:r>
    </w:p>
    <w:bookmarkEnd w:id="27"/>
    <w:bookmarkStart w:id="28" w:name="valoración"/>
    <w:p>
      <w:pPr>
        <w:pStyle w:val="Heading2"/>
      </w:pPr>
      <w:r>
        <w:t xml:space="preserve">9. Valoración</w:t>
      </w:r>
    </w:p>
    <w:p>
      <w:pPr>
        <w:pStyle w:val="FirstParagraph"/>
      </w:pPr>
      <w:r>
        <w:rPr>
          <w:bCs/>
          <w:b/>
        </w:rPr>
        <w:t xml:space="preserve">Múltiplo</w:t>
      </w:r>
      <w:r>
        <w:t xml:space="preserve">: EV de 9.367 M USD sobre unas ventas de los próximos 12 meses de 964 M (guía del 3T y del 4T, y el consenso de 2027 para el primer semestre) =</w:t>
      </w:r>
      <w:r>
        <w:t xml:space="preserve"> </w:t>
      </w:r>
      <w:r>
        <w:rPr>
          <w:bCs/>
          <w:b/>
        </w:rPr>
        <w:t xml:space="preserve">9,7 veces</w:t>
      </w:r>
      <w:r>
        <w:t xml:space="preserve">.</w:t>
      </w:r>
      <w:r>
        <w:t xml:space="preserve"> </w:t>
      </w:r>
      <w:r>
        <w:rPr>
          <w:bCs/>
          <w:b/>
        </w:rPr>
        <w:t xml:space="preserve">Historia del múltiplo</w:t>
      </w:r>
      <w:r>
        <w:t xml:space="preserve">: con menos de 3 años en bolsa, la «mediana de 3 años» es la de los 17 meses que lleva cotizando (desde mayo de 2025): 5,7 veces, con un mínimo de 3,1 veces en febrero de 2026. Es una historia corta y hecha en su mayor parte cuando el mercado dudaba de su crecimiento. Comparables: unas 2,3 veces (Omada 2,6; Doximity 6,6; Hims &amp; Hers 2,0; Teladoc 0,5), poco útiles porque ninguno crece ni gana como Hinge [12][13].</w:t>
      </w:r>
    </w:p>
    <w:p>
      <w:pPr>
        <w:pStyle w:val="BodyText"/>
      </w:pPr>
      <w:r>
        <w:rPr>
          <w:bCs/>
          <w:b/>
        </w:rPr>
        <w:t xml:space="preserve">Ventas del año objetivo</w:t>
      </w:r>
      <w:r>
        <w:t xml:space="preserve"> </w:t>
      </w:r>
      <w:r>
        <w:t xml:space="preserve">(jul-2027 a jun-2028): la regla mecánica parte del 49 % y llega a 1.519 M en el base. Mi proyección es más prudente y está cerca del consenso: 1.080 M en el bajista, 1.230 M en el base y 1.400 M en el alcista. El consenso de esa ventana ronda los 1.200 M (extrapolado del consenso de 2027, 1.090 M, con un 22 % más en 2028; el de 2028 no estaba accesible) [8][16]. El base supone que sigue batiendo un poco al consenso, como hace siempre. La v11 toma la menor en cada escenario, que es la mía.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USD)</w:t>
            </w:r>
          </w:p>
        </w:tc>
        <w:tc>
          <w:tcPr/>
          <w:p>
            <w:pPr>
              <w:pStyle w:val="Compact"/>
              <w:jc w:val="left"/>
            </w:pPr>
            <w:r>
              <w:t xml:space="preserve">Múltiplo</w:t>
            </w:r>
          </w:p>
        </w:tc>
        <w:tc>
          <w:tcPr/>
          <w:p>
            <w:pPr>
              <w:pStyle w:val="Compact"/>
              <w:jc w:val="left"/>
            </w:pPr>
            <w:r>
              <w:t xml:space="preserve">Precio (USD)</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1.080</w:t>
            </w:r>
          </w:p>
        </w:tc>
        <w:tc>
          <w:tcPr/>
          <w:p>
            <w:pPr>
              <w:pStyle w:val="Compact"/>
              <w:jc w:val="left"/>
            </w:pPr>
            <w:r>
              <w:t xml:space="preserve">5,3</w:t>
            </w:r>
          </w:p>
        </w:tc>
        <w:tc>
          <w:tcPr/>
          <w:p>
            <w:pPr>
              <w:pStyle w:val="Compact"/>
              <w:jc w:val="left"/>
            </w:pPr>
            <w:r>
              <w:t xml:space="preserve">64,8</w:t>
            </w:r>
          </w:p>
        </w:tc>
        <w:tc>
          <w:tcPr/>
          <w:p>
            <w:pPr>
              <w:pStyle w:val="Compact"/>
              <w:jc w:val="left"/>
            </w:pPr>
            <w:r>
              <w:t xml:space="preserve">−38,3 %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1.230</w:t>
            </w:r>
          </w:p>
        </w:tc>
        <w:tc>
          <w:tcPr/>
          <w:p>
            <w:pPr>
              <w:pStyle w:val="Compact"/>
              <w:jc w:val="left"/>
            </w:pPr>
            <w:r>
              <w:t xml:space="preserve">8,8</w:t>
            </w:r>
          </w:p>
        </w:tc>
        <w:tc>
          <w:tcPr/>
          <w:p>
            <w:pPr>
              <w:pStyle w:val="Compact"/>
              <w:jc w:val="left"/>
            </w:pPr>
            <w:r>
              <w:t xml:space="preserve">120,2</w:t>
            </w:r>
          </w:p>
        </w:tc>
        <w:tc>
          <w:tcPr/>
          <w:p>
            <w:pPr>
              <w:pStyle w:val="Compact"/>
              <w:jc w:val="left"/>
            </w:pPr>
            <w:r>
              <w:t xml:space="preserve">+14,5 %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1.400</w:t>
            </w:r>
          </w:p>
        </w:tc>
        <w:tc>
          <w:tcPr/>
          <w:p>
            <w:pPr>
              <w:pStyle w:val="Compact"/>
              <w:jc w:val="left"/>
            </w:pPr>
            <w:r>
              <w:t xml:space="preserve">11,4</w:t>
            </w:r>
          </w:p>
        </w:tc>
        <w:tc>
          <w:tcPr/>
          <w:p>
            <w:pPr>
              <w:pStyle w:val="Compact"/>
              <w:jc w:val="left"/>
            </w:pPr>
            <w:r>
              <w:t xml:space="preserve">176,3</w:t>
            </w:r>
          </w:p>
        </w:tc>
        <w:tc>
          <w:tcPr/>
          <w:p>
            <w:pPr>
              <w:pStyle w:val="Compact"/>
              <w:jc w:val="left"/>
            </w:pPr>
            <w:r>
              <w:t xml:space="preserve">+67,9 %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120,4</w:t>
            </w:r>
          </w:p>
        </w:tc>
        <w:tc>
          <w:tcPr/>
          <w:p>
            <w:pPr>
              <w:pStyle w:val="Compact"/>
              <w:jc w:val="left"/>
            </w:pPr>
            <w:r>
              <w:rPr>
                <w:bCs/>
                <w:b/>
              </w:rPr>
              <w:t xml:space="preserve">+14,6 %</w:t>
            </w:r>
          </w:p>
        </w:tc>
        <w:tc>
          <w:tcPr/>
          <w:p>
            <w:pPr>
              <w:pStyle w:val="Compact"/>
            </w:pPr>
          </w:p>
        </w:tc>
      </w:tr>
    </w:tbl>
    <w:p>
      <w:pPr>
        <w:numPr>
          <w:ilvl w:val="0"/>
          <w:numId w:val="1007"/>
        </w:numPr>
        <w:pStyle w:val="Compact"/>
      </w:pPr>
      <w:r>
        <w:rPr>
          <w:bCs/>
          <w:b/>
        </w:rPr>
        <w:t xml:space="preserve">Asimetría</w:t>
      </w:r>
      <w:r>
        <w:t xml:space="preserve">: 1,8.</w:t>
      </w:r>
      <w:r>
        <w:t xml:space="preserve"> </w:t>
      </w:r>
      <w:r>
        <w:rPr>
          <w:bCs/>
          <w:b/>
        </w:rPr>
        <w:t xml:space="preserve">Compra hasta</w:t>
      </w:r>
      <w:r>
        <w:t xml:space="preserve">: 114,6 USD.</w:t>
      </w:r>
    </w:p>
    <w:p>
      <w:pPr>
        <w:numPr>
          <w:ilvl w:val="0"/>
          <w:numId w:val="1007"/>
        </w:numPr>
        <w:pStyle w:val="Compact"/>
      </w:pPr>
      <w:r>
        <w:rPr>
          <w:bCs/>
          <w:b/>
        </w:rPr>
        <w:t xml:space="preserve">Al precio actual</w:t>
      </w:r>
      <w:r>
        <w:t xml:space="preserve"> </w:t>
      </w:r>
      <w:r>
        <w:t xml:space="preserve">(105,95 USD, con el objetivo fijo de 120,4): ponderada +13,6 %.</w:t>
      </w:r>
    </w:p>
    <w:p>
      <w:pPr>
        <w:numPr>
          <w:ilvl w:val="0"/>
          <w:numId w:val="1007"/>
        </w:numPr>
        <w:pStyle w:val="Compact"/>
      </w:pPr>
      <w:r>
        <w:rPr>
          <w:bCs/>
          <w:b/>
        </w:rPr>
        <w:t xml:space="preserve">Con la v9</w:t>
      </w:r>
      <w:r>
        <w:t xml:space="preserve"> </w:t>
      </w:r>
      <w:r>
        <w:t xml:space="preserve">(sin el tope de mi proyección): ponderada +37 % y compra hasta 137 USD. La diferencia sale de que la v9 proyecta 1.519 M en el base, un 27 % por encima del consenso.</w:t>
      </w:r>
    </w:p>
    <w:p>
      <w:pPr>
        <w:numPr>
          <w:ilvl w:val="0"/>
          <w:numId w:val="1007"/>
        </w:numPr>
        <w:pStyle w:val="Compact"/>
      </w:pPr>
      <w:r>
        <w:rPr>
          <w:bCs/>
          <w:b/>
        </w:rPr>
        <w:t xml:space="preserve">Con la v12</w:t>
      </w:r>
      <w:r>
        <w:t xml:space="preserve"> </w:t>
      </w:r>
      <w:r>
        <w:t xml:space="preserve">(crecimiento orgánico, candidata): ponderada +16,2 %, base +19,4 %, bajista −41,9 %, compra hasta 116,2 USD. Sale algo mejor que la v11 porque la rebaja del múltiplo por desaceleración se mide desde el crecimiento sin la compra.</w:t>
      </w:r>
      <w:r>
        <w:t xml:space="preserve"> </w:t>
      </w:r>
      <w:r>
        <w:rPr>
          <w:bCs/>
          <w:b/>
        </w:rPr>
        <w:t xml:space="preserve">Con la v14</w:t>
      </w:r>
      <w:r>
        <w:t xml:space="preserve"> </w:t>
      </w:r>
      <w:r>
        <w:t xml:space="preserve">(candidata): lo mismo que la v12; no hay producto con línea propia de ventas ni decisión regulatoria abierta, y no hay ampliación de capital que separar.</w:t>
      </w:r>
    </w:p>
    <w:p>
      <w:pPr>
        <w:numPr>
          <w:ilvl w:val="0"/>
          <w:numId w:val="1007"/>
        </w:numPr>
        <w:pStyle w:val="Compact"/>
      </w:pPr>
      <w:r>
        <w:rPr>
          <w:bCs/>
          <w:b/>
        </w:rPr>
        <w:t xml:space="preserve">Consenso</w:t>
      </w:r>
      <w:r>
        <w:t xml:space="preserve">: precio objetivo medio de 111,2 USD (17 analistas). El precio de hoy ya está casi ahí.</w:t>
      </w:r>
    </w:p>
    <w:p>
      <w:pPr>
        <w:numPr>
          <w:ilvl w:val="0"/>
          <w:numId w:val="1007"/>
        </w:numPr>
        <w:pStyle w:val="Compact"/>
      </w:pPr>
      <w:r>
        <w:rPr>
          <w:bCs/>
          <w:b/>
        </w:rPr>
        <w:t xml:space="preserve">DCF inverso</w:t>
      </w:r>
      <w:r>
        <w:t xml:space="preserve">: el precio descuenta crecer un 17,6 % al año durante 10 años, con un margen FCF maduro del 30 %, descuento del 10 % y crecimiento perpetuo del 3 %.</w:t>
      </w:r>
    </w:p>
    <w:p>
      <w:pPr>
        <w:numPr>
          <w:ilvl w:val="0"/>
          <w:numId w:val="1007"/>
        </w:numPr>
        <w:pStyle w:val="Compact"/>
      </w:pPr>
      <w:r>
        <w:rPr>
          <w:bCs/>
          <w:b/>
        </w:rPr>
        <w:t xml:space="preserve">Filtro previo, confirmado con los datos completos</w:t>
      </w:r>
      <w:r>
        <w:t xml:space="preserve">: A) crecimiento del 49,8 %, pasa (≥ 15 %; el filtro usó un 59 %); B) no aplica, porque se valora por ventas; C) los dos mayores intermediarios suman el 28 %, pasa (≤ 40 %; ningún cliente final llega al 10 %); D) el crecimiento descontado es 0,35 veces el actual, pasa (≤ 0,8; el filtro usó 0,20 con otro precio o margen).</w:t>
      </w:r>
    </w:p>
    <w:bookmarkEnd w:id="28"/>
    <w:bookmarkStart w:id="29" w:name="foros-y-sentimiento"/>
    <w:p>
      <w:pPr>
        <w:pStyle w:val="Heading2"/>
      </w:pPr>
      <w:r>
        <w:t xml:space="preserve">10. Foros y sentimiento</w:t>
      </w:r>
    </w:p>
    <w:p>
      <w:pPr>
        <w:numPr>
          <w:ilvl w:val="0"/>
          <w:numId w:val="1008"/>
        </w:numPr>
        <w:pStyle w:val="Compact"/>
      </w:pPr>
      <w:r>
        <w:rPr>
          <w:bCs/>
          <w:b/>
        </w:rPr>
        <w:t xml:space="preserve">StockTwits</w:t>
      </w:r>
      <w:r>
        <w:t xml:space="preserve"> </w:t>
      </w:r>
      <w:r>
        <w:t xml:space="preserve">(15-oct): mensajes sobre todo alcistas («barata a 40 veces beneficios», «tiene que despegar»), pero la plataforma marca el sentimiento como bajista [11].</w:t>
      </w:r>
    </w:p>
    <w:p>
      <w:pPr>
        <w:numPr>
          <w:ilvl w:val="0"/>
          <w:numId w:val="1008"/>
        </w:numPr>
        <w:pStyle w:val="Compact"/>
      </w:pPr>
      <w:r>
        <w:rPr>
          <w:bCs/>
          <w:b/>
        </w:rPr>
        <w:t xml:space="preserve">Prensa y análisis</w:t>
      </w:r>
      <w:r>
        <w:t xml:space="preserve">: Truist mantiene Comprar con 112 USD; Seeking Alpha la titula «gran negocio, acción cara» y recomienda Mantener. Un 12,5 % del capital flotante está vendido a corto, mucho para una empresa que gana dinero [8][9][10].</w:t>
      </w:r>
    </w:p>
    <w:p>
      <w:pPr>
        <w:numPr>
          <w:ilvl w:val="0"/>
          <w:numId w:val="1008"/>
        </w:numPr>
        <w:pStyle w:val="Compact"/>
      </w:pPr>
      <w:r>
        <w:rPr>
          <w:bCs/>
          <w:b/>
        </w:rPr>
        <w:t xml:space="preserve">Reddit</w:t>
      </w:r>
      <w:r>
        <w:t xml:space="preserve">: no accesible desde aquí (laguna). En castellano solo hay noticias de Investing.com sobre los máximos históricos y las ventas de directivos.</w:t>
      </w:r>
    </w:p>
    <w:p>
      <w:pPr>
        <w:numPr>
          <w:ilvl w:val="0"/>
          <w:numId w:val="1008"/>
        </w:numPr>
        <w:pStyle w:val="Compact"/>
      </w:pPr>
      <w:r>
        <w:rPr>
          <w:bCs/>
          <w:b/>
        </w:rPr>
        <w:t xml:space="preserve">Lectura</w:t>
      </w:r>
      <w:r>
        <w:t xml:space="preserve">: el sentimiento pasó de «frena al 25 %» en febrero (guía inicial de 2026; la acción tocó 31 USD) a «ganadora de la salud digital con IA». La opinión está dividida entre quien ve el negocio y quien ve el precio, pero el precio ya va por delante de los analistas: la señal 6 no cuenta.</w:t>
      </w:r>
    </w:p>
    <w:bookmarkEnd w:id="29"/>
    <w:bookmarkStart w:id="30" w:name="riesgos-y-qué-rompería-la-tesis"/>
    <w:p>
      <w:pPr>
        <w:pStyle w:val="Heading2"/>
      </w:pPr>
      <w:r>
        <w:t xml:space="preserve">11. Riesgos y qué rompería la tesis</w:t>
      </w:r>
    </w:p>
    <w:p>
      <w:pPr>
        <w:pStyle w:val="FirstParagraph"/>
      </w:pPr>
      <w:r>
        <w:rPr>
          <w:bCs/>
          <w:b/>
        </w:rPr>
        <w:t xml:space="preserve">Alertas del método (v11)</w:t>
      </w:r>
      <w:r>
        <w:t xml:space="preserve">:</w:t>
      </w:r>
      <w:r>
        <w:t xml:space="preserve"> </w:t>
      </w:r>
      <w:r>
        <w:t xml:space="preserve">1.</w:t>
      </w:r>
      <w:r>
        <w:t xml:space="preserve"> </w:t>
      </w:r>
      <w:r>
        <w:rPr>
          <w:bCs/>
          <w:b/>
        </w:rPr>
        <w:t xml:space="preserve">Proyección mecánica 1,2 veces mayor que la mía</w:t>
      </w:r>
      <w:r>
        <w:t xml:space="preserve"> </w:t>
      </w:r>
      <w:r>
        <w:t xml:space="preserve">(1.519 M frente a 1.230 M): la v11 ya usa la mía. No debilita la señal; al contrario, la hace más prudente. Con la mecánica (v9), la ponderada sería del 37 %.</w:t>
      </w:r>
      <w:r>
        <w:t xml:space="preserve"> </w:t>
      </w:r>
      <w:r>
        <w:t xml:space="preserve">2.</w:t>
      </w:r>
      <w:r>
        <w:t xml:space="preserve"> </w:t>
      </w:r>
      <w:r>
        <w:rPr>
          <w:bCs/>
          <w:b/>
        </w:rPr>
        <w:t xml:space="preserve">Exceso sobre la guía de 11,5 puntos (&gt; 10)</w:t>
      </w:r>
      <w:r>
        <w:t xml:space="preserve">: el recorte por la guía casi no actúa. No debilita la señal porque manda mi proyección, cerca del consenso. Pero muestra que la guía de Hinge es conservadora a propósito, y que un trimestre que «solo» cumpla la guía sería recibido como una decepción.</w:t>
      </w:r>
    </w:p>
    <w:p>
      <w:pPr>
        <w:pStyle w:val="BodyText"/>
      </w:pPr>
      <w:r>
        <w:rPr>
          <w:bCs/>
          <w:b/>
        </w:rPr>
        <w:t xml:space="preserve">Lo que más pesa en contra de la señal</w:t>
      </w:r>
      <w:r>
        <w:t xml:space="preserve">:</w:t>
      </w:r>
      <w:r>
        <w:t xml:space="preserve"> </w:t>
      </w:r>
      <w:r>
        <w:t xml:space="preserve">-</w:t>
      </w:r>
      <w:r>
        <w:t xml:space="preserve"> </w:t>
      </w:r>
      <w:r>
        <w:rPr>
          <w:bCs/>
          <w:b/>
        </w:rPr>
        <w:t xml:space="preserve">El múltiplo se queda alto en el base.</w:t>
      </w:r>
      <w:r>
        <w:t xml:space="preserve"> </w:t>
      </w:r>
      <w:r>
        <w:t xml:space="preserve">El base supone 8,8 veces dentro de dos años. Si vuelve a su mediana desde la salida a bolsa (5,7 veces), el precio base sería de unos 83 USD, un 21 % menos (cálculo a mano). La historia es corta y estuvo marcada por las dudas de principios de 2026.</w:t>
      </w:r>
      <w:r>
        <w:t xml:space="preserve"> </w:t>
      </w:r>
      <w:r>
        <w:t xml:space="preserve">-</w:t>
      </w:r>
      <w:r>
        <w:t xml:space="preserve"> </w:t>
      </w:r>
      <w:r>
        <w:rPr>
          <w:bCs/>
          <w:b/>
        </w:rPr>
        <w:t xml:space="preserve">Con probabilidades 35/50/15</w:t>
      </w:r>
      <w:r>
        <w:t xml:space="preserve"> </w:t>
      </w:r>
      <w:r>
        <w:t xml:space="preserve">(prueba de robustez), la ponderada baja al 4 % y pasa a Mantener. No le toca por el método, pero muestra que el margen es estrecho.</w:t>
      </w:r>
      <w:r>
        <w:t xml:space="preserve"> </w:t>
      </w:r>
      <w:r>
        <w:t xml:space="preserve">-</w:t>
      </w:r>
      <w:r>
        <w:t xml:space="preserve"> </w:t>
      </w:r>
      <w:r>
        <w:rPr>
          <w:bCs/>
          <w:b/>
        </w:rPr>
        <w:t xml:space="preserve">Dependencia de intermediarios</w:t>
      </w:r>
      <w:r>
        <w:t xml:space="preserve">: el 85 % de las ventas llega a través de aseguradoras; HCSC (15 %), Elevance (13 %) y Aetna (10 %) pueden rescindir con preaviso o renegociar comisiones. Ningún contrato vence antes de 2027.</w:t>
      </w:r>
      <w:r>
        <w:t xml:space="preserve"> </w:t>
      </w:r>
      <w:r>
        <w:t xml:space="preserve">-</w:t>
      </w:r>
      <w:r>
        <w:t xml:space="preserve"> </w:t>
      </w:r>
      <w:r>
        <w:rPr>
          <w:bCs/>
          <w:b/>
        </w:rPr>
        <w:t xml:space="preserve">Un solo tipo de programa</w:t>
      </w:r>
      <w:r>
        <w:t xml:space="preserve">: casi toda la venta es músculos y articulaciones. Migraña y digestivo aún son pequeños.</w:t>
      </w:r>
      <w:r>
        <w:t xml:space="preserve"> </w:t>
      </w:r>
      <w:r>
        <w:t xml:space="preserve">-</w:t>
      </w:r>
      <w:r>
        <w:t xml:space="preserve"> </w:t>
      </w:r>
      <w:r>
        <w:rPr>
          <w:bCs/>
          <w:b/>
        </w:rPr>
        <w:t xml:space="preserve">Competencia</w:t>
      </w:r>
      <w:r>
        <w:t xml:space="preserve">: Sword Health compite con fuerza y presume de ganar concursos; las aseguradoras podrían crear su propio programa.</w:t>
      </w:r>
      <w:r>
        <w:t xml:space="preserve"> </w:t>
      </w:r>
      <w:r>
        <w:t xml:space="preserve">-</w:t>
      </w:r>
      <w:r>
        <w:t xml:space="preserve"> </w:t>
      </w:r>
      <w:r>
        <w:rPr>
          <w:bCs/>
          <w:b/>
        </w:rPr>
        <w:t xml:space="preserve">Riesgo de IA: favorable, con matices.</w:t>
      </w:r>
      <w:r>
        <w:t xml:space="preserve"> </w:t>
      </w:r>
      <w:r>
        <w:t xml:space="preserve">La IA es lo que le permite bajar costes y subir márgenes: no vende algo que un modelo de lenguaje sustituya, porque lo que cobra es un resultado clínico medido, con un aparato aprobado y una red de clínicos con licencia. El riesgo es que la IA abarate copiar el programa (Sword, aplicaciones de las aseguradoras o de grandes tecnológicas) y presione el precio por paciente.</w:t>
      </w:r>
    </w:p>
    <w:p>
      <w:pPr>
        <w:pStyle w:val="BodyText"/>
      </w:pPr>
      <w:r>
        <w:rPr>
          <w:bCs/>
          <w:b/>
        </w:rPr>
        <w:t xml:space="preserve">Señales de venta concretas</w:t>
      </w:r>
      <w:r>
        <w:t xml:space="preserve">: ventas por debajo de la guía en un trimestre; el porcentaje de personas que se apuntan baja de un año a otro; pérdida o renegociación a peor de HCSC o Elevance; dos trimestres seguidos con el crecimiento por debajo del 25 %; o una ponderada de −10 % o peor con el objetivo de este informe (precio por encima de unos 134 USD).</w:t>
      </w:r>
    </w:p>
    <w:bookmarkEnd w:id="30"/>
    <w:bookmarkStart w:id="31" w:name="catalizadores-con-fecha"/>
    <w:p>
      <w:pPr>
        <w:pStyle w:val="Heading2"/>
      </w:pPr>
      <w:r>
        <w:t xml:space="preserve">12. Catalizadores con fecha</w:t>
      </w:r>
    </w:p>
    <w:p>
      <w:pPr>
        <w:numPr>
          <w:ilvl w:val="0"/>
          <w:numId w:val="1009"/>
        </w:numPr>
        <w:pStyle w:val="Compact"/>
      </w:pPr>
      <w:r>
        <w:rPr>
          <w:bCs/>
          <w:b/>
        </w:rPr>
        <w:t xml:space="preserve">2-nov-2026</w:t>
      </w:r>
      <w:r>
        <w:t xml:space="preserve">: resultados del 3T26. Lo que hay que mirar: ventas frente a la guía (223-225 M), primera indicación de 2027, contratos de la temporada de ventas y cierre de Cylinder.</w:t>
      </w:r>
    </w:p>
    <w:p>
      <w:pPr>
        <w:numPr>
          <w:ilvl w:val="0"/>
          <w:numId w:val="1009"/>
        </w:numPr>
        <w:pStyle w:val="Compact"/>
      </w:pPr>
      <w:r>
        <w:rPr>
          <w:bCs/>
          <w:b/>
        </w:rPr>
        <w:t xml:space="preserve">Febrero de 2027</w:t>
      </w:r>
      <w:r>
        <w:t xml:space="preserve">: resultados del año y guía de 2027. Si se repite el patrón de 2026, será prudente (+25-30 %).</w:t>
      </w:r>
    </w:p>
    <w:p>
      <w:pPr>
        <w:numPr>
          <w:ilvl w:val="0"/>
          <w:numId w:val="1009"/>
        </w:numPr>
        <w:pStyle w:val="Compact"/>
      </w:pPr>
      <w:r>
        <w:rPr>
          <w:bCs/>
          <w:b/>
        </w:rPr>
        <w:t xml:space="preserve">2027</w:t>
      </w:r>
      <w:r>
        <w:t xml:space="preserve">: lanzamiento del programa digestivo y de HingeSelect con cirugía; migraña empieza a mover el porcentaje de personas que se apuntan.</w:t>
      </w:r>
    </w:p>
    <w:p>
      <w:pPr>
        <w:numPr>
          <w:ilvl w:val="0"/>
          <w:numId w:val="1009"/>
        </w:numPr>
        <w:pStyle w:val="Compact"/>
      </w:pPr>
      <w:r>
        <w:rPr>
          <w:bCs/>
          <w:b/>
        </w:rPr>
        <w:t xml:space="preserve">Sin fecha</w:t>
      </w:r>
      <w:r>
        <w:t xml:space="preserve">: recompras con los 300 M aprobados.</w:t>
      </w:r>
    </w:p>
    <w:bookmarkEnd w:id="31"/>
    <w:bookmarkStart w:id="32" w:name="encaje-en-cartera"/>
    <w:p>
      <w:pPr>
        <w:pStyle w:val="Heading2"/>
      </w:pPr>
      <w:r>
        <w:t xml:space="preserve">13. Encaje en cartera</w:t>
      </w:r>
    </w:p>
    <w:p>
      <w:pPr>
        <w:numPr>
          <w:ilvl w:val="0"/>
          <w:numId w:val="1010"/>
        </w:numPr>
        <w:pStyle w:val="Compact"/>
      </w:pPr>
      <w:r>
        <w:rPr>
          <w:bCs/>
          <w:b/>
        </w:rPr>
        <w:t xml:space="preserve">Bolsillo growth lleno</w:t>
      </w:r>
      <w:r>
        <w:t xml:space="preserve"> </w:t>
      </w:r>
      <w:r>
        <w:t xml:space="preserve">(~20 %): Nu +22 %, Axon +35 %, Shopify +19 %, Snowflake +16 % y Samsara +17 % (ponderada al precio actual con la v11). Sin liquidez libre: solo cabe sustituir.</w:t>
      </w:r>
    </w:p>
    <w:p>
      <w:pPr>
        <w:numPr>
          <w:ilvl w:val="0"/>
          <w:numId w:val="1010"/>
        </w:numPr>
        <w:pStyle w:val="Compact"/>
      </w:pPr>
      <w:r>
        <w:rPr>
          <w:bCs/>
          <w:b/>
        </w:rPr>
        <w:t xml:space="preserve">¿Sustituye a alguna?</w:t>
      </w:r>
      <w:r>
        <w:t xml:space="preserve"> </w:t>
      </w:r>
      <w:r>
        <w:t xml:space="preserve">No. Hinge da +14,6 % al cierre y +13,6 % al precio de fuera de hora, con convicción media. La más floja de la cartera, Snowflake, da +16 % con la misma convicción. Hinge tiene mejor puntuación (89,7) y una tendencia más limpia, pero no rinde más, y el listón para rotar es rendir claramente más.</w:t>
      </w:r>
    </w:p>
    <w:p>
      <w:pPr>
        <w:numPr>
          <w:ilvl w:val="0"/>
          <w:numId w:val="1010"/>
        </w:numPr>
        <w:pStyle w:val="Compact"/>
      </w:pPr>
      <w:r>
        <w:rPr>
          <w:bCs/>
          <w:b/>
        </w:rPr>
        <w:t xml:space="preserve">Diversificación</w:t>
      </w:r>
      <w:r>
        <w:t xml:space="preserve">: sería la única de salud del bolsillo (las cinco son finanzas, seguridad pública, comercio, datos e industria), una ventaja si hubiera hueco. Alphabet se vende mañana y no cuenta como exposición a IA; Hinge añadiría IA aplicada a la sanidad, distinta de la de Snowflake y Samsara.</w:t>
      </w:r>
    </w:p>
    <w:p>
      <w:pPr>
        <w:numPr>
          <w:ilvl w:val="0"/>
          <w:numId w:val="1010"/>
        </w:numPr>
        <w:pStyle w:val="Compact"/>
      </w:pPr>
      <w:r>
        <w:rPr>
          <w:bCs/>
          <w:b/>
        </w:rPr>
        <w:t xml:space="preserve">Puesto de suplente: quinta.</w:t>
      </w:r>
      <w:r>
        <w:t xml:space="preserve"> </w:t>
      </w:r>
      <w:r>
        <w:t xml:space="preserve">Orden: MongoDB, Toast, Zscaler, Rubrik,</w:t>
      </w:r>
      <w:r>
        <w:t xml:space="preserve"> </w:t>
      </w:r>
      <w:r>
        <w:rPr>
          <w:bCs/>
          <w:b/>
        </w:rPr>
        <w:t xml:space="preserve">Hinge Health</w:t>
      </w:r>
      <w:r>
        <w:t xml:space="preserve">, dLocal, Dexcom, argenx, Datadog, Reddit, Saab, Natera e Ypsomed. Va detrás de Rubrik, que da algo más (+16 %) con la misma convicción. Va delante de dLocal y Dexcom (convicción baja y señal más frágil). Por cifras también rinde lo mismo que Toast con más convicción: si se reordena la lista, podría subir un puesto.</w:t>
      </w:r>
    </w:p>
    <w:p>
      <w:pPr>
        <w:numPr>
          <w:ilvl w:val="0"/>
          <w:numId w:val="1010"/>
        </w:numPr>
        <w:pStyle w:val="Compact"/>
      </w:pPr>
      <w:r>
        <w:rPr>
          <w:bCs/>
          <w:b/>
        </w:rPr>
        <w:t xml:space="preserve">Si entra</w:t>
      </w:r>
      <w:r>
        <w:t xml:space="preserve">: 4 % en dos tramos, la mitad por debajo de 114,6 USD y la otra mitad tras los resultados del 3T (2-nov), si bate la guía y la primera indicación de 2027 apunta a crecer al menos un 25 %.</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23,3</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17,3</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15</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9</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89,7</w:t>
            </w:r>
          </w:p>
        </w:tc>
        <w:tc>
          <w:tcPr/>
          <w:p>
            <w:pPr>
              <w:pStyle w:val="Compact"/>
              <w:jc w:val="left"/>
            </w:pPr>
            <w:r>
              <w:rPr>
                <w:bCs/>
                <w:b/>
              </w:rPr>
              <w:t xml:space="preserve">100</w:t>
            </w:r>
          </w:p>
        </w:tc>
      </w:tr>
    </w:tbl>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w:t>
      </w:r>
      <w:r>
        <w:t xml:space="preserve">, señal robusta Comprar. Avisos: el objetivo se mueve con el precio si se recalcula (por eso se deja fijo en 120,4 USD y el límite es 114,6 USD); ha subido un 108 % en 12 meses, así que se compra en dos tramos; con 35/50/15 pasa a Mantener (+4 %). Todas las demás variantes (v7, ventas del analista, precio de hoy) dan Comprar.</w:t>
      </w:r>
    </w:p>
    <w:bookmarkEnd w:id="33"/>
    <w:bookmarkStart w:id="34" w:name="fuentes"/>
    <w:p>
      <w:pPr>
        <w:pStyle w:val="Heading2"/>
      </w:pPr>
      <w:r>
        <w:t xml:space="preserve">Fuentes</w:t>
      </w:r>
    </w:p>
    <w:p>
      <w:pPr>
        <w:numPr>
          <w:ilvl w:val="0"/>
          <w:numId w:val="1011"/>
        </w:numPr>
        <w:pStyle w:val="Compact"/>
      </w:pPr>
      <w:r>
        <w:t xml:space="preserve">Hinge Health, nota de resultados del 2T26 (4-ago-2026), 8-K ex. 99.1 y 99.2, SEC.</w:t>
      </w:r>
    </w:p>
    <w:p>
      <w:pPr>
        <w:numPr>
          <w:ilvl w:val="0"/>
          <w:numId w:val="1011"/>
        </w:numPr>
        <w:pStyle w:val="Compact"/>
      </w:pPr>
      <w:r>
        <w:t xml:space="preserve">Hinge Health, notas de resultados del 2T25, 3T25, 4T25 y 1T26, 8-K ex. 99.1, SEC.</w:t>
      </w:r>
    </w:p>
    <w:p>
      <w:pPr>
        <w:numPr>
          <w:ilvl w:val="0"/>
          <w:numId w:val="1011"/>
        </w:numPr>
        <w:pStyle w:val="Compact"/>
      </w:pPr>
      <w:r>
        <w:t xml:space="preserve">Hinge Health, 8-K del 9-jun-2026 (Investor Day y subida de guía), SEC.</w:t>
      </w:r>
    </w:p>
    <w:p>
      <w:pPr>
        <w:numPr>
          <w:ilvl w:val="0"/>
          <w:numId w:val="1011"/>
        </w:numPr>
        <w:pStyle w:val="Compact"/>
      </w:pPr>
      <w:r>
        <w:t xml:space="preserve">Hinge Health, 10-Q del 2T26 (6-ago-2026), SEC: acciones, planes de acciones, concentración por intermediario, Cylinder; 8-K del 21-ago-2026.</w:t>
      </w:r>
    </w:p>
    <w:p>
      <w:pPr>
        <w:numPr>
          <w:ilvl w:val="0"/>
          <w:numId w:val="1011"/>
        </w:numPr>
        <w:pStyle w:val="Compact"/>
      </w:pPr>
      <w:r>
        <w:t xml:space="preserve">SEC, Schedule 13G y 13G/A de 2026 (BlackRock, Insight, 11.2 Capital, Atomico, Bessemer).</w:t>
      </w:r>
    </w:p>
    <w:p>
      <w:pPr>
        <w:numPr>
          <w:ilvl w:val="0"/>
          <w:numId w:val="1011"/>
        </w:numPr>
        <w:pStyle w:val="Compact"/>
      </w:pPr>
      <w:r>
        <w:t xml:space="preserve">Yahoo Finance chart API (HNGE y QQQ), leída el 15-oct a las 07:55 UTC; segunda fuente del cierre: Nasdaq.com.</w:t>
      </w:r>
    </w:p>
    <w:p>
      <w:pPr>
        <w:numPr>
          <w:ilvl w:val="0"/>
          <w:numId w:val="1011"/>
        </w:numPr>
        <w:pStyle w:val="Compact"/>
      </w:pPr>
      <w:r>
        <w:t xml:space="preserve">InsiderTrades, Investing.com y StockTitan (formularios 4 de directivos), y MarketBeat.</w:t>
      </w:r>
    </w:p>
    <w:p>
      <w:pPr>
        <w:numPr>
          <w:ilvl w:val="0"/>
          <w:numId w:val="1011"/>
        </w:numPr>
        <w:pStyle w:val="Compact"/>
      </w:pPr>
      <w:r>
        <w:t xml:space="preserve">StockAnalysis (S&amp;P Global): precios objetivo, consenso de ventas y estadísticas (12 y 14-oct-2026).</w:t>
      </w:r>
    </w:p>
    <w:p>
      <w:pPr>
        <w:numPr>
          <w:ilvl w:val="0"/>
          <w:numId w:val="1011"/>
        </w:numPr>
        <w:pStyle w:val="Compact"/>
      </w:pPr>
      <w:r>
        <w:t xml:space="preserve">Investing.com: Truist mantiene Comprar (28-sep-2026); máximos históricos.</w:t>
      </w:r>
    </w:p>
    <w:p>
      <w:pPr>
        <w:numPr>
          <w:ilvl w:val="0"/>
          <w:numId w:val="1011"/>
        </w:numPr>
        <w:pStyle w:val="Compact"/>
      </w:pPr>
      <w:r>
        <w:t xml:space="preserve">Seeking Alpha, «Hinge Health: Great Business, Expensive Stock» (2026).</w:t>
      </w:r>
    </w:p>
    <w:p>
      <w:pPr>
        <w:numPr>
          <w:ilvl w:val="0"/>
          <w:numId w:val="1011"/>
        </w:numPr>
        <w:pStyle w:val="Compact"/>
      </w:pPr>
      <w:r>
        <w:t xml:space="preserve">StockTwits (flujo público, 15-oct-2026); Reddit no accesible.</w:t>
      </w:r>
    </w:p>
    <w:p>
      <w:pPr>
        <w:numPr>
          <w:ilvl w:val="0"/>
          <w:numId w:val="1011"/>
        </w:numPr>
        <w:pStyle w:val="Compact"/>
      </w:pPr>
      <w:r>
        <w:t xml:space="preserve">Cálculo propio del EV y del EV/ventas siguientes, diario desde mayo de 2025.</w:t>
      </w:r>
    </w:p>
    <w:p>
      <w:pPr>
        <w:numPr>
          <w:ilvl w:val="0"/>
          <w:numId w:val="1011"/>
        </w:numPr>
        <w:pStyle w:val="Compact"/>
      </w:pPr>
      <w:r>
        <w:t xml:space="preserve">Comparables: StockAnalysis (cierre del 14-oct).</w:t>
      </w:r>
    </w:p>
    <w:p>
      <w:pPr>
        <w:numPr>
          <w:ilvl w:val="0"/>
          <w:numId w:val="1011"/>
        </w:numPr>
        <w:pStyle w:val="Compact"/>
      </w:pPr>
      <w:r>
        <w:t xml:space="preserve">Folleto de salida a bolsa (424B4, 23-may-2025), SEC: mercado alcanzable y ventas trimestrales de 2023-2024.</w:t>
      </w:r>
    </w:p>
    <w:p>
      <w:pPr>
        <w:numPr>
          <w:ilvl w:val="0"/>
          <w:numId w:val="1011"/>
        </w:numPr>
        <w:pStyle w:val="Compact"/>
      </w:pPr>
      <w:r>
        <w:t xml:space="preserve">Transcripción de la llamada del 2T26 (Motley Fool): porcentaje de personas que se apuntan, Cylinder, aranceles, margen a largo plazo, competencia.</w:t>
      </w:r>
    </w:p>
    <w:p>
      <w:pPr>
        <w:numPr>
          <w:ilvl w:val="0"/>
          <w:numId w:val="1011"/>
        </w:numPr>
        <w:pStyle w:val="Compact"/>
      </w:pPr>
      <w:r>
        <w:t xml:space="preserve">Estimado, sin verificar: consenso de ventas de la ventana objetivo, extrapolado del consenso de 2027.</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2026-10-15T08:31:23Z</dcterms:created>
  <dcterms:modified xsi:type="dcterms:W3CDTF">2026-10-15T08:31:23Z</dcterms:modified>
</cp:coreProperties>
</file>

<file path=docProps/custom.xml><?xml version="1.0" encoding="utf-8"?>
<Properties xmlns="http://schemas.openxmlformats.org/officeDocument/2006/custom-properties" xmlns:vt="http://schemas.openxmlformats.org/officeDocument/2006/docPropsVTypes"/>
</file>