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klaviyo-kvyo-análisis-growth-15-oct-2026"/>
    <w:p>
      <w:pPr>
        <w:pStyle w:val="Heading1"/>
      </w:pPr>
      <w:r>
        <w:t xml:space="preserve">Klaviyo (KVYO): análisis growth, 15-oct-2026</w:t>
      </w:r>
    </w:p>
    <w:p>
      <w:pPr>
        <w:pStyle w:val="FirstParagraph"/>
      </w:pPr>
      <w:r>
        <w:rPr>
          <w:bCs/>
          <w:b/>
        </w:rPr>
        <w:t xml:space="preserve">Señal: Comprar (convicción baja)</w:t>
      </w:r>
      <w:r>
        <w:t xml:space="preserve"> </w:t>
      </w:r>
      <w:r>
        <w:t xml:space="preserve">· Puntuación 66,2/100 · Señales de cambio de tendencia 3/8 · Método v11</w:t>
      </w:r>
    </w:p>
    <w:p>
      <w:pPr>
        <w:numPr>
          <w:ilvl w:val="0"/>
          <w:numId w:val="1001"/>
        </w:numPr>
        <w:pStyle w:val="Compact"/>
      </w:pPr>
      <w:r>
        <w:t xml:space="preserve">Precio de cierre: 17,01 USD (14-oct-2026)</w:t>
      </w:r>
    </w:p>
    <w:p>
      <w:pPr>
        <w:numPr>
          <w:ilvl w:val="0"/>
          <w:numId w:val="1001"/>
        </w:numPr>
        <w:pStyle w:val="Compact"/>
      </w:pPr>
      <w:r>
        <w:t xml:space="preserve">Objetivo a 12 meses: 19,2 USD</w:t>
      </w:r>
    </w:p>
    <w:p>
      <w:pPr>
        <w:numPr>
          <w:ilvl w:val="0"/>
          <w:numId w:val="1001"/>
        </w:numPr>
        <w:pStyle w:val="Compact"/>
      </w:pPr>
      <w:r>
        <w:t xml:space="preserve">Rentabilidad ponderada: +12,6 %</w:t>
      </w:r>
    </w:p>
    <w:p>
      <w:pPr>
        <w:numPr>
          <w:ilvl w:val="0"/>
          <w:numId w:val="1001"/>
        </w:numPr>
        <w:pStyle w:val="Compact"/>
      </w:pPr>
      <w:r>
        <w:t xml:space="preserve">Escenario base: +6,5 %</w:t>
      </w:r>
    </w:p>
    <w:p>
      <w:pPr>
        <w:numPr>
          <w:ilvl w:val="0"/>
          <w:numId w:val="1001"/>
        </w:numPr>
        <w:pStyle w:val="Compact"/>
      </w:pPr>
      <w:r>
        <w:t xml:space="preserve">Escenario bajista: −36,7 %</w:t>
      </w:r>
    </w:p>
    <w:p>
      <w:pPr>
        <w:numPr>
          <w:ilvl w:val="0"/>
          <w:numId w:val="1001"/>
        </w:numPr>
        <w:pStyle w:val="Compact"/>
      </w:pPr>
      <w:r>
        <w:t xml:space="preserve">Escenario alcista: +73,9 %</w:t>
      </w:r>
    </w:p>
    <w:p>
      <w:pPr>
        <w:numPr>
          <w:ilvl w:val="0"/>
          <w:numId w:val="1001"/>
        </w:numPr>
        <w:pStyle w:val="Compact"/>
      </w:pPr>
      <w:r>
        <w:t xml:space="preserve">Compra hasta: 18,1 USD</w:t>
      </w:r>
    </w:p>
    <w:p>
      <w:pPr>
        <w:numPr>
          <w:ilvl w:val="0"/>
          <w:numId w:val="1001"/>
        </w:numPr>
        <w:pStyle w:val="Compact"/>
      </w:pPr>
      <w:r>
        <w:t xml:space="preserve">Precio actual: 16,50 USD (fuera de horario, 14-oct a las 23:18 UTC); con el objetivo fijo da +16 %</w:t>
      </w:r>
    </w:p>
    <w:p>
      <w:pPr>
        <w:numPr>
          <w:ilvl w:val="0"/>
          <w:numId w:val="1001"/>
        </w:numPr>
        <w:pStyle w:val="Compact"/>
      </w:pPr>
      <w:r>
        <w:t xml:space="preserve">Contraste v9 (versión anterior): ponderada +18,8 %, compra hasta 19,2 USD; la misma señal</w:t>
      </w:r>
    </w:p>
    <w:p>
      <w:pPr>
        <w:numPr>
          <w:ilvl w:val="0"/>
          <w:numId w:val="1001"/>
        </w:numPr>
        <w:pStyle w:val="Compact"/>
      </w:pPr>
      <w:r>
        <w:t xml:space="preserve">Prueba de robustez: SÓLIDA</w:t>
      </w:r>
    </w:p>
    <w:p>
      <w:pPr>
        <w:numPr>
          <w:ilvl w:val="0"/>
          <w:numId w:val="1001"/>
        </w:numPr>
        <w:pStyle w:val="Compact"/>
      </w:pPr>
      <w:r>
        <w:t xml:space="preserve">Peso orientativo: 3,5 %, pero hoy</w:t>
      </w:r>
      <w:r>
        <w:t xml:space="preserve"> </w:t>
      </w:r>
      <w:r>
        <w:rPr>
          <w:bCs/>
          <w:b/>
        </w:rPr>
        <w:t xml:space="preserve">no entra</w:t>
      </w:r>
      <w:r>
        <w:t xml:space="preserve">: el bolsillo growth está lleno y no rinde claramente más que la más floja. Queda de suplente, sexta.</w:t>
      </w:r>
    </w:p>
    <w:bookmarkStart w:id="20" w:name="la-tesis-en-cinco-líneas"/>
    <w:p>
      <w:pPr>
        <w:pStyle w:val="Heading2"/>
      </w:pPr>
      <w:r>
        <w:t xml:space="preserve">1. La tesis en cinco líneas</w:t>
      </w:r>
    </w:p>
    <w:p>
      <w:pPr>
        <w:numPr>
          <w:ilvl w:val="0"/>
          <w:numId w:val="1002"/>
        </w:numPr>
        <w:pStyle w:val="Compact"/>
      </w:pPr>
      <w:r>
        <w:t xml:space="preserve">Klaviyo es el programa de correo, SMS y atención al cliente de las tiendas online, sobre todo de las que usan Shopify: más de 205.000 clientes de pago y ventas que crecen un 29 % en 12 meses.</w:t>
      </w:r>
    </w:p>
    <w:p>
      <w:pPr>
        <w:numPr>
          <w:ilvl w:val="0"/>
          <w:numId w:val="1002"/>
        </w:numPr>
        <w:pStyle w:val="Compact"/>
      </w:pPr>
      <w:r>
        <w:t xml:space="preserve">La acción ha caído un 30 % en un año y un 49 % desde diciembre por miedo a que la IA y los agentes de Shopify y Salesforce le quiten el negocio; hoy cotiza a 2,7 veces las ventas de los 12 meses siguientes, cuando su mediana desde la salida a bolsa es de 6,4 veces.</w:t>
      </w:r>
    </w:p>
    <w:p>
      <w:pPr>
        <w:numPr>
          <w:ilvl w:val="0"/>
          <w:numId w:val="1002"/>
        </w:numPr>
        <w:pStyle w:val="Compact"/>
      </w:pPr>
      <w:r>
        <w:t xml:space="preserve">A ese precio el mercado descuenta un crecimiento del 2,4 % anual durante diez años, cuando la empresa crece al 26 % y guía un 21 % para el segundo semestre.</w:t>
      </w:r>
    </w:p>
    <w:p>
      <w:pPr>
        <w:numPr>
          <w:ilvl w:val="0"/>
          <w:numId w:val="1002"/>
        </w:numPr>
        <w:pStyle w:val="Compact"/>
      </w:pPr>
      <w:r>
        <w:t xml:space="preserve">Gana caja (236 M USD de flujo de caja libre en 12 meses, el 17 % de las ventas), no tiene deuda y está recomprando acciones a unos 16 USD.</w:t>
      </w:r>
    </w:p>
    <w:p>
      <w:pPr>
        <w:numPr>
          <w:ilvl w:val="0"/>
          <w:numId w:val="1002"/>
        </w:numPr>
        <w:pStyle w:val="Compact"/>
      </w:pPr>
      <w:r>
        <w:t xml:space="preserve">El motor da Comprar porque el precio es muy bajo, no porque la tendencia haya girado: solo 3 de 8 señales, precio bajo su media de 200 sesiones y peor que el Nasdaq en 6 meses. Por eso la convicción es baja.</w:t>
      </w:r>
    </w:p>
    <w:bookmarkEnd w:id="20"/>
    <w:bookmarkStart w:id="21" w:name="negocio-y-tecnología"/>
    <w:p>
      <w:pPr>
        <w:pStyle w:val="Heading2"/>
      </w:pPr>
      <w:r>
        <w:t xml:space="preserve">2. Negocio y tecnología</w:t>
      </w:r>
    </w:p>
    <w:p>
      <w:pPr>
        <w:numPr>
          <w:ilvl w:val="0"/>
          <w:numId w:val="1003"/>
        </w:numPr>
        <w:pStyle w:val="Compact"/>
      </w:pPr>
      <w:r>
        <w:rPr>
          <w:bCs/>
          <w:b/>
        </w:rPr>
        <w:t xml:space="preserve">Qué vende:</w:t>
      </w:r>
      <w:r>
        <w:t xml:space="preserve"> </w:t>
      </w:r>
      <w:r>
        <w:t xml:space="preserve">una plataforma de marketing y CRM para marcas de consumo. Correo y SMS (lo principal), avisos en la aplicación, reseñas, atención al cliente con agentes de IA (Customer Agent), un asistente que monta campañas (Composer) y redes sociales (K:Social). Cobra suscripción mensual según el número de contactos y mensajes [1].</w:t>
      </w:r>
    </w:p>
    <w:p>
      <w:pPr>
        <w:numPr>
          <w:ilvl w:val="0"/>
          <w:numId w:val="1003"/>
        </w:numPr>
        <w:pStyle w:val="Compact"/>
      </w:pPr>
      <w:r>
        <w:rPr>
          <w:bCs/>
          <w:b/>
        </w:rPr>
        <w:t xml:space="preserve">A quién:</w:t>
      </w:r>
      <w:r>
        <w:t xml:space="preserve"> </w:t>
      </w:r>
      <w:r>
        <w:t xml:space="preserve">tiendas online pequeñas y medianas y, cada vez más, marcas grandes (Mattel, Warner Music Group, The Body Shop). Los clientes que pagan más de 50.000 USD al año crecen un 36 % y ya son 4.477. Fuera de América las ventas crecen un 35 % [1].</w:t>
      </w:r>
    </w:p>
    <w:p>
      <w:pPr>
        <w:numPr>
          <w:ilvl w:val="0"/>
          <w:numId w:val="1003"/>
        </w:numPr>
        <w:pStyle w:val="Compact"/>
      </w:pPr>
      <w:r>
        <w:rPr>
          <w:bCs/>
          <w:b/>
        </w:rPr>
        <w:t xml:space="preserve">Qué tiene de nuevo:</w:t>
      </w:r>
      <w:r>
        <w:t xml:space="preserve"> </w:t>
      </w:r>
      <w:r>
        <w:t xml:space="preserve">la base de datos en tiempo real de cada comprador (pedidos, visitas, clics) unida al envío de mensajes. Esa información es la que necesitan los agentes de IA para personalizar. El 20 % del ARR viene de clientes que usan 3 o más productos [1].</w:t>
      </w:r>
    </w:p>
    <w:p>
      <w:pPr>
        <w:numPr>
          <w:ilvl w:val="0"/>
          <w:numId w:val="1003"/>
        </w:numPr>
        <w:pStyle w:val="Compact"/>
      </w:pPr>
      <w:r>
        <w:rPr>
          <w:bCs/>
          <w:b/>
        </w:rPr>
        <w:t xml:space="preserve">Shopify:</w:t>
      </w:r>
      <w:r>
        <w:t xml:space="preserve"> </w:t>
      </w:r>
      <w:r>
        <w:t xml:space="preserve">el 77,9 % del ARR viene de clientes que también usan Shopify. Shopify es socio, no cliente: Klaviyo es la herramienta de correo recomendada para Shopify Plus, le paga una comisión por las ventas que le trae (solo el 7,4 % del ARR nuevo de 2025 llegó por su tienda de aplicaciones) y Shopify es accionista, con una opción sobre 15,7 M de acciones a 88,93 USD que hoy no vale nada [3].</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1T24</w:t>
            </w:r>
          </w:p>
        </w:tc>
        <w:tc>
          <w:tcPr/>
          <w:p>
            <w:pPr>
              <w:pStyle w:val="Compact"/>
              <w:jc w:val="left"/>
            </w:pPr>
            <w:r>
              <w:t xml:space="preserve">210,0</w:t>
            </w:r>
          </w:p>
        </w:tc>
        <w:tc>
          <w:tcPr/>
          <w:p>
            <w:pPr>
              <w:pStyle w:val="Compact"/>
              <w:jc w:val="left"/>
            </w:pPr>
            <w:r>
              <w:t xml:space="preserve">+34,5 %</w:t>
            </w:r>
          </w:p>
        </w:tc>
      </w:tr>
      <w:tr>
        <w:tc>
          <w:tcPr/>
          <w:p>
            <w:pPr>
              <w:pStyle w:val="Compact"/>
              <w:jc w:val="left"/>
            </w:pPr>
            <w:r>
              <w:t xml:space="preserve">2T24</w:t>
            </w:r>
          </w:p>
        </w:tc>
        <w:tc>
          <w:tcPr/>
          <w:p>
            <w:pPr>
              <w:pStyle w:val="Compact"/>
              <w:jc w:val="left"/>
            </w:pPr>
            <w:r>
              <w:t xml:space="preserve">222,2</w:t>
            </w:r>
          </w:p>
        </w:tc>
        <w:tc>
          <w:tcPr/>
          <w:p>
            <w:pPr>
              <w:pStyle w:val="Compact"/>
              <w:jc w:val="left"/>
            </w:pPr>
            <w:r>
              <w:t xml:space="preserve">+35,0 %</w:t>
            </w:r>
          </w:p>
        </w:tc>
      </w:tr>
      <w:tr>
        <w:tc>
          <w:tcPr/>
          <w:p>
            <w:pPr>
              <w:pStyle w:val="Compact"/>
              <w:jc w:val="left"/>
            </w:pPr>
            <w:r>
              <w:t xml:space="preserve">3T24</w:t>
            </w:r>
          </w:p>
        </w:tc>
        <w:tc>
          <w:tcPr/>
          <w:p>
            <w:pPr>
              <w:pStyle w:val="Compact"/>
              <w:jc w:val="left"/>
            </w:pPr>
            <w:r>
              <w:t xml:space="preserve">235,1</w:t>
            </w:r>
          </w:p>
        </w:tc>
        <w:tc>
          <w:tcPr/>
          <w:p>
            <w:pPr>
              <w:pStyle w:val="Compact"/>
              <w:jc w:val="left"/>
            </w:pPr>
            <w:r>
              <w:t xml:space="preserve">+33,7 %</w:t>
            </w:r>
          </w:p>
        </w:tc>
      </w:tr>
      <w:tr>
        <w:tc>
          <w:tcPr/>
          <w:p>
            <w:pPr>
              <w:pStyle w:val="Compact"/>
              <w:jc w:val="left"/>
            </w:pPr>
            <w:r>
              <w:t xml:space="preserve">4T24</w:t>
            </w:r>
          </w:p>
        </w:tc>
        <w:tc>
          <w:tcPr/>
          <w:p>
            <w:pPr>
              <w:pStyle w:val="Compact"/>
              <w:jc w:val="left"/>
            </w:pPr>
            <w:r>
              <w:t xml:space="preserve">270,2</w:t>
            </w:r>
          </w:p>
        </w:tc>
        <w:tc>
          <w:tcPr/>
          <w:p>
            <w:pPr>
              <w:pStyle w:val="Compact"/>
              <w:jc w:val="left"/>
            </w:pPr>
            <w:r>
              <w:t xml:space="preserve">+34,0 %</w:t>
            </w:r>
          </w:p>
        </w:tc>
      </w:tr>
      <w:tr>
        <w:tc>
          <w:tcPr/>
          <w:p>
            <w:pPr>
              <w:pStyle w:val="Compact"/>
              <w:jc w:val="left"/>
            </w:pPr>
            <w:r>
              <w:t xml:space="preserve">1T25</w:t>
            </w:r>
          </w:p>
        </w:tc>
        <w:tc>
          <w:tcPr/>
          <w:p>
            <w:pPr>
              <w:pStyle w:val="Compact"/>
              <w:jc w:val="left"/>
            </w:pPr>
            <w:r>
              <w:t xml:space="preserve">279,8</w:t>
            </w:r>
          </w:p>
        </w:tc>
        <w:tc>
          <w:tcPr/>
          <w:p>
            <w:pPr>
              <w:pStyle w:val="Compact"/>
              <w:jc w:val="left"/>
            </w:pPr>
            <w:r>
              <w:t xml:space="preserve">+33,2 %</w:t>
            </w:r>
          </w:p>
        </w:tc>
      </w:tr>
      <w:tr>
        <w:tc>
          <w:tcPr/>
          <w:p>
            <w:pPr>
              <w:pStyle w:val="Compact"/>
              <w:jc w:val="left"/>
            </w:pPr>
            <w:r>
              <w:t xml:space="preserve">2T25</w:t>
            </w:r>
          </w:p>
        </w:tc>
        <w:tc>
          <w:tcPr/>
          <w:p>
            <w:pPr>
              <w:pStyle w:val="Compact"/>
              <w:jc w:val="left"/>
            </w:pPr>
            <w:r>
              <w:t xml:space="preserve">293,1</w:t>
            </w:r>
          </w:p>
        </w:tc>
        <w:tc>
          <w:tcPr/>
          <w:p>
            <w:pPr>
              <w:pStyle w:val="Compact"/>
              <w:jc w:val="left"/>
            </w:pPr>
            <w:r>
              <w:t xml:space="preserve">+31,9 %</w:t>
            </w:r>
          </w:p>
        </w:tc>
      </w:tr>
      <w:tr>
        <w:tc>
          <w:tcPr/>
          <w:p>
            <w:pPr>
              <w:pStyle w:val="Compact"/>
              <w:jc w:val="left"/>
            </w:pPr>
            <w:r>
              <w:t xml:space="preserve">3T25</w:t>
            </w:r>
          </w:p>
        </w:tc>
        <w:tc>
          <w:tcPr/>
          <w:p>
            <w:pPr>
              <w:pStyle w:val="Compact"/>
              <w:jc w:val="left"/>
            </w:pPr>
            <w:r>
              <w:t xml:space="preserve">310,9</w:t>
            </w:r>
          </w:p>
        </w:tc>
        <w:tc>
          <w:tcPr/>
          <w:p>
            <w:pPr>
              <w:pStyle w:val="Compact"/>
              <w:jc w:val="left"/>
            </w:pPr>
            <w:r>
              <w:t xml:space="preserve">+32,2 %</w:t>
            </w:r>
          </w:p>
        </w:tc>
      </w:tr>
      <w:tr>
        <w:tc>
          <w:tcPr/>
          <w:p>
            <w:pPr>
              <w:pStyle w:val="Compact"/>
              <w:jc w:val="left"/>
            </w:pPr>
            <w:r>
              <w:t xml:space="preserve">4T25</w:t>
            </w:r>
          </w:p>
        </w:tc>
        <w:tc>
          <w:tcPr/>
          <w:p>
            <w:pPr>
              <w:pStyle w:val="Compact"/>
              <w:jc w:val="left"/>
            </w:pPr>
            <w:r>
              <w:t xml:space="preserve">350,2</w:t>
            </w:r>
          </w:p>
        </w:tc>
        <w:tc>
          <w:tcPr/>
          <w:p>
            <w:pPr>
              <w:pStyle w:val="Compact"/>
              <w:jc w:val="left"/>
            </w:pPr>
            <w:r>
              <w:t xml:space="preserve">+29,6 %</w:t>
            </w:r>
          </w:p>
        </w:tc>
      </w:tr>
      <w:tr>
        <w:tc>
          <w:tcPr/>
          <w:p>
            <w:pPr>
              <w:pStyle w:val="Compact"/>
              <w:jc w:val="left"/>
            </w:pPr>
            <w:r>
              <w:t xml:space="preserve">1T26</w:t>
            </w:r>
          </w:p>
        </w:tc>
        <w:tc>
          <w:tcPr/>
          <w:p>
            <w:pPr>
              <w:pStyle w:val="Compact"/>
              <w:jc w:val="left"/>
            </w:pPr>
            <w:r>
              <w:t xml:space="preserve">358,0</w:t>
            </w:r>
          </w:p>
        </w:tc>
        <w:tc>
          <w:tcPr/>
          <w:p>
            <w:pPr>
              <w:pStyle w:val="Compact"/>
              <w:jc w:val="left"/>
            </w:pPr>
            <w:r>
              <w:t xml:space="preserve">+27,9 %</w:t>
            </w:r>
          </w:p>
        </w:tc>
      </w:tr>
      <w:tr>
        <w:tc>
          <w:tcPr/>
          <w:p>
            <w:pPr>
              <w:pStyle w:val="Compact"/>
              <w:jc w:val="left"/>
            </w:pPr>
            <w:r>
              <w:t xml:space="preserve">2T26</w:t>
            </w:r>
          </w:p>
        </w:tc>
        <w:tc>
          <w:tcPr/>
          <w:p>
            <w:pPr>
              <w:pStyle w:val="Compact"/>
              <w:jc w:val="left"/>
            </w:pPr>
            <w:r>
              <w:t xml:space="preserve">370,6</w:t>
            </w:r>
          </w:p>
        </w:tc>
        <w:tc>
          <w:tcPr/>
          <w:p>
            <w:pPr>
              <w:pStyle w:val="Compact"/>
              <w:jc w:val="left"/>
            </w:pPr>
            <w:r>
              <w:t xml:space="preserve">+26,4 %</w:t>
            </w:r>
          </w:p>
        </w:tc>
      </w:tr>
      <w:tr>
        <w:tc>
          <w:tcPr/>
          <w:p>
            <w:pPr>
              <w:pStyle w:val="Compact"/>
              <w:jc w:val="left"/>
            </w:pPr>
            <w:r>
              <w:t xml:space="preserve">3T26 (guía)</w:t>
            </w:r>
          </w:p>
        </w:tc>
        <w:tc>
          <w:tcPr/>
          <w:p>
            <w:pPr>
              <w:pStyle w:val="Compact"/>
              <w:jc w:val="left"/>
            </w:pPr>
            <w:r>
              <w:t xml:space="preserve">379</w:t>
            </w:r>
          </w:p>
        </w:tc>
        <w:tc>
          <w:tcPr/>
          <w:p>
            <w:pPr>
              <w:pStyle w:val="Compact"/>
              <w:jc w:val="left"/>
            </w:pPr>
            <w:r>
              <w:t xml:space="preserve">+21,9 %</w:t>
            </w:r>
          </w:p>
        </w:tc>
      </w:tr>
    </w:tbl>
    <w:p>
      <w:pPr>
        <w:numPr>
          <w:ilvl w:val="0"/>
          <w:numId w:val="1004"/>
        </w:numPr>
        <w:pStyle w:val="Compact"/>
      </w:pPr>
      <w:r>
        <w:t xml:space="preserve">Año: 2023 698 M, 2024 937 M (+34 %), 2025 1.234 M (+32 %), 2026 guía 1.530 M (+24 %) [1][4].</w:t>
      </w:r>
    </w:p>
    <w:p>
      <w:pPr>
        <w:numPr>
          <w:ilvl w:val="0"/>
          <w:numId w:val="1004"/>
        </w:numPr>
        <w:pStyle w:val="Compact"/>
      </w:pPr>
      <w:r>
        <w:t xml:space="preserve">Últimos 12 meses: 1.389,7 M USD, +28,9 %. Crecimiento anual compuesto a dos años: 31 %.</w:t>
      </w:r>
    </w:p>
    <w:p>
      <w:pPr>
        <w:numPr>
          <w:ilvl w:val="0"/>
          <w:numId w:val="1004"/>
        </w:numPr>
        <w:pStyle w:val="Compact"/>
      </w:pPr>
      <w:r>
        <w:rPr>
          <w:bCs/>
          <w:b/>
        </w:rPr>
        <w:t xml:space="preserve">Desaceleración suave:</w:t>
      </w:r>
      <w:r>
        <w:t xml:space="preserve"> </w:t>
      </w:r>
      <w:r>
        <w:t xml:space="preserve">el último trimestre crece 4 puntos menos que la media de los cuatro anteriores. La guía del segundo semestre implica +21,2 %.</w:t>
      </w:r>
    </w:p>
    <w:p>
      <w:pPr>
        <w:numPr>
          <w:ilvl w:val="0"/>
          <w:numId w:val="1004"/>
        </w:numPr>
        <w:pStyle w:val="Compact"/>
      </w:pPr>
      <w:r>
        <w:rPr>
          <w:bCs/>
          <w:b/>
        </w:rPr>
        <w:t xml:space="preserve">Bate siempre la guía</w:t>
      </w:r>
      <w:r>
        <w:t xml:space="preserve">, pero cada vez por menos: de media 4,6 puntos en los últimos cuatro trimestres (5,1 → 6,4 → 3,6 → 3,3). La guía anual de 2026 ha subido dos veces [2].</w:t>
      </w:r>
    </w:p>
    <w:p>
      <w:pPr>
        <w:numPr>
          <w:ilvl w:val="0"/>
          <w:numId w:val="1004"/>
        </w:numPr>
        <w:pStyle w:val="Compact"/>
      </w:pPr>
      <w:r>
        <w:t xml:space="preserve">Retención neta de ingresos: 109 %, un punto más que hace un año [1].</w:t>
      </w:r>
    </w:p>
    <w:p>
      <w:pPr>
        <w:numPr>
          <w:ilvl w:val="0"/>
          <w:numId w:val="1004"/>
        </w:numPr>
        <w:pStyle w:val="Compact"/>
      </w:pPr>
      <w:r>
        <w:t xml:space="preserve">No hay compras que muevan el crecimiento: Agency (agentes de atención al cliente) cuesta hasta 17 M USD y es sobre todo un equipo [3]. No aplica el campo orgánico (v12).</w:t>
      </w:r>
    </w:p>
    <w:bookmarkEnd w:id="22"/>
    <w:bookmarkStart w:id="23" w:name="mercado-y-competencia"/>
    <w:p>
      <w:pPr>
        <w:pStyle w:val="Heading2"/>
      </w:pPr>
      <w:r>
        <w:t xml:space="preserve">4. Mercado y competencia</w:t>
      </w:r>
    </w:p>
    <w:p>
      <w:pPr>
        <w:numPr>
          <w:ilvl w:val="0"/>
          <w:numId w:val="1005"/>
        </w:numPr>
        <w:pStyle w:val="Compact"/>
      </w:pPr>
      <w:r>
        <w:rPr>
          <w:bCs/>
          <w:b/>
        </w:rPr>
        <w:t xml:space="preserve">Mercado alcanzable:</w:t>
      </w:r>
      <w:r>
        <w:t xml:space="preserve"> </w:t>
      </w:r>
      <w:r>
        <w:t xml:space="preserve">unos 28.000 M USD (software de marketing por correo, SMS y CRM para marcas de consumo; cifra de memoria, sin comprobar [13]). Penetración del 5 %.</w:t>
      </w:r>
    </w:p>
    <w:p>
      <w:pPr>
        <w:numPr>
          <w:ilvl w:val="0"/>
          <w:numId w:val="1005"/>
        </w:numPr>
        <w:pStyle w:val="Compact"/>
      </w:pPr>
      <w:r>
        <w:rPr>
          <w:bCs/>
          <w:b/>
        </w:rPr>
        <w:t xml:space="preserve">Posición:</w:t>
      </w:r>
      <w:r>
        <w:t xml:space="preserve"> </w:t>
      </w:r>
      <w:r>
        <w:t xml:space="preserve">líder en correo y SMS para tiendas de Shopify; las guías de 2026 la siguen poniendo como la opción por defecto [11].</w:t>
      </w:r>
    </w:p>
    <w:p>
      <w:pPr>
        <w:numPr>
          <w:ilvl w:val="0"/>
          <w:numId w:val="1005"/>
        </w:numPr>
        <w:pStyle w:val="Compact"/>
      </w:pPr>
      <w:r>
        <w:rPr>
          <w:bCs/>
          <w:b/>
        </w:rPr>
        <w:t xml:space="preserve">Rivales:</w:t>
      </w:r>
      <w:r>
        <w:t xml:space="preserve"> </w:t>
      </w:r>
      <w:r>
        <w:t xml:space="preserve">Mailchimp (Intuit), Braze, Attentive (privada, SMS), Omnisend, HubSpot, Salesforce Marketing Cloud y las herramientas propias de Shopify (Shopify Email, Shopify Messaging).</w:t>
      </w:r>
    </w:p>
    <w:p>
      <w:pPr>
        <w:numPr>
          <w:ilvl w:val="0"/>
          <w:numId w:val="1005"/>
        </w:numPr>
        <w:pStyle w:val="Compact"/>
      </w:pPr>
      <w:r>
        <w:rPr>
          <w:bCs/>
          <w:b/>
        </w:rPr>
        <w:t xml:space="preserve">Comparables en bolsa</w:t>
      </w:r>
      <w:r>
        <w:t xml:space="preserve"> </w:t>
      </w:r>
      <w:r>
        <w:t xml:space="preserve">(EV/ventas de los 12 meses siguientes): HubSpot 2,5 veces, Braze unas 3,0, Sprout Social 1,2; mediana 2,5 [8]. Todo el software de marketing cotiza hundido: Klaviyo está en línea con sus rivales pese a crecer más que todos.</w:t>
      </w:r>
    </w:p>
    <w:p>
      <w:pPr>
        <w:numPr>
          <w:ilvl w:val="0"/>
          <w:numId w:val="1005"/>
        </w:numPr>
        <w:pStyle w:val="Compact"/>
      </w:pPr>
      <w:r>
        <w:rPr>
          <w:bCs/>
          <w:b/>
        </w:rPr>
        <w:t xml:space="preserve">Por qué gana:</w:t>
      </w:r>
      <w:r>
        <w:t xml:space="preserve"> </w:t>
      </w:r>
      <w:r>
        <w:t xml:space="preserve">la integración más profunda con Shopify y los datos de cada comprador.</w:t>
      </w:r>
      <w:r>
        <w:t xml:space="preserve"> </w:t>
      </w:r>
      <w:r>
        <w:rPr>
          <w:bCs/>
          <w:b/>
        </w:rPr>
        <w:t xml:space="preserve">Riesgo de IA: medio.</w:t>
      </w:r>
    </w:p>
    <w:p>
      <w:pPr>
        <w:numPr>
          <w:ilvl w:val="1"/>
          <w:numId w:val="1006"/>
        </w:numPr>
        <w:pStyle w:val="Compact"/>
      </w:pPr>
      <w:r>
        <w:t xml:space="preserve">En contra: Shopify regala herramientas básicas de correo y mete IA en su asistente Sidekick; Salesforce vende Agentforce para Marketing Cloud y HubSpot vende Breeze, sus agentes de marketing; la IA abarata montar una herramienta de correo, lo que puede bajar precios en la parte pequeña del mercado; y si las compras pasan a hacerse dentro de chats de IA, el correo pierde peso [9][11][13].</w:t>
      </w:r>
    </w:p>
    <w:p>
      <w:pPr>
        <w:numPr>
          <w:ilvl w:val="1"/>
          <w:numId w:val="1006"/>
        </w:numPr>
        <w:pStyle w:val="Compact"/>
      </w:pPr>
      <w:r>
        <w:t xml:space="preserve">A favor: los agentes necesitan los datos de cada comprador y Klaviyo los tiene; Klaviyo es socio de Sidekick y no su competidor directo (se integró en el lanzamiento); Salesforce y HubSpot venden a otro tipo de cliente, más grande o de empresa a empresa; y en los datos no se ve daño: retención de 109 % al alza, clientes grandes +36 %, guía subida dos veces [1][3].</w:t>
      </w:r>
    </w:p>
    <w:p>
      <w:pPr>
        <w:numPr>
          <w:ilvl w:val="1"/>
          <w:numId w:val="1006"/>
        </w:numPr>
        <w:pStyle w:val="Compact"/>
      </w:pPr>
      <w:r>
        <w:t xml:space="preserve">Lo que se vigila: la retención neta (si baja de 105 %), los clientes de más de 50.000 USD y cualquier cambio en el acuerdo con Shopify.</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Las ventas esperadas suben (guía de 2026 de 1.505 a 1.530 M en el punto medio), pero baja la guía de beneficio operativo y bajan los precios objetivo en agosto (Barclays de 25 a 22 USD, Piper Sandler de 26 a 23, BTIG de 30 a 25). Neto: no [1][2][7]</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17,01 USD frente a 18,62, y la media sigue bajando (21,88 hace tres meses) [6]</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+0,4 % frente a +16 % del Nasdaq-100 y +35 % del ETF de software IGV [6]</w:t>
            </w:r>
          </w:p>
        </w:tc>
      </w:tr>
      <w:tr>
        <w:tc>
          <w:tcPr/>
          <w:p>
            <w:pPr>
              <w:pStyle w:val="Compact"/>
              <w:jc w:val="left"/>
            </w:pPr>
            <w:r>
              <w:t xml:space="preserve">4. Mejora del múltiplo</w:t>
            </w:r>
          </w:p>
        </w:tc>
        <w:tc>
          <w:tcPr/>
          <w:p>
            <w:pPr>
              <w:pStyle w:val="Compact"/>
              <w:jc w:val="left"/>
            </w:pPr>
            <w:r>
              <w:t xml:space="preserve">Sí</w:t>
            </w:r>
          </w:p>
        </w:tc>
        <w:tc>
          <w:tcPr/>
          <w:p>
            <w:pPr>
              <w:pStyle w:val="Compact"/>
              <w:jc w:val="left"/>
            </w:pPr>
            <w:r>
              <w:t xml:space="preserve">EV/ventas de 2,0 veces en el mínimo de junio a 2,7 hoy (+34 %) [6][12]</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Primer beneficio operativo contable en el 1T26; margen operativo contable del 2T26 6,6 puntos mejor que un año antes [1][4]</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Sigue negativo: −13 % tras el 2T pese a subir la guía, −30 % en mayo por la salida de la directora financiera, 7,4 % de las acciones vendidas en corto [7][9][10]</w:t>
            </w:r>
          </w:p>
        </w:tc>
      </w:tr>
      <w:tr>
        <w:tc>
          <w:tcPr/>
          <w:p>
            <w:pPr>
              <w:pStyle w:val="Compact"/>
              <w:jc w:val="left"/>
            </w:pPr>
            <w:r>
              <w:t xml:space="preserve">7. Compras de directivos o de inversores de referencia</w:t>
            </w:r>
          </w:p>
        </w:tc>
        <w:tc>
          <w:tcPr/>
          <w:p>
            <w:pPr>
              <w:pStyle w:val="Compact"/>
              <w:jc w:val="left"/>
            </w:pPr>
            <w:r>
              <w:t xml:space="preserve">No</w:t>
            </w:r>
          </w:p>
        </w:tc>
        <w:tc>
          <w:tcPr/>
          <w:p>
            <w:pPr>
              <w:pStyle w:val="Compact"/>
              <w:jc w:val="left"/>
            </w:pPr>
            <w:r>
              <w:t xml:space="preserve">Solo ventas (Summit Partners vende 5 M de acciones en agosto; el cofundador Ed Hallen vende a ~20,5 USD). La empresa recompra un 6,3 % del capital en el semestre, pero eso no cuenta [3][5][7]</w:t>
            </w:r>
          </w:p>
        </w:tc>
      </w:tr>
      <w:tr>
        <w:tc>
          <w:tcPr/>
          <w:p>
            <w:pPr>
              <w:pStyle w:val="Compact"/>
              <w:jc w:val="left"/>
            </w:pPr>
            <w:r>
              <w:t xml:space="preserve">8. Catalizador en 6 meses</w:t>
            </w:r>
          </w:p>
        </w:tc>
        <w:tc>
          <w:tcPr/>
          <w:p>
            <w:pPr>
              <w:pStyle w:val="Compact"/>
              <w:jc w:val="left"/>
            </w:pPr>
            <w:r>
              <w:t xml:space="preserve">Sí</w:t>
            </w:r>
          </w:p>
        </w:tc>
        <w:tc>
          <w:tcPr/>
          <w:p>
            <w:pPr>
              <w:pStyle w:val="Compact"/>
              <w:jc w:val="left"/>
            </w:pPr>
            <w:r>
              <w:t xml:space="preserve">Resultados del 3T el 4-nov, Black Friday y Navidad, nueva directora financiera desde septiembre, agentes nuevos [1][8]</w:t>
            </w:r>
          </w:p>
        </w:tc>
      </w:tr>
    </w:tbl>
    <w:p>
      <w:pPr>
        <w:pStyle w:val="BodyText"/>
      </w:pPr>
      <w:r>
        <w:rPr>
          <w:bCs/>
          <w:b/>
        </w:rPr>
        <w:t xml:space="preserve">Euforia: no.</w:t>
      </w:r>
      <w:r>
        <w:t xml:space="preserve"> </w:t>
      </w:r>
      <w:r>
        <w:t xml:space="preserve">La acción cae un 30 % en 12 meses.</w:t>
      </w:r>
    </w:p>
    <w:bookmarkEnd w:id="24"/>
    <w:bookmarkStart w:id="25" w:name="X6a3ced9ea5ed5bb9ac58f5e7c1bb09ad4718b77"/>
    <w:p>
      <w:pPr>
        <w:pStyle w:val="Heading2"/>
      </w:pPr>
      <w:r>
        <w:t xml:space="preserve">6. Economía unitaria y camino a la rentabilidad</w:t>
      </w:r>
    </w:p>
    <w:p>
      <w:pPr>
        <w:numPr>
          <w:ilvl w:val="0"/>
          <w:numId w:val="1007"/>
        </w:numPr>
        <w:pStyle w:val="Compact"/>
      </w:pPr>
      <w:r>
        <w:t xml:space="preserve">Margen bruto: 73,8 % en 12 meses. Baja unos 3 puntos al año porque crecen los SMS y WhatsApp, que cuestan más (en el 2T26, 72,6 %) [1][9].</w:t>
      </w:r>
    </w:p>
    <w:p>
      <w:pPr>
        <w:numPr>
          <w:ilvl w:val="0"/>
          <w:numId w:val="1007"/>
        </w:numPr>
        <w:pStyle w:val="Compact"/>
      </w:pPr>
      <w:r>
        <w:t xml:space="preserve">Regla del 40: 45,9 (crecimiento del 28,9 % más margen de flujo de caja libre del 17 %).</w:t>
      </w:r>
    </w:p>
    <w:p>
      <w:pPr>
        <w:numPr>
          <w:ilvl w:val="0"/>
          <w:numId w:val="1007"/>
        </w:numPr>
        <w:pStyle w:val="Compact"/>
      </w:pPr>
      <w:r>
        <w:t xml:space="preserve">Flujo de caja libre: 236 M USD en 12 meses, frente a 200 M en 2025:</w:t>
      </w:r>
      <w:r>
        <w:t xml:space="preserve"> </w:t>
      </w:r>
      <w:r>
        <w:rPr>
          <w:bCs/>
          <w:b/>
        </w:rPr>
        <w:t xml:space="preserve">creciente</w:t>
      </w:r>
      <w:r>
        <w:t xml:space="preserve">.</w:t>
      </w:r>
    </w:p>
    <w:p>
      <w:pPr>
        <w:numPr>
          <w:ilvl w:val="0"/>
          <w:numId w:val="1007"/>
        </w:numPr>
        <w:pStyle w:val="Compact"/>
      </w:pPr>
      <w:r>
        <w:t xml:space="preserve">Beneficio: margen operativo ajustado del 14 % (2T26); contable, −4 %. La diferencia son los pagos en acciones.</w:t>
      </w:r>
    </w:p>
    <w:p>
      <w:pPr>
        <w:numPr>
          <w:ilvl w:val="0"/>
          <w:numId w:val="1007"/>
        </w:numPr>
        <w:pStyle w:val="Compact"/>
      </w:pPr>
      <w:r>
        <w:t xml:space="preserve">Apalancamiento operativo: la guía de beneficio de 2026 bajó en agosto (de 225 a 215 M en el punto medio) para invertir en agentes. Es una decisión, no una pérdida de negocio, pero retrasa la mejora de márgenes.</w:t>
      </w:r>
    </w:p>
    <w:bookmarkEnd w:id="25"/>
    <w:bookmarkStart w:id="26" w:name="caja-deuda-y-dilución"/>
    <w:p>
      <w:pPr>
        <w:pStyle w:val="Heading2"/>
      </w:pPr>
      <w:r>
        <w:t xml:space="preserve">7. Caja, deuda y dilución</w:t>
      </w:r>
    </w:p>
    <w:p>
      <w:pPr>
        <w:numPr>
          <w:ilvl w:val="0"/>
          <w:numId w:val="1008"/>
        </w:numPr>
        <w:pStyle w:val="Compact"/>
      </w:pPr>
      <w:r>
        <w:t xml:space="preserve">Caja: 832,6 M USD a 30-jun; sin deuda financiera (solo 113,9 M de arrendamientos de oficinas) [3].</w:t>
      </w:r>
    </w:p>
    <w:p>
      <w:pPr>
        <w:numPr>
          <w:ilvl w:val="0"/>
          <w:numId w:val="1008"/>
        </w:numPr>
        <w:pStyle w:val="Compact"/>
      </w:pPr>
      <w:r>
        <w:t xml:space="preserve">Pista de caja: no aplica, el flujo de caja libre es positivo.</w:t>
      </w:r>
    </w:p>
    <w:p>
      <w:pPr>
        <w:numPr>
          <w:ilvl w:val="0"/>
          <w:numId w:val="1008"/>
        </w:numPr>
        <w:pStyle w:val="Compact"/>
      </w:pPr>
      <w:r>
        <w:t xml:space="preserve">Acciones totalmente diluidas: 314,6 M a 30-jun-2026 frente a 323,7 M un año antes (−2,8 %) gracias a las recompras. Sin recompras, los pagos en acciones diluirían un 3,5 % al año: es la cifra que se usa, por prudencia [1][2].</w:t>
      </w:r>
    </w:p>
    <w:p>
      <w:pPr>
        <w:numPr>
          <w:ilvl w:val="0"/>
          <w:numId w:val="1008"/>
        </w:numPr>
        <w:pStyle w:val="Compact"/>
      </w:pPr>
      <w:r>
        <w:t xml:space="preserve">Pagos en acciones: 12,3 % de las ventas (por debajo del 15 % que se marca en rojo).</w:t>
      </w:r>
    </w:p>
    <w:p>
      <w:pPr>
        <w:numPr>
          <w:ilvl w:val="0"/>
          <w:numId w:val="1008"/>
        </w:numPr>
        <w:pStyle w:val="Compact"/>
      </w:pPr>
      <w:r>
        <w:t xml:space="preserve">Recompra: 340,9 M USD en el primer semestre a unos 16,6 USD por acción; quedan 162,7 M del programa de 500 M [3].</w:t>
      </w:r>
    </w:p>
    <w:bookmarkEnd w:id="26"/>
    <w:bookmarkStart w:id="27" w:name="dirección-y-ejecución"/>
    <w:p>
      <w:pPr>
        <w:pStyle w:val="Heading2"/>
      </w:pPr>
      <w:r>
        <w:t xml:space="preserve">8. Dirección y ejecución</w:t>
      </w:r>
    </w:p>
    <w:p>
      <w:pPr>
        <w:numPr>
          <w:ilvl w:val="0"/>
          <w:numId w:val="1009"/>
        </w:numPr>
        <w:pStyle w:val="Compact"/>
      </w:pPr>
      <w:r>
        <w:t xml:space="preserve">Cofundador al mando: Andrew Bialecki es co-consejero delegado junto a Chano Fernández. Los fundadores controlan los votos con acciones de clase B [3].</w:t>
      </w:r>
    </w:p>
    <w:p>
      <w:pPr>
        <w:numPr>
          <w:ilvl w:val="0"/>
          <w:numId w:val="1009"/>
        </w:numPr>
        <w:pStyle w:val="Compact"/>
      </w:pPr>
      <w:r>
        <w:t xml:space="preserve">Historial: ha batido su guía de ventas en los seis trimestres revisados (del 1T25 al 2T26). Puntuación: 5 sobre 5.</w:t>
      </w:r>
    </w:p>
    <w:p>
      <w:pPr>
        <w:numPr>
          <w:ilvl w:val="0"/>
          <w:numId w:val="1009"/>
        </w:numPr>
        <w:pStyle w:val="Compact"/>
      </w:pPr>
      <w:r>
        <w:t xml:space="preserve">Dirección: 4 sobre 5. A favor, recompra con la acción barata y sin deuda. En contra, cambio de director financiero en mayo (la acción cayó un 30 % ese día) y ventas de antiguos fondos de capital riesgo y de un cofundador.</w:t>
      </w:r>
    </w:p>
    <w:bookmarkEnd w:id="27"/>
    <w:bookmarkStart w:id="28" w:name="valoración"/>
    <w:p>
      <w:pPr>
        <w:pStyle w:val="Heading2"/>
      </w:pPr>
      <w:r>
        <w:t xml:space="preserve">9. Valoración</w:t>
      </w:r>
    </w:p>
    <w:p>
      <w:pPr>
        <w:pStyle w:val="FirstParagraph"/>
      </w:pPr>
      <w:r>
        <w:t xml:space="preserve">Múltiplo: EV/ventas de los 12 meses siguientes. No se usa EV/EBITDA porque la empresa aún pierde dinero en las cuentas contables. EV de hoy: 4.519 M USD; ventas de los 12 meses siguientes, unos 1.674 M (+20,4 %).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jul-2027 a jun-2028 (M USD)</w:t>
            </w:r>
          </w:p>
        </w:tc>
        <w:tc>
          <w:tcPr/>
          <w:p>
            <w:pPr>
              <w:pStyle w:val="Compact"/>
              <w:jc w:val="left"/>
            </w:pPr>
            <w:r>
              <w:t xml:space="preserve">Múltiplo</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1.741</w:t>
            </w:r>
          </w:p>
        </w:tc>
        <w:tc>
          <w:tcPr/>
          <w:p>
            <w:pPr>
              <w:pStyle w:val="Compact"/>
              <w:jc w:val="left"/>
            </w:pPr>
            <w:r>
              <w:t xml:space="preserve">1,5</w:t>
            </w:r>
          </w:p>
        </w:tc>
        <w:tc>
          <w:tcPr/>
          <w:p>
            <w:pPr>
              <w:pStyle w:val="Compact"/>
              <w:jc w:val="left"/>
            </w:pPr>
            <w:r>
              <w:t xml:space="preserve">10,8 USD</w:t>
            </w:r>
          </w:p>
        </w:tc>
        <w:tc>
          <w:tcPr/>
          <w:p>
            <w:pPr>
              <w:pStyle w:val="Compact"/>
              <w:jc w:val="left"/>
            </w:pPr>
            <w:r>
              <w:t xml:space="preserve">−36,7 %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1.980</w:t>
            </w:r>
          </w:p>
        </w:tc>
        <w:tc>
          <w:tcPr/>
          <w:p>
            <w:pPr>
              <w:pStyle w:val="Compact"/>
              <w:jc w:val="left"/>
            </w:pPr>
            <w:r>
              <w:t xml:space="preserve">2,6</w:t>
            </w:r>
          </w:p>
        </w:tc>
        <w:tc>
          <w:tcPr/>
          <w:p>
            <w:pPr>
              <w:pStyle w:val="Compact"/>
              <w:jc w:val="left"/>
            </w:pPr>
            <w:r>
              <w:t xml:space="preserve">18,1 USD</w:t>
            </w:r>
          </w:p>
        </w:tc>
        <w:tc>
          <w:tcPr/>
          <w:p>
            <w:pPr>
              <w:pStyle w:val="Compact"/>
              <w:jc w:val="left"/>
            </w:pPr>
            <w:r>
              <w:t xml:space="preserve">+6,5 %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2.150</w:t>
            </w:r>
          </w:p>
        </w:tc>
        <w:tc>
          <w:tcPr/>
          <w:p>
            <w:pPr>
              <w:pStyle w:val="Compact"/>
              <w:jc w:val="left"/>
            </w:pPr>
            <w:r>
              <w:t xml:space="preserve">4,1</w:t>
            </w:r>
          </w:p>
        </w:tc>
        <w:tc>
          <w:tcPr/>
          <w:p>
            <w:pPr>
              <w:pStyle w:val="Compact"/>
              <w:jc w:val="left"/>
            </w:pPr>
            <w:r>
              <w:t xml:space="preserve">29,6 USD</w:t>
            </w:r>
          </w:p>
        </w:tc>
        <w:tc>
          <w:tcPr/>
          <w:p>
            <w:pPr>
              <w:pStyle w:val="Compact"/>
              <w:jc w:val="left"/>
            </w:pPr>
            <w:r>
              <w:t xml:space="preserve">+73,9 %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19,2 USD</w:t>
            </w:r>
          </w:p>
        </w:tc>
        <w:tc>
          <w:tcPr/>
          <w:p>
            <w:pPr>
              <w:pStyle w:val="Compact"/>
              <w:jc w:val="left"/>
            </w:pPr>
            <w:r>
              <w:rPr>
                <w:bCs/>
                <w:b/>
              </w:rPr>
              <w:t xml:space="preserve">+12,6 %</w:t>
            </w:r>
          </w:p>
        </w:tc>
        <w:tc>
          <w:tcPr/>
          <w:p>
            <w:pPr>
              <w:pStyle w:val="Compact"/>
            </w:pPr>
          </w:p>
        </w:tc>
      </w:tr>
    </w:tbl>
    <w:p>
      <w:pPr>
        <w:numPr>
          <w:ilvl w:val="0"/>
          <w:numId w:val="1010"/>
        </w:numPr>
        <w:pStyle w:val="Compact"/>
      </w:pPr>
      <w:r>
        <w:rPr>
          <w:bCs/>
          <w:b/>
        </w:rPr>
        <w:t xml:space="preserve">Ventas (v11):</w:t>
      </w:r>
      <w:r>
        <w:t xml:space="preserve"> </w:t>
      </w:r>
      <w:r>
        <w:t xml:space="preserve">la menor entre la proyección mecánica y la del análisis. La mecánica parte de un 25,8 % (guía más lo que suele batirla) y da 2.132 M en el base; la del análisis es 1.980 M,</w:t>
      </w:r>
      <w:r>
        <w:t xml:space="preserve"> </w:t>
      </w:r>
      <w:r>
        <w:rPr>
          <w:bCs/>
          <w:b/>
        </w:rPr>
        <w:t xml:space="preserve">igual que el consenso</w:t>
      </w:r>
      <w:r>
        <w:t xml:space="preserve"> </w:t>
      </w:r>
      <w:r>
        <w:t xml:space="preserve">(extrapolado del consenso de 2027, 1.831 M, que crece un 19,6 %). El bajista sale de la mecánica (1.741 M) y el alcista del análisis (2.150 M).</w:t>
      </w:r>
    </w:p>
    <w:p>
      <w:pPr>
        <w:numPr>
          <w:ilvl w:val="0"/>
          <w:numId w:val="1010"/>
        </w:numPr>
        <w:pStyle w:val="Compact"/>
      </w:pPr>
      <w:r>
        <w:rPr>
          <w:bCs/>
          <w:b/>
        </w:rPr>
        <w:t xml:space="preserve">Múltiplo:</w:t>
      </w:r>
      <w:r>
        <w:t xml:space="preserve"> </w:t>
      </w:r>
      <w:r>
        <w:t xml:space="preserve">base 2,6 veces (el de hoy con una rebaja pequeña por desaceleración); bajista 1,5; alcista 4,1, que es el techo (la mediana histórica, 6,4, queda por encima: si el mercado volviera a pagar lo de antes, el potencial sería mucho mayor).</w:t>
      </w:r>
    </w:p>
    <w:p>
      <w:pPr>
        <w:numPr>
          <w:ilvl w:val="0"/>
          <w:numId w:val="1010"/>
        </w:numPr>
        <w:pStyle w:val="Compact"/>
      </w:pPr>
      <w:r>
        <w:rPr>
          <w:bCs/>
          <w:b/>
        </w:rPr>
        <w:t xml:space="preserve">EV/beneficio bruto de los 12 meses siguientes: 3,7 veces</w:t>
      </w:r>
      <w:r>
        <w:t xml:space="preserve">, lejísimos del tope de 35.</w:t>
      </w:r>
    </w:p>
    <w:p>
      <w:pPr>
        <w:numPr>
          <w:ilvl w:val="0"/>
          <w:numId w:val="1010"/>
        </w:numPr>
        <w:pStyle w:val="Compact"/>
      </w:pPr>
      <w:r>
        <w:rPr>
          <w:bCs/>
          <w:b/>
        </w:rPr>
        <w:t xml:space="preserve">Hoy frente a su historia:</w:t>
      </w:r>
      <w:r>
        <w:t xml:space="preserve"> </w:t>
      </w:r>
      <w:r>
        <w:t xml:space="preserve">EV/ventas de 2,7 veces frente a una mediana de 6,4 desde la salida a bolsa (sep-2023), con un máximo de 11,1 (ene-2025) y un mínimo de 2,0 (jun-2026). Cotiza al 42 % de su mediana.</w:t>
      </w:r>
    </w:p>
    <w:p>
      <w:pPr>
        <w:numPr>
          <w:ilvl w:val="0"/>
          <w:numId w:val="1010"/>
        </w:numPr>
        <w:pStyle w:val="Compact"/>
      </w:pPr>
      <w:r>
        <w:rPr>
          <w:bCs/>
          <w:b/>
        </w:rPr>
        <w:t xml:space="preserve">Consenso:</w:t>
      </w:r>
      <w:r>
        <w:t xml:space="preserve"> </w:t>
      </w:r>
      <w:r>
        <w:t xml:space="preserve">precio objetivo medio de 26,6 USD (S&amp;P Global), un 56 % por encima del cierre.</w:t>
      </w:r>
    </w:p>
    <w:p>
      <w:pPr>
        <w:numPr>
          <w:ilvl w:val="0"/>
          <w:numId w:val="1010"/>
        </w:numPr>
        <w:pStyle w:val="Compact"/>
      </w:pPr>
      <w:r>
        <w:rPr>
          <w:bCs/>
          <w:b/>
        </w:rPr>
        <w:t xml:space="preserve">DCF inverso:</w:t>
      </w:r>
      <w:r>
        <w:t xml:space="preserve"> </w:t>
      </w:r>
      <w:r>
        <w:t xml:space="preserve">el precio descuenta un crecimiento del 2,4 % anual durante diez años.</w:t>
      </w:r>
    </w:p>
    <w:p>
      <w:pPr>
        <w:numPr>
          <w:ilvl w:val="0"/>
          <w:numId w:val="1010"/>
        </w:numPr>
        <w:pStyle w:val="Compact"/>
      </w:pPr>
      <w:r>
        <w:rPr>
          <w:bCs/>
          <w:b/>
        </w:rPr>
        <w:t xml:space="preserve">v9 al lado:</w:t>
      </w:r>
      <w:r>
        <w:t xml:space="preserve"> </w:t>
      </w:r>
      <w:r>
        <w:t xml:space="preserve">con la proyección mecánica sin el tope del análisis, ponderada +18,8 %, base +13,5 %, bajista −36,7 %, compra hasta 19,2 USD. v12, v13 y v14 (candidatas) dan lo mismo que v11.</w:t>
      </w:r>
    </w:p>
    <w:p>
      <w:pPr>
        <w:numPr>
          <w:ilvl w:val="0"/>
          <w:numId w:val="1010"/>
        </w:numPr>
        <w:pStyle w:val="Compact"/>
      </w:pPr>
      <w:r>
        <w:rPr>
          <w:bCs/>
          <w:b/>
        </w:rPr>
        <w:t xml:space="preserve">Al precio actual</w:t>
      </w:r>
      <w:r>
        <w:t xml:space="preserve"> </w:t>
      </w:r>
      <w:r>
        <w:t xml:space="preserve">(16,50 USD, fuera de horario, 14-oct 23:18 UTC), con el objetivo fijo de 19,2 USD: +16 %. Está por debajo del «compra hasta» de 18,1 USD.</w:t>
      </w:r>
    </w:p>
    <w:bookmarkEnd w:id="28"/>
    <w:bookmarkStart w:id="29" w:name="foros-y-sentimiento"/>
    <w:p>
      <w:pPr>
        <w:pStyle w:val="Heading2"/>
      </w:pPr>
      <w:r>
        <w:t xml:space="preserve">10. Foros y sentimiento</w:t>
      </w:r>
    </w:p>
    <w:p>
      <w:pPr>
        <w:numPr>
          <w:ilvl w:val="0"/>
          <w:numId w:val="1011"/>
        </w:numPr>
        <w:pStyle w:val="Compact"/>
      </w:pPr>
      <w:r>
        <w:rPr>
          <w:bCs/>
          <w:b/>
        </w:rPr>
        <w:t xml:space="preserve">Prensa financiera:</w:t>
      </w:r>
      <w:r>
        <w:t xml:space="preserve"> </w:t>
      </w:r>
      <w:r>
        <w:t xml:space="preserve">el relato dominante es «la IA se come el software» y «demasiado dependiente de Shopify». Tras el 2T cayó un 13 % pese a subir la guía, porque recortó la de beneficio [9][11].</w:t>
      </w:r>
    </w:p>
    <w:p>
      <w:pPr>
        <w:numPr>
          <w:ilvl w:val="0"/>
          <w:numId w:val="1011"/>
        </w:numPr>
        <w:pStyle w:val="Compact"/>
      </w:pPr>
      <w:r>
        <w:rPr>
          <w:bCs/>
          <w:b/>
        </w:rPr>
        <w:t xml:space="preserve">Analistas:</w:t>
      </w:r>
      <w:r>
        <w:t xml:space="preserve"> </w:t>
      </w:r>
      <w:r>
        <w:t xml:space="preserve">casi todos recomiendan comprar (22 analistas; «compra fuerte»), pero rebajaron los precios objetivo en agosto. Varios repitieron Comprar en septiembre (Cantor 28 USD, Truist 30, Canaccord 29, Wells Fargo 22) y Stifel empezó a cubrirla el 14-oct con 22 USD [7][8].</w:t>
      </w:r>
    </w:p>
    <w:p>
      <w:pPr>
        <w:numPr>
          <w:ilvl w:val="0"/>
          <w:numId w:val="1011"/>
        </w:numPr>
        <w:pStyle w:val="Compact"/>
      </w:pPr>
      <w:r>
        <w:rPr>
          <w:bCs/>
          <w:b/>
        </w:rPr>
        <w:t xml:space="preserve">Inversores minoristas:</w:t>
      </w:r>
      <w:r>
        <w:t xml:space="preserve"> </w:t>
      </w:r>
      <w:r>
        <w:t xml:space="preserve">artículos de valor (Simply Wall St, Yahoo) la presentan como «de las más castigadas» y barata frente a su flujo de caja. El 7,4 % de las acciones (el 17 % de las que cotizan libremente) está vendido en corto [8][10].</w:t>
      </w:r>
    </w:p>
    <w:p>
      <w:pPr>
        <w:numPr>
          <w:ilvl w:val="0"/>
          <w:numId w:val="1011"/>
        </w:numPr>
        <w:pStyle w:val="Compact"/>
      </w:pPr>
      <w:r>
        <w:rPr>
          <w:bCs/>
          <w:b/>
        </w:rPr>
        <w:t xml:space="preserve">Reddit y StockTwits:</w:t>
      </w:r>
      <w:r>
        <w:t xml:space="preserve"> </w:t>
      </w:r>
      <w:r>
        <w:t xml:space="preserve">no accesibles desde aquí (laguna).</w:t>
      </w:r>
    </w:p>
    <w:p>
      <w:pPr>
        <w:numPr>
          <w:ilvl w:val="0"/>
          <w:numId w:val="1011"/>
        </w:numPr>
        <w:pStyle w:val="Compact"/>
      </w:pPr>
      <w:r>
        <w:rPr>
          <w:bCs/>
          <w:b/>
        </w:rPr>
        <w:t xml:space="preserve">Contraste con los datos:</w:t>
      </w:r>
      <w:r>
        <w:t xml:space="preserve"> </w:t>
      </w:r>
      <w:r>
        <w:t xml:space="preserve">el miedo no se ve en las cifras: crecimiento del 26 %, retención al alza, guía subida. El sentimiento es malo, sin euforia. Si gira, el múltiplo tiene mucho recorrido; si no gira, la acción puede seguir barata mucho tiempo.</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 v11 (</w:t>
      </w:r>
      <w:r>
        <w:rPr>
          <w:rStyle w:val="VerbatimChar"/>
          <w:bCs/>
          <w:b/>
        </w:rPr>
        <w:t xml:space="preserve">calc.alertas</w:t>
      </w:r>
      <w:r>
        <w:rPr>
          <w:bCs/>
          <w:b/>
        </w:rPr>
        <w:t xml:space="preserve">): ninguna.</w:t>
      </w:r>
      <w:r>
        <w:t xml:space="preserve"> </w:t>
      </w:r>
      <w:r>
        <w:t xml:space="preserve">La proyección no supera a la del análisis ni al consenso, el múltiplo está muy por debajo de su mediana, hay guía anual, el exceso sobre la guía es pequeño (4,6 puntos), no hay clientes concentrados y los pagos en acciones son el 12,3 % de las ventas.</w:t>
      </w:r>
    </w:p>
    <w:p>
      <w:pPr>
        <w:pStyle w:val="BodyText"/>
      </w:pPr>
      <w:r>
        <w:rPr>
          <w:bCs/>
          <w:b/>
        </w:rPr>
        <w:t xml:space="preserve">Prueba de robustez</w:t>
      </w:r>
      <w:r>
        <w:t xml:space="preserve"> </w:t>
      </w:r>
      <w:r>
        <w:t xml:space="preserve">(</w:t>
      </w:r>
      <w:r>
        <w:rPr>
          <w:rStyle w:val="VerbatimChar"/>
        </w:rPr>
        <w:t xml:space="preserve">robustez-growth.mjs --precios</w:t>
      </w:r>
      <w:r>
        <w:t xml:space="preserve">):</w:t>
      </w:r>
      <w:r>
        <w:t xml:space="preserve"> </w:t>
      </w:r>
      <w:r>
        <w:rPr>
          <w:bCs/>
          <w:b/>
        </w:rPr>
        <w:t xml:space="preserve">SÓLIDA, señal robusta: Comprar.</w:t>
      </w:r>
      <w:r>
        <w:t xml:space="preserve"> </w:t>
      </w:r>
      <w:r>
        <w:t xml:space="preserve">Dos avisos:</w:t>
      </w:r>
      <w:r>
        <w:t xml:space="preserve"> </w:t>
      </w:r>
      <w:r>
        <w:t xml:space="preserve">- G2: el objetivo se mueve con el precio (al valorar por el múltiplo de hoy). Por eso se deja fijo el objetivo de 19,2 USD y el límite es el del informe, 18,1 USD.</w:t>
      </w:r>
      <w:r>
        <w:t xml:space="preserve"> </w:t>
      </w:r>
      <w:r>
        <w:t xml:space="preserve">- G9: convicción baja, así que peso pequeño y en dos tramos.</w:t>
      </w:r>
      <w:r>
        <w:t xml:space="preserve"> </w:t>
      </w:r>
      <w:r>
        <w:t xml:space="preserve">- Variantes: todas dan Comprar salvo una. Con probabilidades 35/50/15 la ponderada baja al +1,5 % y sería Mantener. No se aplican porque no depende de un solo producto ni de un hecho que no se repite, pero muestra que la compra se apoya en que el bajista no pese más de lo normal. Es lo que más debilita la señal.</w:t>
      </w:r>
    </w:p>
    <w:p>
      <w:pPr>
        <w:pStyle w:val="BodyText"/>
      </w:pPr>
      <w:r>
        <w:rPr>
          <w:bCs/>
          <w:b/>
        </w:rPr>
        <w:t xml:space="preserve">Riesgos:</w:t>
      </w:r>
      <w:r>
        <w:t xml:space="preserve"> </w:t>
      </w:r>
      <w:r>
        <w:t xml:space="preserve">-</w:t>
      </w:r>
      <w:r>
        <w:t xml:space="preserve"> </w:t>
      </w:r>
      <w:r>
        <w:rPr>
          <w:bCs/>
          <w:b/>
        </w:rPr>
        <w:t xml:space="preserve">Shopify:</w:t>
      </w:r>
      <w:r>
        <w:t xml:space="preserve"> </w:t>
      </w:r>
      <w:r>
        <w:t xml:space="preserve">el 78 % del ARR viene de sus clientes. Si Shopify mejora mucho su propia herramienta de correo, cambia la comisión o deja de recomendarla, el crecimiento caería. Además, la cartera ya propone Shopify: si las tiendas de Shopify van mal, caen las dos.</w:t>
      </w:r>
      <w:r>
        <w:t xml:space="preserve"> </w:t>
      </w:r>
      <w:r>
        <w:t xml:space="preserve">-</w:t>
      </w:r>
      <w:r>
        <w:t xml:space="preserve"> </w:t>
      </w:r>
      <w:r>
        <w:rPr>
          <w:bCs/>
          <w:b/>
        </w:rPr>
        <w:t xml:space="preserve">IA (riesgo medio):</w:t>
      </w:r>
      <w:r>
        <w:t xml:space="preserve"> </w:t>
      </w:r>
      <w:r>
        <w:t xml:space="preserve">agentes de marketing de Shopify, Salesforce y HubSpot, y precios a la baja en la parte pequeña (apartado 4).</w:t>
      </w:r>
      <w:r>
        <w:t xml:space="preserve"> </w:t>
      </w:r>
      <w:r>
        <w:t xml:space="preserve">-</w:t>
      </w:r>
      <w:r>
        <w:t xml:space="preserve"> </w:t>
      </w:r>
      <w:r>
        <w:rPr>
          <w:bCs/>
          <w:b/>
        </w:rPr>
        <w:t xml:space="preserve">Margen bruto a la baja</w:t>
      </w:r>
      <w:r>
        <w:t xml:space="preserve"> </w:t>
      </w:r>
      <w:r>
        <w:t xml:space="preserve">por los SMS (de 75,7 % a 72,6 % en un año en el 2T).</w:t>
      </w:r>
      <w:r>
        <w:t xml:space="preserve"> </w:t>
      </w:r>
      <w:r>
        <w:t xml:space="preserve">-</w:t>
      </w:r>
      <w:r>
        <w:t xml:space="preserve"> </w:t>
      </w:r>
      <w:r>
        <w:rPr>
          <w:bCs/>
          <w:b/>
        </w:rPr>
        <w:t xml:space="preserve">Cambio de director financiero y co-consejeros delegados:</w:t>
      </w:r>
      <w:r>
        <w:t xml:space="preserve"> </w:t>
      </w:r>
      <w:r>
        <w:t xml:space="preserve">riesgo de ejecución.</w:t>
      </w:r>
      <w:r>
        <w:t xml:space="preserve"> </w:t>
      </w:r>
      <w:r>
        <w:t xml:space="preserve">-</w:t>
      </w:r>
      <w:r>
        <w:t xml:space="preserve"> </w:t>
      </w:r>
      <w:r>
        <w:rPr>
          <w:bCs/>
          <w:b/>
        </w:rPr>
        <w:t xml:space="preserve">Sentimiento:</w:t>
      </w:r>
      <w:r>
        <w:t xml:space="preserve"> </w:t>
      </w:r>
      <w:r>
        <w:t xml:space="preserve">puede quedarse barata años; la tendencia del precio sigue bajista.</w:t>
      </w:r>
    </w:p>
    <w:p>
      <w:pPr>
        <w:pStyle w:val="BodyText"/>
      </w:pPr>
      <w:r>
        <w:rPr>
          <w:bCs/>
          <w:b/>
        </w:rPr>
        <w:t xml:space="preserve">Señales de venta:</w:t>
      </w:r>
      <w:r>
        <w:t xml:space="preserve"> </w:t>
      </w:r>
      <w:r>
        <w:t xml:space="preserve">crecimiento por debajo del 15 % dos trimestres seguidos; retención neta bajo el 105 %; cambio a peor del acuerdo con Shopify; guía anual recortada.</w:t>
      </w:r>
    </w:p>
    <w:bookmarkEnd w:id="30"/>
    <w:bookmarkStart w:id="31" w:name="catalizadores-con-fecha"/>
    <w:p>
      <w:pPr>
        <w:pStyle w:val="Heading2"/>
      </w:pPr>
      <w:r>
        <w:t xml:space="preserve">12. Catalizadores con fecha</w:t>
      </w:r>
    </w:p>
    <w:p>
      <w:pPr>
        <w:numPr>
          <w:ilvl w:val="0"/>
          <w:numId w:val="1012"/>
        </w:numPr>
        <w:pStyle w:val="Compact"/>
      </w:pPr>
      <w:r>
        <w:t xml:space="preserve">4-nov-2026: resultados del 3T26 (guía 377-381 M de ventas).</w:t>
      </w:r>
    </w:p>
    <w:p>
      <w:pPr>
        <w:numPr>
          <w:ilvl w:val="0"/>
          <w:numId w:val="1012"/>
        </w:numPr>
        <w:pStyle w:val="Compact"/>
      </w:pPr>
      <w:r>
        <w:t xml:space="preserve">Nov-dic 2026: Black Friday y Navidad; el 4T es su trimestre más fuerte.</w:t>
      </w:r>
    </w:p>
    <w:p>
      <w:pPr>
        <w:numPr>
          <w:ilvl w:val="0"/>
          <w:numId w:val="1012"/>
        </w:numPr>
        <w:pStyle w:val="Compact"/>
      </w:pPr>
      <w:r>
        <w:t xml:space="preserve">Feb-2027: resultados del 4T y primera guía de 2027 (consenso +19,6 %).</w:t>
      </w:r>
    </w:p>
    <w:p>
      <w:pPr>
        <w:numPr>
          <w:ilvl w:val="0"/>
          <w:numId w:val="1012"/>
        </w:numPr>
        <w:pStyle w:val="Compact"/>
      </w:pPr>
      <w:r>
        <w:t xml:space="preserve">Continuo: recompra (quedan 162,7 M USD), cierre de la compra de Agency y adopción de Composer y Customer Agent.</w:t>
      </w:r>
    </w:p>
    <w:bookmarkEnd w:id="31"/>
    <w:bookmarkStart w:id="32" w:name="encaje-en-cartera"/>
    <w:p>
      <w:pPr>
        <w:pStyle w:val="Heading2"/>
      </w:pPr>
      <w:r>
        <w:t xml:space="preserve">13. Encaje en cartera</w:t>
      </w:r>
    </w:p>
    <w:p>
      <w:pPr>
        <w:numPr>
          <w:ilvl w:val="0"/>
          <w:numId w:val="1013"/>
        </w:numPr>
        <w:pStyle w:val="Compact"/>
      </w:pPr>
      <w:r>
        <w:rPr>
          <w:bCs/>
          <w:b/>
        </w:rPr>
        <w:t xml:space="preserve">Filtro previo</w:t>
      </w:r>
      <w:r>
        <w:t xml:space="preserve"> </w:t>
      </w:r>
      <w:r>
        <w:t xml:space="preserve">(</w:t>
      </w:r>
      <w:r>
        <w:rPr>
          <w:rStyle w:val="VerbatimChar"/>
        </w:rPr>
        <w:t xml:space="preserve">filtro-previo.md</w:t>
      </w:r>
      <w:r>
        <w:t xml:space="preserve">), con los datos completos:</w:t>
      </w:r>
    </w:p>
    <w:p>
      <w:pPr>
        <w:numPr>
          <w:ilvl w:val="1"/>
          <w:numId w:val="1014"/>
        </w:numPr>
        <w:pStyle w:val="Compact"/>
      </w:pPr>
      <w:r>
        <w:t xml:space="preserve">A, crecimiento ≥ 15 %: se confirma, 28,9 %.</w:t>
      </w:r>
    </w:p>
    <w:p>
      <w:pPr>
        <w:numPr>
          <w:ilvl w:val="1"/>
          <w:numId w:val="1014"/>
        </w:numPr>
        <w:pStyle w:val="Compact"/>
      </w:pPr>
      <w:r>
        <w:t xml:space="preserve">B, solo para rentables estables por EBITDA: no aplica, aún pierde dinero en las cuentas contables.</w:t>
      </w:r>
    </w:p>
    <w:p>
      <w:pPr>
        <w:numPr>
          <w:ilvl w:val="1"/>
          <w:numId w:val="1014"/>
        </w:numPr>
        <w:pStyle w:val="Compact"/>
      </w:pPr>
      <w:r>
        <w:t xml:space="preserve">C, mayor cliente ≤ 40 %: se confirma, ningún cliente llega al 10 %. Pero la dependencia de canal es del 78 % (Shopify), que el filtro no mide.</w:t>
      </w:r>
    </w:p>
    <w:p>
      <w:pPr>
        <w:numPr>
          <w:ilvl w:val="1"/>
          <w:numId w:val="1014"/>
        </w:numPr>
        <w:pStyle w:val="Compact"/>
      </w:pPr>
      <w:r>
        <w:t xml:space="preserve">D, crecimiento descontado ÷ crecimiento ≤ 0,8: se confirma, 0,08 (2,4 % ÷ 28,9 %; el filtro estimó 0,05).</w:t>
      </w:r>
    </w:p>
    <w:p>
      <w:pPr>
        <w:numPr>
          <w:ilvl w:val="0"/>
          <w:numId w:val="1013"/>
        </w:numPr>
        <w:pStyle w:val="Compact"/>
      </w:pPr>
      <w:r>
        <w:rPr>
          <w:bCs/>
          <w:b/>
        </w:rPr>
        <w:t xml:space="preserve">Bolsillo growth lleno</w:t>
      </w:r>
      <w:r>
        <w:t xml:space="preserve"> </w:t>
      </w:r>
      <w:r>
        <w:t xml:space="preserve">(cerca del 20 %): Nu +22 %, Axon +35 %, Shopify +19 %, Snowflake +16 % y Samsara +17 % al precio actual con v11. No hay liquidez libre: solo cabe sustituir.</w:t>
      </w:r>
    </w:p>
    <w:p>
      <w:pPr>
        <w:numPr>
          <w:ilvl w:val="0"/>
          <w:numId w:val="1013"/>
        </w:numPr>
        <w:pStyle w:val="Compact"/>
      </w:pPr>
      <w:r>
        <w:rPr>
          <w:bCs/>
          <w:b/>
        </w:rPr>
        <w:t xml:space="preserve">¿Sustituye a alguna?</w:t>
      </w:r>
      <w:r>
        <w:t xml:space="preserve"> </w:t>
      </w:r>
      <w:r>
        <w:t xml:space="preserve">No. La más floja es Snowflake (+16 %, convicción media). Klaviyo da +16 % al precio actual (+13 % al cierre) con convicción baja: no rinde claramente más ni con más convicción.</w:t>
      </w:r>
    </w:p>
    <w:p>
      <w:pPr>
        <w:numPr>
          <w:ilvl w:val="0"/>
          <w:numId w:val="1013"/>
        </w:numPr>
        <w:pStyle w:val="Compact"/>
      </w:pPr>
      <w:r>
        <w:rPr>
          <w:bCs/>
          <w:b/>
        </w:rPr>
        <w:t xml:space="preserve">Solapamiento con Shopify:</w:t>
      </w:r>
      <w:r>
        <w:t xml:space="preserve"> </w:t>
      </w:r>
      <w:r>
        <w:t xml:space="preserve">comprar las dos duplica la apuesta por las tiendas de Shopify. Es otro motivo para no ponerla por delante.</w:t>
      </w:r>
    </w:p>
    <w:p>
      <w:pPr>
        <w:numPr>
          <w:ilvl w:val="0"/>
          <w:numId w:val="1013"/>
        </w:numPr>
        <w:pStyle w:val="Compact"/>
      </w:pPr>
      <w:r>
        <w:rPr>
          <w:bCs/>
          <w:b/>
        </w:rPr>
        <w:t xml:space="preserve">Exposición a IA:</w:t>
      </w:r>
      <w:r>
        <w:t xml:space="preserve"> </w:t>
      </w:r>
      <w:r>
        <w:t xml:space="preserve">Alphabet se vende mañana y no cuenta. Klaviyo no añade exposición a la IA como ganadora; es más bien una apuesta a que la IA no la hunde.</w:t>
      </w:r>
    </w:p>
    <w:p>
      <w:pPr>
        <w:numPr>
          <w:ilvl w:val="0"/>
          <w:numId w:val="1013"/>
        </w:numPr>
        <w:pStyle w:val="Compact"/>
      </w:pPr>
      <w:r>
        <w:rPr>
          <w:bCs/>
          <w:b/>
        </w:rPr>
        <w:t xml:space="preserve">Puesto de suplente: 6.º</w:t>
      </w:r>
      <w:r>
        <w:t xml:space="preserve">, detrás de dLocal y delante de Dexcom. Rinde parecido a Zscaler, Rubrik y dLocal, pero con menos señales (3 de 8) y más dependencia de un socio. Lista: MongoDB, Toast, Zscaler, Rubrik, dLocal,</w:t>
      </w:r>
      <w:r>
        <w:t xml:space="preserve"> </w:t>
      </w:r>
      <w:r>
        <w:rPr>
          <w:bCs/>
          <w:b/>
        </w:rPr>
        <w:t xml:space="preserve">Klaviyo</w:t>
      </w:r>
      <w:r>
        <w:t xml:space="preserve">, Dexcom, argenx, Datadog, Reddit, Saab, Natera, Ypsomed.</w:t>
      </w:r>
    </w:p>
    <w:p>
      <w:pPr>
        <w:numPr>
          <w:ilvl w:val="0"/>
          <w:numId w:val="1013"/>
        </w:numPr>
        <w:pStyle w:val="Compact"/>
      </w:pPr>
      <w:r>
        <w:rPr>
          <w:bCs/>
          <w:b/>
        </w:rPr>
        <w:t xml:space="preserve">Si entrara:</w:t>
      </w:r>
      <w:r>
        <w:t xml:space="preserve"> </w:t>
      </w:r>
      <w:r>
        <w:t xml:space="preserve">3,5 % en dos tramos (mitad ya y mitad tras los resultados del 4-nov si crece ≥ 20 % y mantiene la retención), siempre por debajo de 18,1 USD.</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15</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r>
      <w:tr>
        <w:tc>
          <w:tcPr/>
          <w:p>
            <w:pPr>
              <w:pStyle w:val="Compact"/>
              <w:jc w:val="left"/>
            </w:pPr>
            <w:r>
              <w:t xml:space="preserve">C. Cambio de tendencia (3 de 8 señales)</w:t>
            </w:r>
          </w:p>
        </w:tc>
        <w:tc>
          <w:tcPr/>
          <w:p>
            <w:pPr>
              <w:pStyle w:val="Compact"/>
              <w:jc w:val="left"/>
            </w:pPr>
            <w:r>
              <w:t xml:space="preserve">7,5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12</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9</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66,2</w:t>
            </w:r>
          </w:p>
        </w:tc>
        <w:tc>
          <w:tcPr/>
          <w:p>
            <w:pPr>
              <w:pStyle w:val="Compact"/>
              <w:jc w:val="left"/>
            </w:pPr>
            <w:r>
              <w:rPr>
                <w:bCs/>
                <w:b/>
              </w:rPr>
              <w:t xml:space="preserve">100</w:t>
            </w:r>
          </w:p>
        </w:tc>
      </w:tr>
    </w:tbl>
    <w:bookmarkEnd w:id="33"/>
    <w:bookmarkStart w:id="34" w:name="fuentes"/>
    <w:p>
      <w:pPr>
        <w:pStyle w:val="Heading2"/>
      </w:pPr>
      <w:r>
        <w:t xml:space="preserve">Fuentes</w:t>
      </w:r>
    </w:p>
    <w:p>
      <w:pPr>
        <w:pStyle w:val="FirstParagraph"/>
      </w:pPr>
      <w:r>
        <w:t xml:space="preserve">[1] Klaviyo, nota de resultados del 2T26 (5-ago-2026), 8-K ex. 99.1, SEC.</w:t>
      </w:r>
      <w:r>
        <w:t xml:space="preserve"> </w:t>
      </w:r>
      <w:r>
        <w:t xml:space="preserve">[2] Klaviyo, notas de resultados del 2T25 al 1T26 (8-K ex. 99.1, SEC): guías trimestrales y anuales, flujo de caja libre y acciones diluidas.</w:t>
      </w:r>
      <w:r>
        <w:t xml:space="preserve"> </w:t>
      </w:r>
      <w:r>
        <w:t xml:space="preserve">[3] Klaviyo, 10-Q del 2T26 (5-ago-2026, SEC): recompras, caja, dependencia de Shopify, compra de Agency.</w:t>
      </w:r>
      <w:r>
        <w:t xml:space="preserve"> </w:t>
      </w:r>
      <w:r>
        <w:t xml:space="preserve">[4] SEC XBRL companyfacts (CIK 1835830): series trimestrales 2022-2026.</w:t>
      </w:r>
      <w:r>
        <w:t xml:space="preserve"> </w:t>
      </w:r>
      <w:r>
        <w:t xml:space="preserve">[5] SEC, formularios 4, 144 y 13D/A (ago-oct 2026).</w:t>
      </w:r>
      <w:r>
        <w:t xml:space="preserve"> </w:t>
      </w:r>
      <w:r>
        <w:t xml:space="preserve">[6] Yahoo Finance chart API (KVYO, QQQ, IGV; leída el 15-oct a las 08:00 UTC) y Nasdaq.com (histórico; segunda fuente del cierre de 17,01 USD).</w:t>
      </w:r>
      <w:r>
        <w:t xml:space="preserve"> </w:t>
      </w:r>
      <w:r>
        <w:t xml:space="preserve">[7] MarketBeat (sep-oct 2026): precios objetivo y operaciones de directivos.</w:t>
      </w:r>
      <w:r>
        <w:t xml:space="preserve"> </w:t>
      </w:r>
      <w:r>
        <w:t xml:space="preserve">[8] StockAnalysis / S&amp;P Global (15-oct-2026): consenso de ventas y precio objetivo, próximos resultados, posiciones cortas, comparables.</w:t>
      </w:r>
      <w:r>
        <w:t xml:space="preserve"> </w:t>
      </w:r>
      <w:r>
        <w:t xml:space="preserve">[9] Simply Wall St y Webull (ago-2026): reacción al 2T y margen bruto.</w:t>
      </w:r>
      <w:r>
        <w:t xml:space="preserve"> </w:t>
      </w:r>
      <w:r>
        <w:t xml:space="preserve">[10] Stockti (may-2026) y Yahoo Finance (2026).</w:t>
      </w:r>
      <w:r>
        <w:t xml:space="preserve"> </w:t>
      </w:r>
      <w:r>
        <w:t xml:space="preserve">[11] Walnut Invest (2026) y guías de herramientas para Shopify (2026).</w:t>
      </w:r>
      <w:r>
        <w:t xml:space="preserve"> </w:t>
      </w:r>
      <w:r>
        <w:t xml:space="preserve">[12] Cálculo propio: EV, ventas de los 12 meses siguientes, EV/ventas histórico desde la salida a bolsa, consenso de la ventana objetivo y DCF inverso (detalle en</w:t>
      </w:r>
      <w:r>
        <w:t xml:space="preserve"> </w:t>
      </w:r>
      <w:r>
        <w:rPr>
          <w:rStyle w:val="VerbatimChar"/>
        </w:rPr>
        <w:t xml:space="preserve">datos.json</w:t>
      </w:r>
      <w:r>
        <w:t xml:space="preserve">).</w:t>
      </w:r>
      <w:r>
        <w:t xml:space="preserve"> </w:t>
      </w:r>
      <w:r>
        <w:t xml:space="preserve">[13] De memoria, sin comprobar: mercado alcanzable, participación de Shopify y lista de agentes de marketing rivales.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2026-10-15T08:31:25Z</dcterms:created>
  <dcterms:modified xsi:type="dcterms:W3CDTF">2026-10-15T08:31:25Z</dcterms:modified>
</cp:coreProperties>
</file>

<file path=docProps/custom.xml><?xml version="1.0" encoding="utf-8"?>
<Properties xmlns="http://schemas.openxmlformats.org/officeDocument/2006/custom-properties" xmlns:vt="http://schemas.openxmlformats.org/officeDocument/2006/docPropsVTypes"/>
</file>