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a77aa45d8b51463b85fb035422847f86c0ad404"/>
    <w:p>
      <w:pPr>
        <w:pStyle w:val="Heading1"/>
      </w:pPr>
      <w:r>
        <w:t xml:space="preserve">Nordic Semiconductor (NOD, Bolsa de Oslo): análisis growth, 2026-10-15</w:t>
      </w:r>
    </w:p>
    <w:p>
      <w:pPr>
        <w:pStyle w:val="FirstParagraph"/>
      </w:pPr>
      <w:r>
        <w:rPr>
          <w:bCs/>
          <w:b/>
        </w:rPr>
        <w:t xml:space="preserve">Señal: Mantener (no comprar)</w:t>
      </w:r>
      <w:r>
        <w:t xml:space="preserve"> </w:t>
      </w:r>
      <w:r>
        <w:t xml:space="preserve">· Puntuación 67,7/100 · Señales de cambio de tendencia 4/8 · Método vigente v11</w:t>
      </w:r>
      <w:r>
        <w:t xml:space="preserve"> </w:t>
      </w:r>
      <w:r>
        <w:t xml:space="preserve">Precio 171,30 NOK (cierre del 14-oct) · Objetivo 12 m 164,7 NOK (ponderada −3,9 %, base −8,1 %, bajista −56,7 %, alcista +57,3 %) · Compra hasta 148,4 NOK</w:t>
      </w:r>
      <w:r>
        <w:t xml:space="preserve"> </w:t>
      </w:r>
      <w:r>
        <w:t xml:space="preserve">Con v9 (referencia): Comprar con convicción baja, ponderada +10,6 %, compra hasta 180 NOK. La diferencia es la proyección de ventas (sección 9).</w:t>
      </w:r>
      <w:r>
        <w:t xml:space="preserve"> </w:t>
      </w:r>
      <w:r>
        <w:t xml:space="preserve">Precio actual: 165,70 NOK (15-oct, 07:47 UTC, sesión abierta). Con el objetivo fijo, la ponderada a ese precio es −0,6 %.</w:t>
      </w:r>
      <w:r>
        <w:t xml:space="preserve"> </w:t>
      </w:r>
      <w:r>
        <w:t xml:space="preserve">Robustez: frágil; la señal robusta es Mantener.</w:t>
      </w:r>
      <w:r>
        <w:t xml:space="preserve"> </w:t>
      </w:r>
      <w:r>
        <w:t xml:space="preserve">Peso orientativo: no entra.</w:t>
      </w:r>
    </w:p>
    <w:p>
      <w:pPr>
        <w:pStyle w:val="BodyText"/>
      </w:pPr>
      <w:r>
        <w:t xml:space="preserve">Moneda: cotiza en coronas noruegas (NOK) y presenta las cuentas en dólares (USD). Las cifras de la valoración van en NOK, convertidas a 9,52 NOK por dólar (cierre del 14-oct). Las cifras del negocio se dan en USD, como las publica.</w:t>
      </w:r>
    </w:p>
    <w:bookmarkStart w:id="20" w:name="resumen-en-llano"/>
    <w:p>
      <w:pPr>
        <w:pStyle w:val="Heading2"/>
      </w:pPr>
      <w:r>
        <w:t xml:space="preserve">Resumen en llano</w:t>
      </w:r>
    </w:p>
    <w:p>
      <w:pPr>
        <w:pStyle w:val="FirstParagraph"/>
      </w:pPr>
      <w:r>
        <w:t xml:space="preserve">Nordic Semiconductor diseña los chips de radio de bajo consumo (Bluetooth de bajo consumo, sobre todo) que llevan relojes, auriculares, sensores médicos, mandos y aparatos domésticos conectados. Es la líder mundial en ese nicho. Ahora crece con fuerza: un 33 % en el último trimestre. Pero gran parte de ese crecimiento es la salida de un bache: en 2023 y 2024 sus clientes vaciaron almacenes y las ventas se hundieron. Las ventas de los últimos 12 meses apenas igualan las de 2022. El crecimiento de fondo, mirando un ciclo entero, ronda el 15 % al año. La bolsa ya paga unas 3,7 veces las ventas del próximo año, por encima de su mediana de tres años. Con las ventas que esperan los analistas, el método no ve rentabilidad. La señal es Mantener: no se compra, y solo sería compra por debajo de 148,4 NOK.</w:t>
      </w:r>
    </w:p>
    <w:bookmarkEnd w:id="20"/>
    <w:bookmarkStart w:id="21" w:name="la-tesis-en-cinco-líneas"/>
    <w:p>
      <w:pPr>
        <w:pStyle w:val="Heading2"/>
      </w:pPr>
      <w:r>
        <w:t xml:space="preserve">1. La tesis en cinco líneas</w:t>
      </w:r>
    </w:p>
    <w:p>
      <w:pPr>
        <w:numPr>
          <w:ilvl w:val="0"/>
          <w:numId w:val="1001"/>
        </w:numPr>
        <w:pStyle w:val="Compact"/>
      </w:pPr>
      <w:r>
        <w:t xml:space="preserve">Es la líder en chips Bluetooth de bajo consumo. Este negocio, el de corto alcance, es el 91 % de sus ventas. Tiene además radio celular para el internet de las cosas, wifi y gestión de energía.</w:t>
      </w:r>
    </w:p>
    <w:p>
      <w:pPr>
        <w:numPr>
          <w:ilvl w:val="0"/>
          <w:numId w:val="1001"/>
        </w:numPr>
        <w:pStyle w:val="Compact"/>
      </w:pPr>
      <w:r>
        <w:t xml:space="preserve">La nueva familia nRF54 (fabricada a 22 nm, con más memoria y menos consumo) es su motor de crecimiento. La versión nRF54LM20B lleva además un acelerador de IA propio.</w:t>
      </w:r>
    </w:p>
    <w:p>
      <w:pPr>
        <w:numPr>
          <w:ilvl w:val="0"/>
          <w:numId w:val="1001"/>
        </w:numPr>
        <w:pStyle w:val="Compact"/>
      </w:pPr>
      <w:r>
        <w:t xml:space="preserve">Ventas de 12 meses: 759,5 M USD, un 20,9 % más. Último trimestre: +33,2 %. Guía del 3T: +23 % a +34 %.</w:t>
      </w:r>
    </w:p>
    <w:p>
      <w:pPr>
        <w:numPr>
          <w:ilvl w:val="0"/>
          <w:numId w:val="1001"/>
        </w:numPr>
        <w:pStyle w:val="Compact"/>
      </w:pPr>
      <w:r>
        <w:t xml:space="preserve">Por qué no se compra: el crecimiento es en buena parte de ciclo, no de fondo. Con las ventas del consenso a dos años, el precio de hoy exige que el múltiplo no baje, y el método supone que baja al frenar el crecimiento.</w:t>
      </w:r>
    </w:p>
    <w:p>
      <w:pPr>
        <w:numPr>
          <w:ilvl w:val="0"/>
          <w:numId w:val="1001"/>
        </w:numPr>
        <w:pStyle w:val="Compact"/>
      </w:pPr>
      <w:r>
        <w:t xml:space="preserve">Lo que la haría compra: un precio por debajo de 148,4 NOK, o unas ventas de 2027 claramente por encima del consenso (más de 1.150 M USD).</w:t>
      </w:r>
    </w:p>
    <w:bookmarkEnd w:id="21"/>
    <w:bookmarkStart w:id="22" w:name="negocio-y-tecnología"/>
    <w:p>
      <w:pPr>
        <w:pStyle w:val="Heading2"/>
      </w:pPr>
      <w:r>
        <w:t xml:space="preserve">2. Negocio y tecnología</w:t>
      </w:r>
    </w:p>
    <w:p>
      <w:pPr>
        <w:pStyle w:val="FirstParagraph"/>
      </w:pPr>
      <w:r>
        <w:t xml:space="preserve">Nordic diseña chips sin fábrica propia (los fabrica TSMC). Vende sobre todo a fabricantes de aparatos de consumo y a empresas industriales y de salud [1]:</w:t>
      </w:r>
    </w:p>
    <w:p>
      <w:pPr>
        <w:numPr>
          <w:ilvl w:val="0"/>
          <w:numId w:val="1002"/>
        </w:numPr>
        <w:pStyle w:val="Compact"/>
      </w:pPr>
      <w:r>
        <w:t xml:space="preserve">Corto alcance (Bluetooth de bajo consumo, Thread, Matter, Zigbee): 200 M USD en el 2T26, un 29 % más.</w:t>
      </w:r>
    </w:p>
    <w:p>
      <w:pPr>
        <w:numPr>
          <w:ilvl w:val="0"/>
          <w:numId w:val="1002"/>
        </w:numPr>
        <w:pStyle w:val="Compact"/>
      </w:pPr>
      <w:r>
        <w:t xml:space="preserve">Largo alcance (celular para el internet de las cosas y servicios en la nube nRF Cloud): 15 M, casi el doble.</w:t>
      </w:r>
    </w:p>
    <w:p>
      <w:pPr>
        <w:numPr>
          <w:ilvl w:val="0"/>
          <w:numId w:val="1002"/>
        </w:numPr>
        <w:pStyle w:val="Compact"/>
      </w:pPr>
      <w:r>
        <w:t xml:space="preserve">Otros (gestión de energía y kits de desarrollo): 4 M.</w:t>
      </w:r>
    </w:p>
    <w:p>
      <w:pPr>
        <w:numPr>
          <w:ilvl w:val="0"/>
          <w:numId w:val="1002"/>
        </w:numPr>
        <w:pStyle w:val="Compact"/>
      </w:pPr>
      <w:r>
        <w:t xml:space="preserve">Por mercado final, en el 2T26: consumo 125 M (+25 %) e industria y salud 86 M (+45 %) [4].</w:t>
      </w:r>
    </w:p>
    <w:p>
      <w:pPr>
        <w:pStyle w:val="FirstParagraph"/>
      </w:pPr>
      <w:r>
        <w:rPr>
          <w:bCs/>
          <w:b/>
        </w:rPr>
        <w:t xml:space="preserve">Qué tiene de nuevo.</w:t>
      </w:r>
      <w:r>
        <w:t xml:space="preserve"> </w:t>
      </w:r>
      <w:r>
        <w:t xml:space="preserve">- La serie nRF54 consume menos y tiene más capacidad de cálculo que la nRF52, que ha sido su producto estrella diez años.</w:t>
      </w:r>
      <w:r>
        <w:t xml:space="preserve"> </w:t>
      </w:r>
      <w:r>
        <w:t xml:space="preserve">- El nRF54LM20B, disponible desde marzo de 2026, integra el acelerador Axon. Viene de la compra de Atlazo en 2023 y permite ejecutar modelos de IA pequeños en el propio aparato [17].</w:t>
      </w:r>
      <w:r>
        <w:t xml:space="preserve"> </w:t>
      </w:r>
      <w:r>
        <w:t xml:space="preserve">- En 2025 compró Memfault (una plataforma en la nube para gestionar aparatos conectados) y Neuton.ai (modelos de IA diminutos). Con ellas vende del chip a la nube [8].</w:t>
      </w:r>
    </w:p>
    <w:bookmarkEnd w:id="22"/>
    <w:bookmarkStart w:id="23" w:name="crecimiento"/>
    <w:p>
      <w:pPr>
        <w:pStyle w:val="Heading2"/>
      </w:pPr>
      <w:r>
        <w:t xml:space="preserve">3. Crecimiento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Crecimiento interanual</w:t>
            </w:r>
          </w:p>
        </w:tc>
      </w:tr>
      <w:tr>
        <w:tc>
          <w:tcPr/>
          <w:p>
            <w:pPr>
              <w:pStyle w:val="Compact"/>
              <w:jc w:val="left"/>
            </w:pPr>
            <w:r>
              <w:t xml:space="preserve">1T24</w:t>
            </w:r>
          </w:p>
        </w:tc>
        <w:tc>
          <w:tcPr/>
          <w:p>
            <w:pPr>
              <w:pStyle w:val="Compact"/>
              <w:jc w:val="left"/>
            </w:pPr>
            <w:r>
              <w:t xml:space="preserve">74,5</w:t>
            </w:r>
          </w:p>
        </w:tc>
        <w:tc>
          <w:tcPr/>
          <w:p>
            <w:pPr>
              <w:pStyle w:val="Compact"/>
              <w:jc w:val="left"/>
            </w:pPr>
            <w:r>
              <w:t xml:space="preserve">−49 %</w:t>
            </w:r>
          </w:p>
        </w:tc>
      </w:tr>
      <w:tr>
        <w:tc>
          <w:tcPr/>
          <w:p>
            <w:pPr>
              <w:pStyle w:val="Compact"/>
              <w:jc w:val="left"/>
            </w:pPr>
            <w:r>
              <w:t xml:space="preserve">2T24</w:t>
            </w:r>
          </w:p>
        </w:tc>
        <w:tc>
          <w:tcPr/>
          <w:p>
            <w:pPr>
              <w:pStyle w:val="Compact"/>
              <w:jc w:val="left"/>
            </w:pPr>
            <w:r>
              <w:t xml:space="preserve">128,0</w:t>
            </w:r>
          </w:p>
        </w:tc>
        <w:tc>
          <w:tcPr/>
          <w:p>
            <w:pPr>
              <w:pStyle w:val="Compact"/>
              <w:jc w:val="left"/>
            </w:pPr>
            <w:r>
              <w:t xml:space="preserve">−17 %</w:t>
            </w:r>
          </w:p>
        </w:tc>
      </w:tr>
      <w:tr>
        <w:tc>
          <w:tcPr/>
          <w:p>
            <w:pPr>
              <w:pStyle w:val="Compact"/>
              <w:jc w:val="left"/>
            </w:pPr>
            <w:r>
              <w:t xml:space="preserve">3T24</w:t>
            </w:r>
          </w:p>
        </w:tc>
        <w:tc>
          <w:tcPr/>
          <w:p>
            <w:pPr>
              <w:pStyle w:val="Compact"/>
              <w:jc w:val="left"/>
            </w:pPr>
            <w:r>
              <w:t xml:space="preserve">158,8</w:t>
            </w:r>
          </w:p>
        </w:tc>
        <w:tc>
          <w:tcPr/>
          <w:p>
            <w:pPr>
              <w:pStyle w:val="Compact"/>
              <w:jc w:val="left"/>
            </w:pPr>
            <w:r>
              <w:t xml:space="preserve">+18 %</w:t>
            </w:r>
          </w:p>
        </w:tc>
      </w:tr>
      <w:tr>
        <w:tc>
          <w:tcPr/>
          <w:p>
            <w:pPr>
              <w:pStyle w:val="Compact"/>
              <w:jc w:val="left"/>
            </w:pPr>
            <w:r>
              <w:t xml:space="preserve">4T24</w:t>
            </w:r>
          </w:p>
        </w:tc>
        <w:tc>
          <w:tcPr/>
          <w:p>
            <w:pPr>
              <w:pStyle w:val="Compact"/>
              <w:jc w:val="left"/>
            </w:pPr>
            <w:r>
              <w:t xml:space="preserve">150,2</w:t>
            </w:r>
          </w:p>
        </w:tc>
        <w:tc>
          <w:tcPr/>
          <w:p>
            <w:pPr>
              <w:pStyle w:val="Compact"/>
              <w:jc w:val="left"/>
            </w:pPr>
            <w:r>
              <w:t xml:space="preserve">+39 %</w:t>
            </w:r>
          </w:p>
        </w:tc>
      </w:tr>
      <w:tr>
        <w:tc>
          <w:tcPr/>
          <w:p>
            <w:pPr>
              <w:pStyle w:val="Compact"/>
              <w:jc w:val="left"/>
            </w:pPr>
            <w:r>
              <w:t xml:space="preserve">1T25</w:t>
            </w:r>
          </w:p>
        </w:tc>
        <w:tc>
          <w:tcPr/>
          <w:p>
            <w:pPr>
              <w:pStyle w:val="Compact"/>
              <w:jc w:val="left"/>
            </w:pPr>
            <w:r>
              <w:t xml:space="preserve">155,1</w:t>
            </w:r>
          </w:p>
        </w:tc>
        <w:tc>
          <w:tcPr/>
          <w:p>
            <w:pPr>
              <w:pStyle w:val="Compact"/>
              <w:jc w:val="left"/>
            </w:pPr>
            <w:r>
              <w:t xml:space="preserve">+108 %</w:t>
            </w:r>
          </w:p>
        </w:tc>
      </w:tr>
      <w:tr>
        <w:tc>
          <w:tcPr/>
          <w:p>
            <w:pPr>
              <w:pStyle w:val="Compact"/>
              <w:jc w:val="left"/>
            </w:pPr>
            <w:r>
              <w:t xml:space="preserve">2T25</w:t>
            </w:r>
          </w:p>
        </w:tc>
        <w:tc>
          <w:tcPr/>
          <w:p>
            <w:pPr>
              <w:pStyle w:val="Compact"/>
              <w:jc w:val="left"/>
            </w:pPr>
            <w:r>
              <w:t xml:space="preserve">164,1</w:t>
            </w:r>
          </w:p>
        </w:tc>
        <w:tc>
          <w:tcPr/>
          <w:p>
            <w:pPr>
              <w:pStyle w:val="Compact"/>
              <w:jc w:val="left"/>
            </w:pPr>
            <w:r>
              <w:t xml:space="preserve">+28 %</w:t>
            </w:r>
          </w:p>
        </w:tc>
      </w:tr>
      <w:tr>
        <w:tc>
          <w:tcPr/>
          <w:p>
            <w:pPr>
              <w:pStyle w:val="Compact"/>
              <w:jc w:val="left"/>
            </w:pPr>
            <w:r>
              <w:t xml:space="preserve">3T25</w:t>
            </w:r>
          </w:p>
        </w:tc>
        <w:tc>
          <w:tcPr/>
          <w:p>
            <w:pPr>
              <w:pStyle w:val="Compact"/>
              <w:jc w:val="left"/>
            </w:pPr>
            <w:r>
              <w:t xml:space="preserve">179,0</w:t>
            </w:r>
          </w:p>
        </w:tc>
        <w:tc>
          <w:tcPr/>
          <w:p>
            <w:pPr>
              <w:pStyle w:val="Compact"/>
              <w:jc w:val="left"/>
            </w:pPr>
            <w:r>
              <w:t xml:space="preserve">+13 %</w:t>
            </w:r>
          </w:p>
        </w:tc>
      </w:tr>
      <w:tr>
        <w:tc>
          <w:tcPr/>
          <w:p>
            <w:pPr>
              <w:pStyle w:val="Compact"/>
              <w:jc w:val="left"/>
            </w:pPr>
            <w:r>
              <w:t xml:space="preserve">4T25</w:t>
            </w:r>
          </w:p>
        </w:tc>
        <w:tc>
          <w:tcPr/>
          <w:p>
            <w:pPr>
              <w:pStyle w:val="Compact"/>
              <w:jc w:val="left"/>
            </w:pPr>
            <w:r>
              <w:t xml:space="preserve">169,5</w:t>
            </w:r>
          </w:p>
        </w:tc>
        <w:tc>
          <w:tcPr/>
          <w:p>
            <w:pPr>
              <w:pStyle w:val="Compact"/>
              <w:jc w:val="left"/>
            </w:pPr>
            <w:r>
              <w:t xml:space="preserve">+13 %</w:t>
            </w:r>
          </w:p>
        </w:tc>
      </w:tr>
      <w:tr>
        <w:tc>
          <w:tcPr/>
          <w:p>
            <w:pPr>
              <w:pStyle w:val="Compact"/>
              <w:jc w:val="left"/>
            </w:pPr>
            <w:r>
              <w:t xml:space="preserve">1T26</w:t>
            </w:r>
          </w:p>
        </w:tc>
        <w:tc>
          <w:tcPr/>
          <w:p>
            <w:pPr>
              <w:pStyle w:val="Compact"/>
              <w:jc w:val="left"/>
            </w:pPr>
            <w:r>
              <w:t xml:space="preserve">192,4</w:t>
            </w:r>
          </w:p>
        </w:tc>
        <w:tc>
          <w:tcPr/>
          <w:p>
            <w:pPr>
              <w:pStyle w:val="Compact"/>
              <w:jc w:val="left"/>
            </w:pPr>
            <w:r>
              <w:t xml:space="preserve">+24 %</w:t>
            </w:r>
          </w:p>
        </w:tc>
      </w:tr>
      <w:tr>
        <w:tc>
          <w:tcPr/>
          <w:p>
            <w:pPr>
              <w:pStyle w:val="Compact"/>
              <w:jc w:val="left"/>
            </w:pPr>
            <w:r>
              <w:t xml:space="preserve">2T26</w:t>
            </w:r>
          </w:p>
        </w:tc>
        <w:tc>
          <w:tcPr/>
          <w:p>
            <w:pPr>
              <w:pStyle w:val="Compact"/>
              <w:jc w:val="left"/>
            </w:pPr>
            <w:r>
              <w:t xml:space="preserve">218,6</w:t>
            </w:r>
          </w:p>
        </w:tc>
        <w:tc>
          <w:tcPr/>
          <w:p>
            <w:pPr>
              <w:pStyle w:val="Compact"/>
              <w:jc w:val="left"/>
            </w:pPr>
            <w:r>
              <w:t xml:space="preserve">+33 %</w:t>
            </w:r>
          </w:p>
        </w:tc>
      </w:tr>
      <w:tr>
        <w:tc>
          <w:tcPr/>
          <w:p>
            <w:pPr>
              <w:pStyle w:val="Compact"/>
              <w:jc w:val="left"/>
            </w:pPr>
            <w:r>
              <w:t xml:space="preserve">3T26 (guía)</w:t>
            </w:r>
          </w:p>
        </w:tc>
        <w:tc>
          <w:tcPr/>
          <w:p>
            <w:pPr>
              <w:pStyle w:val="Compact"/>
              <w:jc w:val="left"/>
            </w:pPr>
            <w:r>
              <w:t xml:space="preserve">220-240</w:t>
            </w:r>
          </w:p>
        </w:tc>
        <w:tc>
          <w:tcPr/>
          <w:p>
            <w:pPr>
              <w:pStyle w:val="Compact"/>
              <w:jc w:val="left"/>
            </w:pPr>
            <w:r>
              <w:t xml:space="preserve">+23 % a +34 %</w:t>
            </w:r>
          </w:p>
        </w:tc>
      </w:tr>
    </w:tbl>
    <w:p>
      <w:pPr>
        <w:pStyle w:val="BodyText"/>
      </w:pPr>
      <w:r>
        <w:t xml:space="preserve">Fuente: cuentas trimestrales y nota del 2T26 [1][2].</w:t>
      </w:r>
    </w:p>
    <w:p>
      <w:pPr>
        <w:numPr>
          <w:ilvl w:val="0"/>
          <w:numId w:val="1003"/>
        </w:numPr>
        <w:pStyle w:val="Compact"/>
      </w:pPr>
      <w:r>
        <w:rPr>
          <w:bCs/>
          <w:b/>
        </w:rPr>
        <w:t xml:space="preserve">Últimos 12 meses:</w:t>
      </w:r>
      <w:r>
        <w:t xml:space="preserve"> </w:t>
      </w:r>
      <w:r>
        <w:t xml:space="preserve">759,5 M USD, un 20,9 % más.</w:t>
      </w:r>
    </w:p>
    <w:p>
      <w:pPr>
        <w:numPr>
          <w:ilvl w:val="0"/>
          <w:numId w:val="1003"/>
        </w:numPr>
        <w:pStyle w:val="Compact"/>
      </w:pPr>
      <w:r>
        <w:rPr>
          <w:bCs/>
          <w:b/>
        </w:rPr>
        <w:t xml:space="preserve">Aceleración:</w:t>
      </w:r>
      <w:r>
        <w:t xml:space="preserve"> </w:t>
      </w:r>
      <w:r>
        <w:t xml:space="preserve">+13,7 puntos (33,2 % en el último trimestre frente a una media del 19,5 % en los cuatro anteriores).</w:t>
      </w:r>
    </w:p>
    <w:p>
      <w:pPr>
        <w:numPr>
          <w:ilvl w:val="0"/>
          <w:numId w:val="1003"/>
        </w:numPr>
        <w:pStyle w:val="Compact"/>
      </w:pPr>
      <w:r>
        <w:rPr>
          <w:bCs/>
          <w:b/>
        </w:rPr>
        <w:t xml:space="preserve">CAGR a 2 años:</w:t>
      </w:r>
      <w:r>
        <w:t xml:space="preserve"> </w:t>
      </w:r>
      <w:r>
        <w:t xml:space="preserve">+30,5 %, pero medido desde el valle de 2024.</w:t>
      </w:r>
    </w:p>
    <w:p>
      <w:pPr>
        <w:numPr>
          <w:ilvl w:val="0"/>
          <w:numId w:val="1003"/>
        </w:numPr>
        <w:pStyle w:val="Compact"/>
      </w:pPr>
      <w:r>
        <w:rPr>
          <w:bCs/>
          <w:b/>
        </w:rPr>
        <w:t xml:space="preserve">Guía:</w:t>
      </w:r>
      <w:r>
        <w:t xml:space="preserve"> </w:t>
      </w:r>
      <w:r>
        <w:t xml:space="preserve">solo trimestral. La ambición a medio plazo es crecer más de un 20 % al año de media de 2024 a 2030 [5][6].</w:t>
      </w:r>
    </w:p>
    <w:p>
      <w:pPr>
        <w:numPr>
          <w:ilvl w:val="0"/>
          <w:numId w:val="1003"/>
        </w:numPr>
        <w:pStyle w:val="Compact"/>
      </w:pPr>
      <w:r>
        <w:rPr>
          <w:bCs/>
          <w:b/>
        </w:rPr>
        <w:t xml:space="preserve">Consenso</w:t>
      </w:r>
      <w:r>
        <w:t xml:space="preserve"> </w:t>
      </w:r>
      <w:r>
        <w:t xml:space="preserve">(15 analistas): 836,9 M USD en 2026 (+25 %) y 994,6 M en 2027 (+19 %) [10].</w:t>
      </w:r>
    </w:p>
    <w:p>
      <w:pPr>
        <w:pStyle w:val="FirstParagraph"/>
      </w:pPr>
      <w:r>
        <w:rPr>
          <w:bCs/>
          <w:b/>
        </w:rPr>
        <w:t xml:space="preserve">Ciclo frente a crecimiento de fondo.</w:t>
      </w:r>
      <w:r>
        <w:t xml:space="preserve"> </w:t>
      </w:r>
      <w:r>
        <w:t xml:space="preserve">Es la clave de este informe.</w:t>
      </w:r>
      <w:r>
        <w:t xml:space="preserve"> </w:t>
      </w:r>
      <w:r>
        <w:t xml:space="preserve">- Las ventas de 2022, antes del bache, fueron de unos 762 M USD (de memoria). Las de los últimos 12 meses son 759,5 M: en cuatro años no ha crecido.</w:t>
      </w:r>
      <w:r>
        <w:t xml:space="preserve"> </w:t>
      </w:r>
      <w:r>
        <w:t xml:space="preserve">- De 2019 (unos 287 M, de memoria) a 2025 (667,6 M), el crecimiento medio es de un 15 % al año. Ese es el crecimiento de fondo a lo largo de un ciclo.</w:t>
      </w:r>
      <w:r>
        <w:t xml:space="preserve"> </w:t>
      </w:r>
      <w:r>
        <w:t xml:space="preserve">- La parte de ciclo se ve en el +108 % del 1T25 y en el +30,5 % de CAGR a dos años. La parte de fondo es la nRF54, la cuota que gana en el mercado amplio (miles de clientes pequeños) y los negocios nuevos (largo alcance y wifi).</w:t>
      </w:r>
      <w:r>
        <w:t xml:space="preserve"> </w:t>
      </w:r>
      <w:r>
        <w:t xml:space="preserve">- Las compras de Memfault y Neuton.ai son pequeñas. Ya están en las ventas de 12 meses y no mueven el crecimiento de los 12 meses siguientes más de 2 puntos, así que no hace falta corregir el orgánico.</w:t>
      </w:r>
    </w:p>
    <w:bookmarkEnd w:id="23"/>
    <w:bookmarkStart w:id="24" w:name="mercado-y-competencia"/>
    <w:p>
      <w:pPr>
        <w:pStyle w:val="Heading2"/>
      </w:pPr>
      <w:r>
        <w:t xml:space="preserve">4. Mercado y competencia</w:t>
      </w:r>
    </w:p>
    <w:p>
      <w:pPr>
        <w:pStyle w:val="FirstParagraph"/>
      </w:pPr>
      <w:r>
        <w:rPr>
          <w:bCs/>
          <w:b/>
        </w:rPr>
        <w:t xml:space="preserve">Tamaño.</w:t>
      </w:r>
      <w:r>
        <w:t xml:space="preserve"> </w:t>
      </w:r>
      <w:r>
        <w:t xml:space="preserve">La empresa da el mercado en unidades, no en dinero. Espera que el Bluetooth de bajo consumo crezca un 20 % al año y Thread un 28 % en unidades de 2024 a 2028 [6]. El mercado alcanzable en dinero se estima en unos 10.000 M USD en 2028 (estimación propia): chips de radio de bajo consumo y gestión de energía. Penetración actual: 7,6 %.</w:t>
      </w:r>
    </w:p>
    <w:p>
      <w:pPr>
        <w:pStyle w:val="BodyText"/>
      </w:pPr>
      <w:r>
        <w:rPr>
          <w:bCs/>
          <w:b/>
        </w:rPr>
        <w:t xml:space="preserve">Rivales.</w:t>
      </w:r>
      <w:r>
        <w:t xml:space="preserve"> </w:t>
      </w:r>
      <w:r>
        <w:t xml:space="preserve">- Silicon Labs, el segundo del nicho, que Texas Instruments compra por unos 7.500 M USD (cierre previsto en el primer semestre de 2027) [15].</w:t>
      </w:r>
      <w:r>
        <w:t xml:space="preserve"> </w:t>
      </w:r>
      <w:r>
        <w:t xml:space="preserve">- Texas Instruments, NXP, STMicroelectronics, Infineon y Renesas.</w:t>
      </w:r>
      <w:r>
        <w:t xml:space="preserve"> </w:t>
      </w:r>
      <w:r>
        <w:t xml:space="preserve">- Fabricantes chinos baratos: Espressif, Telink y Bestechnic.</w:t>
      </w:r>
    </w:p>
    <w:p>
      <w:pPr>
        <w:pStyle w:val="BodyText"/>
      </w:pPr>
      <w:r>
        <w:rPr>
          <w:bCs/>
          <w:b/>
        </w:rPr>
        <w:t xml:space="preserve">Por qué gana.</w:t>
      </w:r>
      <w:r>
        <w:t xml:space="preserve"> </w:t>
      </w:r>
      <w:r>
        <w:t xml:space="preserve">- Es la líder en Bluetooth de bajo consumo y tiene un entorno de desarrollo (nRF Connect) muy usado por los ingenieros. Cambiar de chip obliga a rehacer software y certificaciones.</w:t>
      </w:r>
      <w:r>
        <w:t xml:space="preserve"> </w:t>
      </w:r>
      <w:r>
        <w:t xml:space="preserve">- La nRF54 llega antes que muchos rivales a 22 nm.</w:t>
      </w:r>
      <w:r>
        <w:t xml:space="preserve"> </w:t>
      </w:r>
      <w:r>
        <w:t xml:space="preserve">- La compra de Silicon Labs por TI puede hacer que algunos clientes busquen un proveedor independiente.</w:t>
      </w:r>
    </w:p>
    <w:p>
      <w:pPr>
        <w:pStyle w:val="BodyText"/>
      </w:pPr>
      <w:r>
        <w:rPr>
          <w:bCs/>
          <w:b/>
        </w:rPr>
        <w:t xml:space="preserve">Riesgo competitivo.</w:t>
      </w:r>
      <w:r>
        <w:t xml:space="preserve"> </w:t>
      </w:r>
      <w:r>
        <w:t xml:space="preserve">Los chips chinos presionan los precios en consumo. TI tendrá, con Silicon Labs, más escala y canal comercial.</w:t>
      </w:r>
    </w:p>
    <w:bookmarkEnd w:id="24"/>
    <w:bookmarkStart w:id="25"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r>
      <w:tr>
        <w:tc>
          <w:tcPr/>
          <w:p>
            <w:pPr>
              <w:pStyle w:val="Compact"/>
              <w:jc w:val="left"/>
            </w:pPr>
            <w:r>
              <w:t xml:space="preserve">1. Revisiones al alza</w:t>
            </w:r>
          </w:p>
        </w:tc>
        <w:tc>
          <w:tcPr/>
          <w:p>
            <w:pPr>
              <w:pStyle w:val="Compact"/>
              <w:jc w:val="left"/>
            </w:pPr>
            <w:r>
              <w:t xml:space="preserve">No</w:t>
            </w:r>
          </w:p>
        </w:tc>
        <w:tc>
          <w:tcPr/>
          <w:p>
            <w:pPr>
              <w:pStyle w:val="Compact"/>
              <w:jc w:val="left"/>
            </w:pPr>
            <w:r>
              <w:t xml:space="preserve">Precio objetivo medio de 196,09 NOK, por debajo de unos 202 en abril; recomendaciones sin cambios desde mayo [10][13]</w:t>
            </w:r>
          </w:p>
        </w:tc>
      </w:tr>
      <w:tr>
        <w:tc>
          <w:tcPr/>
          <w:p>
            <w:pPr>
              <w:pStyle w:val="Compact"/>
              <w:jc w:val="left"/>
            </w:pPr>
            <w:r>
              <w:t xml:space="preserve">2. Precio sobre la media de 200 sesiones</w:t>
            </w:r>
          </w:p>
        </w:tc>
        <w:tc>
          <w:tcPr/>
          <w:p>
            <w:pPr>
              <w:pStyle w:val="Compact"/>
              <w:jc w:val="left"/>
            </w:pPr>
            <w:r>
              <w:t xml:space="preserve">Sí</w:t>
            </w:r>
          </w:p>
        </w:tc>
        <w:tc>
          <w:tcPr/>
          <w:p>
            <w:pPr>
              <w:pStyle w:val="Compact"/>
              <w:jc w:val="left"/>
            </w:pPr>
            <w:r>
              <w:t xml:space="preserve">171,30 frente a 166,4 NOK, y la media sube. Ojo: el precio de esta mañana ya está por debajo [11]</w:t>
            </w:r>
          </w:p>
        </w:tc>
      </w:tr>
      <w:tr>
        <w:tc>
          <w:tcPr/>
          <w:p>
            <w:pPr>
              <w:pStyle w:val="Compact"/>
              <w:jc w:val="left"/>
            </w:pPr>
            <w:r>
              <w:t xml:space="preserve">3. Fuerza relativa a 6 meses</w:t>
            </w:r>
          </w:p>
        </w:tc>
        <w:tc>
          <w:tcPr/>
          <w:p>
            <w:pPr>
              <w:pStyle w:val="Compact"/>
              <w:jc w:val="left"/>
            </w:pPr>
            <w:r>
              <w:t xml:space="preserve">No</w:t>
            </w:r>
          </w:p>
        </w:tc>
        <w:tc>
          <w:tcPr/>
          <w:p>
            <w:pPr>
              <w:pStyle w:val="Compact"/>
              <w:jc w:val="left"/>
            </w:pPr>
            <w:r>
              <w:t xml:space="preserve">+0,9 %, frente a +26,5 % de los semiconductores (SOX) y +14,4 % del Nasdaq-100 [11]</w:t>
            </w:r>
          </w:p>
        </w:tc>
      </w:tr>
      <w:tr>
        <w:tc>
          <w:tcPr/>
          <w:p>
            <w:pPr>
              <w:pStyle w:val="Compact"/>
              <w:jc w:val="left"/>
            </w:pPr>
            <w:r>
              <w:t xml:space="preserve">4. Mejora de múltiplo</w:t>
            </w:r>
          </w:p>
        </w:tc>
        <w:tc>
          <w:tcPr/>
          <w:p>
            <w:pPr>
              <w:pStyle w:val="Compact"/>
              <w:jc w:val="left"/>
            </w:pPr>
            <w:r>
              <w:t xml:space="preserve">Sí</w:t>
            </w:r>
          </w:p>
        </w:tc>
        <w:tc>
          <w:tcPr/>
          <w:p>
            <w:pPr>
              <w:pStyle w:val="Compact"/>
              <w:jc w:val="left"/>
            </w:pPr>
            <w:r>
              <w:t xml:space="preserve">EV/ventas de los próximos 12 meses de 3,65x, frente a 2,86x en diciembre de 2025: un 28 % más [2][11]</w:t>
            </w:r>
          </w:p>
        </w:tc>
      </w:tr>
      <w:tr>
        <w:tc>
          <w:tcPr/>
          <w:p>
            <w:pPr>
              <w:pStyle w:val="Compact"/>
              <w:jc w:val="left"/>
            </w:pPr>
            <w:r>
              <w:t xml:space="preserve">5. Inflexión operativa</w:t>
            </w:r>
          </w:p>
        </w:tc>
        <w:tc>
          <w:tcPr/>
          <w:p>
            <w:pPr>
              <w:pStyle w:val="Compact"/>
              <w:jc w:val="left"/>
            </w:pPr>
            <w:r>
              <w:t xml:space="preserve">No</w:t>
            </w:r>
          </w:p>
        </w:tc>
        <w:tc>
          <w:tcPr/>
          <w:p>
            <w:pPr>
              <w:pStyle w:val="Compact"/>
              <w:jc w:val="left"/>
            </w:pPr>
            <w:r>
              <w:t xml:space="preserve">El margen operativo mejora 3,2 puntos (10,2 % frente a 7,0 %), por debajo de los 5 que pide el método [2]</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Cae un 17 % desde el máximo de mayo; DNB la sacó de su cartera recomendada y Jefferies la bajó a mantener [14][18]</w:t>
            </w:r>
          </w:p>
        </w:tc>
      </w:tr>
      <w:tr>
        <w:tc>
          <w:tcPr/>
          <w:p>
            <w:pPr>
              <w:pStyle w:val="Compact"/>
              <w:jc w:val="left"/>
            </w:pPr>
            <w:r>
              <w:t xml:space="preserve">7. Compras de directivos</w:t>
            </w:r>
          </w:p>
        </w:tc>
        <w:tc>
          <w:tcPr/>
          <w:p>
            <w:pPr>
              <w:pStyle w:val="Compact"/>
              <w:jc w:val="left"/>
            </w:pPr>
            <w:r>
              <w:t xml:space="preserve">Sí</w:t>
            </w:r>
          </w:p>
        </w:tc>
        <w:tc>
          <w:tcPr/>
          <w:p>
            <w:pPr>
              <w:pStyle w:val="Compact"/>
              <w:jc w:val="left"/>
            </w:pPr>
            <w:r>
              <w:t xml:space="preserve">Compras del presidente (febrero y mayo), de un consejero y de un directivo (7-ago), en importes pequeños [9]</w:t>
            </w:r>
          </w:p>
        </w:tc>
      </w:tr>
      <w:tr>
        <w:tc>
          <w:tcPr/>
          <w:p>
            <w:pPr>
              <w:pStyle w:val="Compact"/>
              <w:jc w:val="left"/>
            </w:pPr>
            <w:r>
              <w:t xml:space="preserve">8. Catalizador nuevo</w:t>
            </w:r>
          </w:p>
        </w:tc>
        <w:tc>
          <w:tcPr/>
          <w:p>
            <w:pPr>
              <w:pStyle w:val="Compact"/>
              <w:jc w:val="left"/>
            </w:pPr>
            <w:r>
              <w:t xml:space="preserve">Sí</w:t>
            </w:r>
          </w:p>
        </w:tc>
        <w:tc>
          <w:tcPr/>
          <w:p>
            <w:pPr>
              <w:pStyle w:val="Compact"/>
              <w:jc w:val="left"/>
            </w:pPr>
            <w:r>
              <w:t xml:space="preserve">Resultados del 3T el 22-oct; despegue de la nRF54; integración de Silicon Labs en TI [5][15][17]</w:t>
            </w:r>
          </w:p>
        </w:tc>
      </w:tr>
    </w:tbl>
    <w:p>
      <w:pPr>
        <w:pStyle w:val="BodyText"/>
      </w:pPr>
      <w:r>
        <w:rPr>
          <w:bCs/>
          <w:b/>
        </w:rPr>
        <w:t xml:space="preserve">Euforia: no.</w:t>
      </w:r>
      <w:r>
        <w:t xml:space="preserve"> </w:t>
      </w:r>
      <w:r>
        <w:t xml:space="preserve">Sube un 8,3 % en 12 meses y un 0,9 % en 6 meses.</w:t>
      </w:r>
    </w:p>
    <w:bookmarkEnd w:id="25"/>
    <w:bookmarkStart w:id="26"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w:t>
      </w:r>
      <w:r>
        <w:t xml:space="preserve"> </w:t>
      </w:r>
      <w:r>
        <w:t xml:space="preserve">53,0 % en 12 meses, por encima de su objetivo del 50 % [2].</w:t>
      </w:r>
    </w:p>
    <w:p>
      <w:pPr>
        <w:numPr>
          <w:ilvl w:val="0"/>
          <w:numId w:val="1004"/>
        </w:numPr>
        <w:pStyle w:val="Compact"/>
      </w:pPr>
      <w:r>
        <w:rPr>
          <w:bCs/>
          <w:b/>
        </w:rPr>
        <w:t xml:space="preserve">Margen operativo:</w:t>
      </w:r>
      <w:r>
        <w:t xml:space="preserve"> </w:t>
      </w:r>
      <w:r>
        <w:t xml:space="preserve">10,2 % en el 2T26. Ya gana dinero, pero aún lejos de su objetivo de un 25 % de margen EBITDA (16,6 % ajustado en el 2T26) [1][4].</w:t>
      </w:r>
    </w:p>
    <w:p>
      <w:pPr>
        <w:numPr>
          <w:ilvl w:val="0"/>
          <w:numId w:val="1004"/>
        </w:numPr>
        <w:pStyle w:val="Compact"/>
      </w:pPr>
      <w:r>
        <w:rPr>
          <w:bCs/>
          <w:b/>
        </w:rPr>
        <w:t xml:space="preserve">Caja libre (FCF):</w:t>
      </w:r>
      <w:r>
        <w:t xml:space="preserve"> </w:t>
      </w:r>
      <w:r>
        <w:t xml:space="preserve">2,5 M USD en 12 meses, el 0,3 % de las ventas. Es poco porque compró inventario a propósito: pasó de 136 a 217 M USD en un año [3][4]. Hace un año el FCF era de 127 M.</w:t>
      </w:r>
    </w:p>
    <w:p>
      <w:pPr>
        <w:numPr>
          <w:ilvl w:val="0"/>
          <w:numId w:val="1004"/>
        </w:numPr>
        <w:pStyle w:val="Compact"/>
      </w:pPr>
      <w:r>
        <w:rPr>
          <w:bCs/>
          <w:b/>
        </w:rPr>
        <w:t xml:space="preserve">Regla del 40:</w:t>
      </w:r>
      <w:r>
        <w:t xml:space="preserve"> </w:t>
      </w:r>
      <w:r>
        <w:t xml:space="preserve">21 (crecimiento del 20,9 % más un margen FCF del 0,3 %). Es floja por el inventario.</w:t>
      </w:r>
    </w:p>
    <w:bookmarkEnd w:id="26"/>
    <w:bookmarkStart w:id="27" w:name="caja-deuda-y-dilución"/>
    <w:p>
      <w:pPr>
        <w:pStyle w:val="Heading2"/>
      </w:pPr>
      <w:r>
        <w:t xml:space="preserve">7. Caja, deuda y dilución</w:t>
      </w:r>
    </w:p>
    <w:p>
      <w:pPr>
        <w:numPr>
          <w:ilvl w:val="0"/>
          <w:numId w:val="1005"/>
        </w:numPr>
        <w:pStyle w:val="Compact"/>
      </w:pPr>
      <w:r>
        <w:rPr>
          <w:bCs/>
          <w:b/>
        </w:rPr>
        <w:t xml:space="preserve">Caja:</w:t>
      </w:r>
      <w:r>
        <w:t xml:space="preserve"> </w:t>
      </w:r>
      <w:r>
        <w:t xml:space="preserve">276 M USD.</w:t>
      </w:r>
      <w:r>
        <w:t xml:space="preserve"> </w:t>
      </w:r>
      <w:r>
        <w:rPr>
          <w:bCs/>
          <w:b/>
        </w:rPr>
        <w:t xml:space="preserve">Deuda con intereses y arrendamientos:</w:t>
      </w:r>
      <w:r>
        <w:t xml:space="preserve"> </w:t>
      </w:r>
      <w:r>
        <w:t xml:space="preserve">162 M. Caja neta de 115 M [3].</w:t>
      </w:r>
    </w:p>
    <w:p>
      <w:pPr>
        <w:numPr>
          <w:ilvl w:val="0"/>
          <w:numId w:val="1005"/>
        </w:numPr>
        <w:pStyle w:val="Compact"/>
      </w:pPr>
      <w:r>
        <w:rPr>
          <w:bCs/>
          <w:b/>
        </w:rPr>
        <w:t xml:space="preserve">Pista de caja:</w:t>
      </w:r>
      <w:r>
        <w:t xml:space="preserve"> </w:t>
      </w:r>
      <w:r>
        <w:t xml:space="preserve">genera caja.</w:t>
      </w:r>
    </w:p>
    <w:p>
      <w:pPr>
        <w:numPr>
          <w:ilvl w:val="0"/>
          <w:numId w:val="1005"/>
        </w:numPr>
        <w:pStyle w:val="Compact"/>
      </w:pPr>
      <w:r>
        <w:rPr>
          <w:bCs/>
          <w:b/>
        </w:rPr>
        <w:t xml:space="preserve">Dilución pasada:</w:t>
      </w:r>
      <w:r>
        <w:t xml:space="preserve"> </w:t>
      </w:r>
      <w:r>
        <w:t xml:space="preserve">+3,4 % en un año, casi toda por la colocación de 7 M de acciones a 150 NOK en septiembre de 2025, que pagó las compras de Memfault y Neuton.ai [8].</w:t>
      </w:r>
    </w:p>
    <w:p>
      <w:pPr>
        <w:numPr>
          <w:ilvl w:val="0"/>
          <w:numId w:val="1005"/>
        </w:numPr>
        <w:pStyle w:val="Compact"/>
      </w:pPr>
      <w:r>
        <w:rPr>
          <w:bCs/>
          <w:b/>
        </w:rPr>
        <w:t xml:space="preserve">Dilución prevista:</w:t>
      </w:r>
      <w:r>
        <w:t xml:space="preserve"> </w:t>
      </w:r>
      <w:r>
        <w:t xml:space="preserve">~1 % al año. Recompra acciones para cubrir los planes de empleados.</w:t>
      </w:r>
    </w:p>
    <w:p>
      <w:pPr>
        <w:numPr>
          <w:ilvl w:val="0"/>
          <w:numId w:val="1005"/>
        </w:numPr>
        <w:pStyle w:val="Compact"/>
      </w:pPr>
      <w:r>
        <w:rPr>
          <w:bCs/>
          <w:b/>
        </w:rPr>
        <w:t xml:space="preserve">Pagos en acciones:</w:t>
      </w:r>
      <w:r>
        <w:t xml:space="preserve"> </w:t>
      </w:r>
      <w:r>
        <w:t xml:space="preserve">2,7 % de las ventas, bajos.</w:t>
      </w:r>
    </w:p>
    <w:bookmarkEnd w:id="27"/>
    <w:bookmarkStart w:id="28" w:name="dirección-y-ejecución"/>
    <w:p>
      <w:pPr>
        <w:pStyle w:val="Heading2"/>
      </w:pPr>
      <w:r>
        <w:t xml:space="preserve">8. Dirección y ejecución</w:t>
      </w:r>
    </w:p>
    <w:p>
      <w:pPr>
        <w:pStyle w:val="FirstParagraph"/>
      </w:pPr>
      <w:r>
        <w:rPr>
          <w:bCs/>
          <w:b/>
        </w:rPr>
        <w:t xml:space="preserve">Historial (4/5).</w:t>
      </w:r>
      <w:r>
        <w:t xml:space="preserve"> </w:t>
      </w:r>
      <w:r>
        <w:t xml:space="preserve">Cumple o bate su guía trimestral: el 1T26 quedó en la parte alta (192,4 M frente a 175-195 M) y el 2T26 fue récord. En 2024 se le criticó el retraso del negocio de largo alcance [18].</w:t>
      </w:r>
    </w:p>
    <w:p>
      <w:pPr>
        <w:pStyle w:val="BodyText"/>
      </w:pPr>
      <w:r>
        <w:rPr>
          <w:bCs/>
          <w:b/>
        </w:rPr>
        <w:t xml:space="preserve">Dirección y asignación de capital (3/5).</w:t>
      </w:r>
      <w:r>
        <w:t xml:space="preserve"> </w:t>
      </w:r>
      <w:r>
        <w:t xml:space="preserve">- A favor: el equipo es estable (Vegard Wollan es consejero delegado) y los directivos compran acciones en bolsa.</w:t>
      </w:r>
      <w:r>
        <w:t xml:space="preserve"> </w:t>
      </w:r>
      <w:r>
        <w:t xml:space="preserve">- En contra: no hay fundadores con una participación grande. Pagó las compras de 2025 con una ampliación de capital.</w:t>
      </w:r>
    </w:p>
    <w:bookmarkEnd w:id="28"/>
    <w:bookmarkStart w:id="29" w:name="valoración"/>
    <w:p>
      <w:pPr>
        <w:pStyle w:val="Heading2"/>
      </w:pPr>
      <w:r>
        <w:t xml:space="preserve">9. Valoración</w:t>
      </w:r>
    </w:p>
    <w:p>
      <w:pPr>
        <w:pStyle w:val="FirstParagraph"/>
      </w:pPr>
      <w:r>
        <w:rPr>
          <w:bCs/>
          <w:b/>
        </w:rPr>
        <w:t xml:space="preserve">Base de cálculo.</w:t>
      </w:r>
      <w:r>
        <w:t xml:space="preserve"> </w:t>
      </w:r>
      <w:r>
        <w:t xml:space="preserve">- Valor de empresa: 32.741 M NOK (3.439 M USD) = 171,30 NOK × 197,5 M de acciones + 1.537 M NOK de deuda − 2.628 M NOK de caja.</w:t>
      </w:r>
      <w:r>
        <w:t xml:space="preserve"> </w:t>
      </w:r>
      <w:r>
        <w:t xml:space="preserve">- Múltiplos sobre los próximos 12 meses: 3,65 veces las ventas (941 M USD) y 6,9 veces el beneficio bruto, muy por debajo del tope de 35 del método.</w:t>
      </w:r>
      <w:r>
        <w:t xml:space="preserve"> </w:t>
      </w:r>
      <w:r>
        <w:t xml:space="preserve">- Se valora por EV/ventas y no por EBITDA porque no es rentable de forma estable: perdió dinero en 2023 y 2024. Contraste: unas 21 veces el EBITDA del próximo año según el consenso [19].</w:t>
      </w:r>
      <w:r>
        <w:t xml:space="preserve"> </w:t>
      </w:r>
      <w:r>
        <w:t xml:space="preserve">- Mediana de 3 años: 3,3x; mínimo 2,1x (cálculo propio). Comparables: mediana de unas 6 veces (Silicon Labs, al precio de compra de TI, unas 8; Espressif 7,4; Microchip 6,3; NXP 4; STMicro 2,7) [15][16].</w:t>
      </w:r>
    </w:p>
    <w:p>
      <w:pPr>
        <w:pStyle w:val="BodyText"/>
      </w:pPr>
      <w:r>
        <w:rPr>
          <w:bCs/>
          <w:b/>
        </w:rPr>
        <w:t xml:space="preserve">Escenarios (v11, vigente).</w:t>
      </w:r>
      <w:r>
        <w:t xml:space="preserve"> </w:t>
      </w:r>
      <w:r>
        <w:t xml:space="preserve">Ventas de los 12 meses a junio de 2028.</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Escenario</w:t>
            </w:r>
          </w:p>
        </w:tc>
        <w:tc>
          <w:tcPr/>
          <w:p>
            <w:pPr>
              <w:pStyle w:val="Compact"/>
              <w:jc w:val="left"/>
            </w:pPr>
            <w:r>
              <w:t xml:space="preserve">Ventas (M NOK)</w:t>
            </w:r>
          </w:p>
        </w:tc>
        <w:tc>
          <w:tcPr/>
          <w:p>
            <w:pPr>
              <w:pStyle w:val="Compact"/>
              <w:jc w:val="left"/>
            </w:pPr>
            <w:r>
              <w:t xml:space="preserve">Ventas (M USD)</w:t>
            </w:r>
          </w:p>
        </w:tc>
        <w:tc>
          <w:tcPr/>
          <w:p>
            <w:pPr>
              <w:pStyle w:val="Compact"/>
              <w:jc w:val="left"/>
            </w:pPr>
            <w:r>
              <w:t xml:space="preserve">EV/ventas</w:t>
            </w:r>
          </w:p>
        </w:tc>
        <w:tc>
          <w:tcPr/>
          <w:p>
            <w:pPr>
              <w:pStyle w:val="Compact"/>
              <w:jc w:val="left"/>
            </w:pPr>
            <w:r>
              <w:t xml:space="preserve">Precio (NOK)</w:t>
            </w:r>
          </w:p>
        </w:tc>
        <w:tc>
          <w:tcPr/>
          <w:p>
            <w:pPr>
              <w:pStyle w:val="Compact"/>
              <w:jc w:val="left"/>
            </w:pPr>
            <w:r>
              <w:t xml:space="preserve">Rentabilidad</w:t>
            </w:r>
          </w:p>
        </w:tc>
        <w:tc>
          <w:tcPr/>
          <w:p>
            <w:pPr>
              <w:pStyle w:val="Compact"/>
              <w:jc w:val="left"/>
            </w:pPr>
            <w:r>
              <w:t xml:space="preserve">Peso</w:t>
            </w:r>
          </w:p>
        </w:tc>
      </w:tr>
      <w:tr>
        <w:tc>
          <w:tcPr/>
          <w:p>
            <w:pPr>
              <w:pStyle w:val="Compact"/>
              <w:jc w:val="left"/>
            </w:pPr>
            <w:r>
              <w:t xml:space="preserve">Bajista</w:t>
            </w:r>
          </w:p>
        </w:tc>
        <w:tc>
          <w:tcPr/>
          <w:p>
            <w:pPr>
              <w:pStyle w:val="Compact"/>
              <w:jc w:val="left"/>
            </w:pPr>
            <w:r>
              <w:t xml:space="preserve">7.616</w:t>
            </w:r>
          </w:p>
        </w:tc>
        <w:tc>
          <w:tcPr/>
          <w:p>
            <w:pPr>
              <w:pStyle w:val="Compact"/>
              <w:jc w:val="left"/>
            </w:pPr>
            <w:r>
              <w:t xml:space="preserve">800</w:t>
            </w:r>
          </w:p>
        </w:tc>
        <w:tc>
          <w:tcPr/>
          <w:p>
            <w:pPr>
              <w:pStyle w:val="Compact"/>
              <w:jc w:val="left"/>
            </w:pPr>
            <w:r>
              <w:t xml:space="preserve">1,8x</w:t>
            </w:r>
          </w:p>
        </w:tc>
        <w:tc>
          <w:tcPr/>
          <w:p>
            <w:pPr>
              <w:pStyle w:val="Compact"/>
              <w:jc w:val="left"/>
            </w:pPr>
            <w:r>
              <w:t xml:space="preserve">74,2</w:t>
            </w:r>
          </w:p>
        </w:tc>
        <w:tc>
          <w:tcPr/>
          <w:p>
            <w:pPr>
              <w:pStyle w:val="Compact"/>
              <w:jc w:val="left"/>
            </w:pPr>
            <w:r>
              <w:t xml:space="preserve">−56,7 %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10.091</w:t>
            </w:r>
          </w:p>
        </w:tc>
        <w:tc>
          <w:tcPr/>
          <w:p>
            <w:pPr>
              <w:pStyle w:val="Compact"/>
              <w:jc w:val="left"/>
            </w:pPr>
            <w:r>
              <w:t xml:space="preserve">1.060</w:t>
            </w:r>
          </w:p>
        </w:tc>
        <w:tc>
          <w:tcPr/>
          <w:p>
            <w:pPr>
              <w:pStyle w:val="Compact"/>
              <w:jc w:val="left"/>
            </w:pPr>
            <w:r>
              <w:t xml:space="preserve">3,1x</w:t>
            </w:r>
          </w:p>
        </w:tc>
        <w:tc>
          <w:tcPr/>
          <w:p>
            <w:pPr>
              <w:pStyle w:val="Compact"/>
              <w:jc w:val="left"/>
            </w:pPr>
            <w:r>
              <w:t xml:space="preserve">157,5</w:t>
            </w:r>
          </w:p>
        </w:tc>
        <w:tc>
          <w:tcPr/>
          <w:p>
            <w:pPr>
              <w:pStyle w:val="Compact"/>
              <w:jc w:val="left"/>
            </w:pPr>
            <w:r>
              <w:t xml:space="preserve">−8,1 %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10.948</w:t>
            </w:r>
          </w:p>
        </w:tc>
        <w:tc>
          <w:tcPr/>
          <w:p>
            <w:pPr>
              <w:pStyle w:val="Compact"/>
              <w:jc w:val="left"/>
            </w:pPr>
            <w:r>
              <w:t xml:space="preserve">1.150</w:t>
            </w:r>
          </w:p>
        </w:tc>
        <w:tc>
          <w:tcPr/>
          <w:p>
            <w:pPr>
              <w:pStyle w:val="Compact"/>
              <w:jc w:val="left"/>
            </w:pPr>
            <w:r>
              <w:t xml:space="preserve">4,9x</w:t>
            </w:r>
          </w:p>
        </w:tc>
        <w:tc>
          <w:tcPr/>
          <w:p>
            <w:pPr>
              <w:pStyle w:val="Compact"/>
              <w:jc w:val="left"/>
            </w:pPr>
            <w:r>
              <w:t xml:space="preserve">269,4</w:t>
            </w:r>
          </w:p>
        </w:tc>
        <w:tc>
          <w:tcPr/>
          <w:p>
            <w:pPr>
              <w:pStyle w:val="Compact"/>
              <w:jc w:val="left"/>
            </w:pPr>
            <w:r>
              <w:t xml:space="preserve">+57,3 %</w:t>
            </w:r>
          </w:p>
        </w:tc>
        <w:tc>
          <w:tcPr/>
          <w:p>
            <w:pPr>
              <w:pStyle w:val="Compact"/>
              <w:jc w:val="left"/>
            </w:pPr>
            <w:r>
              <w:t xml:space="preserve">25 %</w:t>
            </w:r>
          </w:p>
        </w:tc>
      </w:tr>
      <w:tr>
        <w:tc>
          <w:tcPr/>
          <w:p>
            <w:pPr>
              <w:pStyle w:val="Compact"/>
              <w:jc w:val="left"/>
            </w:pPr>
            <w:r>
              <w:rPr>
                <w:bCs/>
                <w:b/>
              </w:rPr>
              <w:t xml:space="preserve">Ponderada</w:t>
            </w:r>
          </w:p>
        </w:tc>
        <w:tc>
          <w:tcPr/>
          <w:p>
            <w:pPr>
              <w:pStyle w:val="Compact"/>
            </w:pPr>
          </w:p>
        </w:tc>
        <w:tc>
          <w:tcPr/>
          <w:p>
            <w:pPr>
              <w:pStyle w:val="Compact"/>
            </w:pPr>
          </w:p>
        </w:tc>
        <w:tc>
          <w:tcPr/>
          <w:p>
            <w:pPr>
              <w:pStyle w:val="Compact"/>
            </w:pPr>
          </w:p>
        </w:tc>
        <w:tc>
          <w:tcPr/>
          <w:p>
            <w:pPr>
              <w:pStyle w:val="Compact"/>
              <w:jc w:val="left"/>
            </w:pPr>
            <w:r>
              <w:rPr>
                <w:bCs/>
                <w:b/>
              </w:rPr>
              <w:t xml:space="preserve">164,7</w:t>
            </w:r>
          </w:p>
        </w:tc>
        <w:tc>
          <w:tcPr/>
          <w:p>
            <w:pPr>
              <w:pStyle w:val="Compact"/>
              <w:jc w:val="left"/>
            </w:pPr>
            <w:r>
              <w:rPr>
                <w:bCs/>
                <w:b/>
              </w:rPr>
              <w:t xml:space="preserve">−3,9 %</w:t>
            </w:r>
          </w:p>
        </w:tc>
        <w:tc>
          <w:tcPr/>
          <w:p>
            <w:pPr>
              <w:pStyle w:val="Compact"/>
            </w:pPr>
          </w:p>
        </w:tc>
      </w:tr>
    </w:tbl>
    <w:p>
      <w:pPr>
        <w:pStyle w:val="BodyText"/>
      </w:pPr>
      <w:r>
        <w:rPr>
          <w:bCs/>
          <w:b/>
        </w:rPr>
        <w:t xml:space="preserve">De dónde salen las ventas.</w:t>
      </w:r>
      <w:r>
        <w:t xml:space="preserve"> </w:t>
      </w:r>
      <w:r>
        <w:t xml:space="preserve">- Base: 1.060 M USD, igual que el consenso en la ventana del método (segunda mitad de 2027 y primera de 2028, con un 13 % más).</w:t>
      </w:r>
      <w:r>
        <w:t xml:space="preserve"> </w:t>
      </w:r>
      <w:r>
        <w:t xml:space="preserve">- Bajista: 800 M USD. Un nuevo ajuste de inventarios en 2027-28, como el de 2023, deja las ventas cerca del nivel de 2026.</w:t>
      </w:r>
      <w:r>
        <w:t xml:space="preserve"> </w:t>
      </w:r>
      <w:r>
        <w:t xml:space="preserve">- Alcista: 1.150 M USD. Cumple su ambición de crecer más de un 20 % al año.</w:t>
      </w:r>
    </w:p>
    <w:p>
      <w:pPr>
        <w:pStyle w:val="BodyText"/>
      </w:pPr>
      <w:r>
        <w:rPr>
          <w:bCs/>
          <w:b/>
        </w:rPr>
        <w:t xml:space="preserve">Por qué v9 da Comprar y v11 no.</w:t>
      </w:r>
      <w:r>
        <w:t xml:space="preserve"> </w:t>
      </w:r>
      <w:r>
        <w:t xml:space="preserve">La regla mecánica parte de un crecimiento del 28,8 %, porque mezcla el CAGR a dos años desde el valle. Con eso llega a 1.217 M USD en el escenario base, un 15 % más que el consenso. Es proyectar la salida del bache como si fuera crecimiento de fondo. v11 toma la menor entre la mecánica y la del informe, y con las ventas del consenso la rentabilidad desaparece.</w:t>
      </w:r>
    </w:p>
    <w:p>
      <w:pPr>
        <w:pStyle w:val="BodyText"/>
      </w:pPr>
      <w:r>
        <w:rPr>
          <w:bCs/>
          <w:b/>
        </w:rPr>
        <w:t xml:space="preserve">Otras versiones.</w:t>
      </w:r>
      <w:r>
        <w:t xml:space="preserve"> </w:t>
      </w:r>
      <w:r>
        <w:t xml:space="preserve">- v9: +10,6 %, Comprar con convicción baja; compra hasta 180 NOK.</w:t>
      </w:r>
      <w:r>
        <w:t xml:space="preserve"> </w:t>
      </w:r>
      <w:r>
        <w:t xml:space="preserve">- v12 (candidata): igual que v11, −3,9 %. No hay compras que corregir.</w:t>
      </w:r>
      <w:r>
        <w:t xml:space="preserve"> </w:t>
      </w:r>
      <w:r>
        <w:t xml:space="preserve">- v14 (candidata, con la dilución prevista del 1 %): −1,6 %, Mantener; compra hasta 152 NOK.</w:t>
      </w:r>
    </w:p>
    <w:p>
      <w:pPr>
        <w:pStyle w:val="BodyText"/>
      </w:pPr>
      <w:r>
        <w:rPr>
          <w:bCs/>
          <w:b/>
        </w:rPr>
        <w:t xml:space="preserve">Contraste.</w:t>
      </w:r>
      <w:r>
        <w:t xml:space="preserve"> </w:t>
      </w:r>
      <w:r>
        <w:t xml:space="preserve">- Precio objetivo medio de los analistas: 196,09 NOK (16 analistas; entre 136,48 y 250) [10]. Suponen que el múltiplo se mantiene; el método supone que baja algo al frenar el crecimiento (de 3,65x a 3,1x).</w:t>
      </w:r>
      <w:r>
        <w:t xml:space="preserve"> </w:t>
      </w:r>
      <w:r>
        <w:t xml:space="preserve">- DCF inverso: el precio descuenta crecer un 8,8 % al año durante diez años, con un margen FCF maduro del 20 %, un descuento del 10 % y un 3 % a perpetuidad. Es poco frente al 15 % de fondo. El problema no es el largo plazo sino los dos años del objetivo.</w:t>
      </w:r>
    </w:p>
    <w:bookmarkEnd w:id="29"/>
    <w:bookmarkStart w:id="30" w:name="foros-y-sentimiento"/>
    <w:p>
      <w:pPr>
        <w:pStyle w:val="Heading2"/>
      </w:pPr>
      <w:r>
        <w:t xml:space="preserve">10. Foros y sentimiento</w:t>
      </w:r>
    </w:p>
    <w:p>
      <w:pPr>
        <w:numPr>
          <w:ilvl w:val="0"/>
          <w:numId w:val="1006"/>
        </w:numPr>
        <w:pStyle w:val="Compact"/>
      </w:pPr>
      <w:r>
        <w:rPr>
          <w:bCs/>
          <w:b/>
        </w:rPr>
        <w:t xml:space="preserve">Prensa y analistas noruegos:</w:t>
      </w:r>
      <w:r>
        <w:t xml:space="preserve"> </w:t>
      </w:r>
      <w:r>
        <w:t xml:space="preserve">DNB la metió en abril en su cartera recomendada por el nuevo ciclo de la nRF54 y porque la compra de Silicon Labs da una referencia de precio alta. La sacó en julio tras caer un 7,9 % en una semana, y dice que no está expuesta directamente a la IA [14].</w:t>
      </w:r>
    </w:p>
    <w:p>
      <w:pPr>
        <w:numPr>
          <w:ilvl w:val="0"/>
          <w:numId w:val="1006"/>
        </w:numPr>
        <w:pStyle w:val="Compact"/>
      </w:pPr>
      <w:r>
        <w:rPr>
          <w:bCs/>
          <w:b/>
        </w:rPr>
        <w:t xml:space="preserve">Analistas:</w:t>
      </w:r>
      <w:r>
        <w:t xml:space="preserve"> </w:t>
      </w:r>
      <w:r>
        <w:t xml:space="preserve">divididos. 7 recomiendan comprar, 6 mantener y 3 vender. Jefferies la bajó a mantener por el riesgo de costes [10][18].</w:t>
      </w:r>
    </w:p>
    <w:p>
      <w:pPr>
        <w:numPr>
          <w:ilvl w:val="0"/>
          <w:numId w:val="1006"/>
        </w:numPr>
        <w:pStyle w:val="Compact"/>
      </w:pPr>
      <w:r>
        <w:rPr>
          <w:bCs/>
          <w:b/>
        </w:rPr>
        <w:t xml:space="preserve">Foros:</w:t>
      </w:r>
      <w:r>
        <w:t xml:space="preserve"> </w:t>
      </w:r>
      <w:r>
        <w:t xml:space="preserve">en el foro de Inderes, el tono del último hilo encontrado (agosto de 2025) es positivo pero prudente. En Reddit, StockTwits y Shareville no hay hilos recientes relevantes: es un valor poco seguido por el inversor particular fuera de Escandinavia [20]. En castellano, sin conversación relevante.</w:t>
      </w:r>
    </w:p>
    <w:p>
      <w:pPr>
        <w:numPr>
          <w:ilvl w:val="0"/>
          <w:numId w:val="1006"/>
        </w:numPr>
        <w:pStyle w:val="Compact"/>
      </w:pPr>
      <w:r>
        <w:rPr>
          <w:bCs/>
          <w:b/>
        </w:rPr>
        <w:t xml:space="preserve">Lectura:</w:t>
      </w:r>
      <w:r>
        <w:t xml:space="preserve"> </w:t>
      </w:r>
      <w:r>
        <w:t xml:space="preserve">sin euforia. El precio ya se movió (de 125 a 207,60 NOK entre febrero y mayo) y ahora corrige con el sector. Tiene un PER muy alto (unas 107 veces el beneficio de 12 meses) [18].</w:t>
      </w:r>
    </w:p>
    <w:p>
      <w:pPr>
        <w:pStyle w:val="FirstParagraph"/>
      </w:pPr>
      <w:r>
        <w:rPr>
          <w:bCs/>
          <w:b/>
        </w:rPr>
        <w:t xml:space="preserve">Riesgo de IA.</w:t>
      </w:r>
      <w:r>
        <w:t xml:space="preserve"> </w:t>
      </w:r>
      <w:r>
        <w:t xml:space="preserve">- A favor: la IA en el propio aparato (nRF54LM20B) le abre productos nuevos.</w:t>
      </w:r>
      <w:r>
        <w:t xml:space="preserve"> </w:t>
      </w:r>
      <w:r>
        <w:t xml:space="preserve">- Indirecto: no vende a centros de datos. Sube y baja con el sector de semiconductores, que hoy va al ritmo de la IA.</w:t>
      </w:r>
      <w:r>
        <w:t xml:space="preserve"> </w:t>
      </w:r>
      <w:r>
        <w:t xml:space="preserve">- En contra: las herramientas de IA para programar pueden abaratar el cambio de un chip a otro y debilitar la ventaja de su entorno de desarrollo. No hay pruebas de que esté pasando.</w:t>
      </w:r>
      <w:r>
        <w:t xml:space="preserve"> </w:t>
      </w:r>
      <w:r>
        <w:t xml:space="preserve">- Balance: riesgo bajo y algo de oportunidad.</w:t>
      </w:r>
    </w:p>
    <w:bookmarkEnd w:id="30"/>
    <w:bookmarkStart w:id="31" w:name="riesgos-y-qué-rompería-la-tesis"/>
    <w:p>
      <w:pPr>
        <w:pStyle w:val="Heading2"/>
      </w:pPr>
      <w:r>
        <w:t xml:space="preserve">11. Riesgos y qué rompería la tesis</w:t>
      </w:r>
    </w:p>
    <w:p>
      <w:pPr>
        <w:pStyle w:val="FirstParagraph"/>
      </w:pPr>
      <w:r>
        <w:rPr>
          <w:bCs/>
          <w:b/>
        </w:rPr>
        <w:t xml:space="preserve">Alertas de robustez del motor (</w:t>
      </w:r>
      <w:r>
        <w:rPr>
          <w:rStyle w:val="VerbatimChar"/>
          <w:bCs/>
          <w:b/>
        </w:rPr>
        <w:t xml:space="preserve">calc.alertas</w:t>
      </w:r>
      <w:r>
        <w:rPr>
          <w:bCs/>
          <w:b/>
        </w:rPr>
        <w:t xml:space="preserve">):</w:t>
      </w:r>
      <w:r>
        <w:t xml:space="preserve"> </w:t>
      </w:r>
      <w:r>
        <w:t xml:space="preserve">-</w:t>
      </w:r>
      <w:r>
        <w:t xml:space="preserve"> </w:t>
      </w:r>
      <w:r>
        <w:rPr>
          <w:iCs/>
          <w:i/>
        </w:rPr>
        <w:t xml:space="preserve">Sin guía anual de 12 meses (solo trimestral).</w:t>
      </w:r>
      <w:r>
        <w:t xml:space="preserve"> </w:t>
      </w:r>
      <w:r>
        <w:t xml:space="preserve">El recorte por la guía no actúa. No debilita la señal: v11 ya usa las ventas del consenso, que quedan por debajo de la mecánica, así que la guía no habría cambiado nada.</w:t>
      </w:r>
    </w:p>
    <w:p>
      <w:pPr>
        <w:pStyle w:val="BodyText"/>
      </w:pPr>
      <w:r>
        <w:rPr>
          <w:bCs/>
          <w:b/>
        </w:rPr>
        <w:t xml:space="preserve">Prueba de robustez</w:t>
      </w:r>
      <w:r>
        <w:t xml:space="preserve"> </w:t>
      </w:r>
      <w:r>
        <w:t xml:space="preserve">(</w:t>
      </w:r>
      <w:r>
        <w:rPr>
          <w:rStyle w:val="VerbatimChar"/>
        </w:rPr>
        <w:t xml:space="preserve">robustez-growth.mjs --precios</w:t>
      </w:r>
      <w:r>
        <w:t xml:space="preserve">, con el símbolo NOD.OL que el</w:t>
      </w:r>
      <w:r>
        <w:t xml:space="preserve"> </w:t>
      </w:r>
      <w:r>
        <w:rPr>
          <w:rStyle w:val="VerbatimChar"/>
        </w:rPr>
        <w:t xml:space="preserve">datos.json</w:t>
      </w:r>
      <w:r>
        <w:t xml:space="preserve"> </w:t>
      </w:r>
      <w:r>
        <w:t xml:space="preserve">le da en</w:t>
      </w:r>
      <w:r>
        <w:t xml:space="preserve"> </w:t>
      </w:r>
      <w:r>
        <w:rPr>
          <w:rStyle w:val="VerbatimChar"/>
        </w:rPr>
        <w:t xml:space="preserve">simbolo_yahoo</w:t>
      </w:r>
      <w:r>
        <w:t xml:space="preserve">; no hizo falta una copia):</w:t>
      </w:r>
      <w:r>
        <w:t xml:space="preserve"> </w:t>
      </w:r>
      <w:r>
        <w:t xml:space="preserve">-</w:t>
      </w:r>
      <w:r>
        <w:t xml:space="preserve"> </w:t>
      </w:r>
      <w:r>
        <w:rPr>
          <w:bCs/>
          <w:b/>
        </w:rPr>
        <w:t xml:space="preserve">Veredicto: frágil. Señal robusta: Mantener.</w:t>
      </w:r>
      <w:r>
        <w:t xml:space="preserve"> </w:t>
      </w:r>
      <w:r>
        <w:t xml:space="preserve">Solo cambia con v7, que da Comprar (+10,6 %) con la proyección mecánica. Por lo explicado en la sección 9, esa variante proyecta el ciclo como crecimiento de fondo; no es defendible.</w:t>
      </w:r>
      <w:r>
        <w:t xml:space="preserve"> </w:t>
      </w:r>
      <w:r>
        <w:t xml:space="preserve">- Con pesos 35/50/15 sale Vender (−15,3 %). Al precio de hoy (165,70 NOK) y objetivo fijo, −0,6 %, Mantener.</w:t>
      </w:r>
      <w:r>
        <w:t xml:space="preserve"> </w:t>
      </w:r>
      <w:r>
        <w:t xml:space="preserve">- Avisos: el objetivo se mueve con el precio (al revisar se deja fijo); sin guía; bajista del −57 %.</w:t>
      </w:r>
    </w:p>
    <w:p>
      <w:pPr>
        <w:pStyle w:val="BodyText"/>
      </w:pPr>
      <w:r>
        <w:rPr>
          <w:bCs/>
          <w:b/>
        </w:rPr>
        <w:t xml:space="preserve">Otros riesgos.</w:t>
      </w:r>
      <w:r>
        <w:t xml:space="preserve"> </w:t>
      </w:r>
      <w:r>
        <w:t xml:space="preserve">-</w:t>
      </w:r>
      <w:r>
        <w:t xml:space="preserve"> </w:t>
      </w:r>
      <w:r>
        <w:rPr>
          <w:bCs/>
          <w:b/>
        </w:rPr>
        <w:t xml:space="preserve">Ciclo:</w:t>
      </w:r>
      <w:r>
        <w:t xml:space="preserve"> </w:t>
      </w:r>
      <w:r>
        <w:t xml:space="preserve">es lo principal. En 2023 las ventas cayeron un 30 % y en el 1T24 un 49 % por el vaciado de inventarios de sus clientes. Hoy el propio Nordic acumula inventario (217 M USD).</w:t>
      </w:r>
      <w:r>
        <w:t xml:space="preserve"> </w:t>
      </w:r>
      <w:r>
        <w:t xml:space="preserve">-</w:t>
      </w:r>
      <w:r>
        <w:t xml:space="preserve"> </w:t>
      </w:r>
      <w:r>
        <w:rPr>
          <w:bCs/>
          <w:b/>
        </w:rPr>
        <w:t xml:space="preserve">Concentración:</w:t>
      </w:r>
      <w:r>
        <w:t xml:space="preserve"> </w:t>
      </w:r>
      <w:r>
        <w:t xml:space="preserve">los diez mayores clientes son el 57 % de las ventas y no publica el peso del mayor [6][7].</w:t>
      </w:r>
      <w:r>
        <w:t xml:space="preserve"> </w:t>
      </w:r>
      <w:r>
        <w:t xml:space="preserve">-</w:t>
      </w:r>
      <w:r>
        <w:t xml:space="preserve"> </w:t>
      </w:r>
      <w:r>
        <w:rPr>
          <w:bCs/>
          <w:b/>
        </w:rPr>
        <w:t xml:space="preserve">Competencia:</w:t>
      </w:r>
      <w:r>
        <w:t xml:space="preserve"> </w:t>
      </w:r>
      <w:r>
        <w:t xml:space="preserve">TI con Silicon Labs y los chips chinos baratos.</w:t>
      </w:r>
      <w:r>
        <w:t xml:space="preserve"> </w:t>
      </w:r>
      <w:r>
        <w:t xml:space="preserve">-</w:t>
      </w:r>
      <w:r>
        <w:t xml:space="preserve"> </w:t>
      </w:r>
      <w:r>
        <w:rPr>
          <w:bCs/>
          <w:b/>
        </w:rPr>
        <w:t xml:space="preserve">Divisa:</w:t>
      </w:r>
      <w:r>
        <w:t xml:space="preserve"> </w:t>
      </w:r>
      <w:r>
        <w:t xml:space="preserve">cuentas en USD y cotización en NOK. Un dólar más débil frente a la corona baja el valor en NOK.</w:t>
      </w:r>
    </w:p>
    <w:p>
      <w:pPr>
        <w:pStyle w:val="BodyText"/>
      </w:pPr>
      <w:r>
        <w:rPr>
          <w:bCs/>
          <w:b/>
        </w:rPr>
        <w:t xml:space="preserve">Qué rompería la tesis</w:t>
      </w:r>
      <w:r>
        <w:t xml:space="preserve"> </w:t>
      </w:r>
      <w:r>
        <w:t xml:space="preserve">(señales de venta si se tuviera):</w:t>
      </w:r>
      <w:r>
        <w:t xml:space="preserve"> </w:t>
      </w:r>
      <w:r>
        <w:t xml:space="preserve">- Dos trimestres seguidos de caída fuerte del crecimiento (por debajo del 10 %) con el inventario de clientes al alza.</w:t>
      </w:r>
      <w:r>
        <w:t xml:space="preserve"> </w:t>
      </w:r>
      <w:r>
        <w:t xml:space="preserve">- Que la nRF54 no gane peso en las ventas de 2027.</w:t>
      </w:r>
      <w:r>
        <w:t xml:space="preserve"> </w:t>
      </w:r>
      <w:r>
        <w:t xml:space="preserve">- Margen bruto por debajo del 50 %.</w:t>
      </w:r>
    </w:p>
    <w:bookmarkEnd w:id="31"/>
    <w:bookmarkStart w:id="32" w:name="catalizadores-con-fecha"/>
    <w:p>
      <w:pPr>
        <w:pStyle w:val="Heading2"/>
      </w:pPr>
      <w:r>
        <w:t xml:space="preserve">12. Catalizadores con fecha</w:t>
      </w:r>
    </w:p>
    <w:p>
      <w:pPr>
        <w:numPr>
          <w:ilvl w:val="0"/>
          <w:numId w:val="1007"/>
        </w:numPr>
        <w:pStyle w:val="Compact"/>
      </w:pPr>
      <w:r>
        <w:rPr>
          <w:bCs/>
          <w:b/>
        </w:rPr>
        <w:t xml:space="preserve">22-oct-2026:</w:t>
      </w:r>
      <w:r>
        <w:t xml:space="preserve"> </w:t>
      </w:r>
      <w:r>
        <w:t xml:space="preserve">resultados del 3T26 (guía de 220-240 M USD) y guía del 4T [5].</w:t>
      </w:r>
    </w:p>
    <w:p>
      <w:pPr>
        <w:numPr>
          <w:ilvl w:val="0"/>
          <w:numId w:val="1007"/>
        </w:numPr>
        <w:pStyle w:val="Compact"/>
      </w:pPr>
      <w:r>
        <w:rPr>
          <w:bCs/>
          <w:b/>
        </w:rPr>
        <w:t xml:space="preserve">Principios de 2027:</w:t>
      </w:r>
      <w:r>
        <w:t xml:space="preserve"> </w:t>
      </w:r>
      <w:r>
        <w:t xml:space="preserve">resultados de 2026 y ventas de la nRF54.</w:t>
      </w:r>
    </w:p>
    <w:p>
      <w:pPr>
        <w:numPr>
          <w:ilvl w:val="0"/>
          <w:numId w:val="1007"/>
        </w:numPr>
        <w:pStyle w:val="Compact"/>
      </w:pPr>
      <w:r>
        <w:rPr>
          <w:bCs/>
          <w:b/>
        </w:rPr>
        <w:t xml:space="preserve">Primer semestre de 2027:</w:t>
      </w:r>
      <w:r>
        <w:t xml:space="preserve"> </w:t>
      </w:r>
      <w:r>
        <w:t xml:space="preserve">cierre de la compra de Silicon Labs por TI [15].</w:t>
      </w:r>
    </w:p>
    <w:bookmarkEnd w:id="32"/>
    <w:bookmarkStart w:id="33" w:name="encaje-en-cartera"/>
    <w:p>
      <w:pPr>
        <w:pStyle w:val="Heading2"/>
      </w:pPr>
      <w:r>
        <w:t xml:space="preserve">13. Encaje en cartera</w:t>
      </w:r>
    </w:p>
    <w:p>
      <w:pPr>
        <w:numPr>
          <w:ilvl w:val="0"/>
          <w:numId w:val="1008"/>
        </w:numPr>
        <w:pStyle w:val="Compact"/>
      </w:pPr>
      <w:r>
        <w:rPr>
          <w:bCs/>
          <w:b/>
        </w:rPr>
        <w:t xml:space="preserve">Señal Mantener: no entra.</w:t>
      </w:r>
      <w:r>
        <w:t xml:space="preserve"> </w:t>
      </w:r>
      <w:r>
        <w:t xml:space="preserve">El bolsillo growth está lleno (~20 %): Nu (+22 %), Axon (+35 %), Shopify (+19 %), Snowflake (+16 %) y Samsara (+17 %), al precio actual con v11. No hay liquidez libre: solo cabría sustituyendo, y para eso haría falta Comprar.</w:t>
      </w:r>
    </w:p>
    <w:p>
      <w:pPr>
        <w:numPr>
          <w:ilvl w:val="0"/>
          <w:numId w:val="1008"/>
        </w:numPr>
        <w:pStyle w:val="Compact"/>
      </w:pPr>
      <w:r>
        <w:rPr>
          <w:bCs/>
          <w:b/>
        </w:rPr>
        <w:t xml:space="preserve">No es suplente.</w:t>
      </w:r>
      <w:r>
        <w:t xml:space="preserve"> </w:t>
      </w:r>
      <w:r>
        <w:t xml:space="preserve">La lista vigente (MongoDB, Toast, Zscaler, Rubrik, dLocal, Dexcom, argenx, Datadog, Reddit, Saab, Natera, Ypsomed) son todas Comprar. Nordic va a la lista de Mantener.</w:t>
      </w:r>
    </w:p>
    <w:p>
      <w:pPr>
        <w:numPr>
          <w:ilvl w:val="0"/>
          <w:numId w:val="1008"/>
        </w:numPr>
        <w:pStyle w:val="Compact"/>
      </w:pPr>
      <w:r>
        <w:rPr>
          <w:bCs/>
          <w:b/>
        </w:rPr>
        <w:t xml:space="preserve">Cuándo se miraría de nuevo:</w:t>
      </w:r>
      <w:r>
        <w:t xml:space="preserve"> </w:t>
      </w:r>
      <w:r>
        <w:t xml:space="preserve">con un precio por debajo de 148,4 NOK, o si el 3T (22-oct) y la guía del 4T suben el consenso de 2027 por encima de 1.150 M USD.</w:t>
      </w:r>
    </w:p>
    <w:p>
      <w:pPr>
        <w:numPr>
          <w:ilvl w:val="0"/>
          <w:numId w:val="1008"/>
        </w:numPr>
        <w:pStyle w:val="Compact"/>
      </w:pPr>
      <w:r>
        <w:rPr>
          <w:bCs/>
          <w:b/>
        </w:rPr>
        <w:t xml:space="preserve">Exposición a IA:</w:t>
      </w:r>
      <w:r>
        <w:t xml:space="preserve"> </w:t>
      </w:r>
      <w:r>
        <w:t xml:space="preserve">Alphabet se vende mañana y no cuenta como exposición a IA de la cartera. Nordic no la añadiría: su relación con la IA es pequeña (IA en el aparato).</w:t>
      </w:r>
    </w:p>
    <w:p>
      <w:pPr>
        <w:numPr>
          <w:ilvl w:val="0"/>
          <w:numId w:val="1008"/>
        </w:numPr>
        <w:pStyle w:val="Compact"/>
      </w:pPr>
      <w:r>
        <w:rPr>
          <w:bCs/>
          <w:b/>
        </w:rPr>
        <w:t xml:space="preserve">Frente a la cartera value:</w:t>
      </w:r>
      <w:r>
        <w:t xml:space="preserve"> </w:t>
      </w:r>
      <w:r>
        <w:t xml:space="preserve">no cumple los requisitos value (no tiene historia de ROIC alto en el ciclo y el PER es muy alto).</w:t>
      </w:r>
    </w:p>
    <w:p>
      <w:pPr>
        <w:pStyle w:val="FirstParagraph"/>
      </w:pPr>
      <w:r>
        <w:rPr>
          <w:bCs/>
          <w:b/>
        </w:rPr>
        <w:t xml:space="preserve">Filtro previo</w:t>
      </w:r>
      <w:r>
        <w:t xml:space="preserve"> </w:t>
      </w:r>
      <w:r>
        <w:t xml:space="preserve">(las cuatro pruebas con los datos completos):</w:t>
      </w:r>
      <w:r>
        <w:t xml:space="preserve"> </w:t>
      </w:r>
      <w:r>
        <w:t xml:space="preserve">-</w:t>
      </w:r>
      <w:r>
        <w:t xml:space="preserve"> </w:t>
      </w:r>
      <w:r>
        <w:rPr>
          <w:bCs/>
          <w:b/>
        </w:rPr>
        <w:t xml:space="preserve">A, crecimiento ≥ 15 %:</w:t>
      </w:r>
      <w:r>
        <w:t xml:space="preserve"> </w:t>
      </w:r>
      <w:r>
        <w:t xml:space="preserve">pasa, con un 20,9 % y no el 26 % estimado. Pero el crecimiento de fondo a lo largo de un ciclo ronda el 15 %, justo en el listón.</w:t>
      </w:r>
      <w:r>
        <w:t xml:space="preserve"> </w:t>
      </w:r>
      <w:r>
        <w:t xml:space="preserve">-</w:t>
      </w:r>
      <w:r>
        <w:t xml:space="preserve"> </w:t>
      </w:r>
      <w:r>
        <w:rPr>
          <w:bCs/>
          <w:b/>
        </w:rPr>
        <w:t xml:space="preserve">B, EV/EBITDA ≤ 1,1 veces su mediana:</w:t>
      </w:r>
      <w:r>
        <w:t xml:space="preserve"> </w:t>
      </w:r>
      <w:r>
        <w:t xml:space="preserve">no aplica, porque no es rentable de forma estable. En EV/ventas está a 1,1 veces su mediana.</w:t>
      </w:r>
      <w:r>
        <w:t xml:space="preserve"> </w:t>
      </w:r>
      <w:r>
        <w:t xml:space="preserve">-</w:t>
      </w:r>
      <w:r>
        <w:t xml:space="preserve"> </w:t>
      </w:r>
      <w:r>
        <w:rPr>
          <w:bCs/>
          <w:b/>
        </w:rPr>
        <w:t xml:space="preserve">C, mayor cliente ≤ 40 %:</w:t>
      </w:r>
      <w:r>
        <w:t xml:space="preserve"> </w:t>
      </w:r>
      <w:r>
        <w:t xml:space="preserve">no se puede confirmar. No publica el mayor cliente; los diez primeros suman el 57 %.</w:t>
      </w:r>
      <w:r>
        <w:t xml:space="preserve"> </w:t>
      </w:r>
      <w:r>
        <w:t xml:space="preserve">-</w:t>
      </w:r>
      <w:r>
        <w:t xml:space="preserve"> </w:t>
      </w:r>
      <w:r>
        <w:rPr>
          <w:bCs/>
          <w:b/>
        </w:rPr>
        <w:t xml:space="preserve">D, ≤ 0,8:</w:t>
      </w:r>
      <w:r>
        <w:t xml:space="preserve"> </w:t>
      </w:r>
      <w:r>
        <w:t xml:space="preserve">pasa, con 0,42 (8,8 % descontado frente al 20,9 %).</w:t>
      </w:r>
      <w:r>
        <w:t xml:space="preserve"> </w:t>
      </w:r>
      <w:r>
        <w:t xml:space="preserve">-</w:t>
      </w:r>
      <w:r>
        <w:t xml:space="preserve"> </w:t>
      </w:r>
      <w:r>
        <w:rPr>
          <w:bCs/>
          <w:b/>
        </w:rPr>
        <w:t xml:space="preserve">Lección para el filtro:</w:t>
      </w:r>
      <w:r>
        <w:t xml:space="preserve"> </w:t>
      </w:r>
      <w:r>
        <w:t xml:space="preserve">en una cíclica que sale de un bache, la prueba A debería medirse frente al pico anterior del ciclo o con el crecimiento de un ciclo entero. Con ese criterio Nordic habría quedado en el límite.</w:t>
      </w:r>
    </w:p>
    <w:bookmarkEnd w:id="33"/>
    <w:bookmarkStart w:id="34" w:name="puntuación"/>
    <w:p>
      <w:pPr>
        <w:pStyle w:val="Heading2"/>
      </w:pPr>
      <w:r>
        <w:t xml:space="preserve">14. Puntuación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r>
      <w:tr>
        <w:tc>
          <w:tcPr/>
          <w:p>
            <w:pPr>
              <w:pStyle w:val="Compact"/>
              <w:jc w:val="left"/>
            </w:pPr>
            <w:r>
              <w:t xml:space="preserve">A. Crecimiento</w:t>
            </w:r>
          </w:p>
        </w:tc>
        <w:tc>
          <w:tcPr/>
          <w:p>
            <w:pPr>
              <w:pStyle w:val="Compact"/>
              <w:jc w:val="left"/>
            </w:pPr>
            <w:r>
              <w:t xml:space="preserve">20</w:t>
            </w:r>
          </w:p>
        </w:tc>
        <w:tc>
          <w:tcPr/>
          <w:p>
            <w:pPr>
              <w:pStyle w:val="Compact"/>
              <w:jc w:val="left"/>
            </w:pPr>
            <w:r>
              <w:t xml:space="preserve">25</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r>
      <w:tr>
        <w:tc>
          <w:tcPr/>
          <w:p>
            <w:pPr>
              <w:pStyle w:val="Compact"/>
              <w:jc w:val="left"/>
            </w:pPr>
            <w:r>
              <w:t xml:space="preserve">C. Cambio de tendencia</w:t>
            </w:r>
          </w:p>
        </w:tc>
        <w:tc>
          <w:tcPr/>
          <w:p>
            <w:pPr>
              <w:pStyle w:val="Compact"/>
              <w:jc w:val="left"/>
            </w:pPr>
            <w:r>
              <w:t xml:space="preserve">10</w:t>
            </w:r>
          </w:p>
        </w:tc>
        <w:tc>
          <w:tcPr/>
          <w:p>
            <w:pPr>
              <w:pStyle w:val="Compact"/>
              <w:jc w:val="left"/>
            </w:pPr>
            <w:r>
              <w:t xml:space="preserve">20</w:t>
            </w:r>
          </w:p>
        </w:tc>
      </w:tr>
      <w:tr>
        <w:tc>
          <w:tcPr/>
          <w:p>
            <w:pPr>
              <w:pStyle w:val="Compact"/>
              <w:jc w:val="left"/>
            </w:pPr>
            <w:r>
              <w:t xml:space="preserve">D. Economía unitaria</w:t>
            </w:r>
          </w:p>
        </w:tc>
        <w:tc>
          <w:tcPr/>
          <w:p>
            <w:pPr>
              <w:pStyle w:val="Compact"/>
              <w:jc w:val="left"/>
            </w:pPr>
            <w:r>
              <w:t xml:space="preserve">8</w:t>
            </w:r>
          </w:p>
        </w:tc>
        <w:tc>
          <w:tcPr/>
          <w:p>
            <w:pPr>
              <w:pStyle w:val="Compact"/>
              <w:jc w:val="left"/>
            </w:pPr>
            <w:r>
              <w:t xml:space="preserve">15</w:t>
            </w:r>
          </w:p>
        </w:tc>
      </w:tr>
      <w:tr>
        <w:tc>
          <w:tcPr/>
          <w:p>
            <w:pPr>
              <w:pStyle w:val="Compact"/>
              <w:jc w:val="left"/>
            </w:pPr>
            <w:r>
              <w:t xml:space="preserve">E. Caja y dilución</w:t>
            </w:r>
          </w:p>
        </w:tc>
        <w:tc>
          <w:tcPr/>
          <w:p>
            <w:pPr>
              <w:pStyle w:val="Compact"/>
              <w:jc w:val="left"/>
            </w:pPr>
            <w:r>
              <w:t xml:space="preserve">8</w:t>
            </w:r>
          </w:p>
        </w:tc>
        <w:tc>
          <w:tcPr/>
          <w:p>
            <w:pPr>
              <w:pStyle w:val="Compact"/>
              <w:jc w:val="left"/>
            </w:pPr>
            <w:r>
              <w:t xml:space="preserve">10</w:t>
            </w:r>
          </w:p>
        </w:tc>
      </w:tr>
      <w:tr>
        <w:tc>
          <w:tcPr/>
          <w:p>
            <w:pPr>
              <w:pStyle w:val="Compact"/>
              <w:jc w:val="left"/>
            </w:pPr>
            <w:r>
              <w:t xml:space="preserve">F. Ejecución y dirección</w:t>
            </w:r>
          </w:p>
        </w:tc>
        <w:tc>
          <w:tcPr/>
          <w:p>
            <w:pPr>
              <w:pStyle w:val="Compact"/>
              <w:jc w:val="left"/>
            </w:pPr>
            <w:r>
              <w:t xml:space="preserve">7</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67,7</w:t>
            </w:r>
          </w:p>
        </w:tc>
        <w:tc>
          <w:tcPr/>
          <w:p>
            <w:pPr>
              <w:pStyle w:val="Compact"/>
              <w:jc w:val="left"/>
            </w:pPr>
            <w:r>
              <w:rPr>
                <w:bCs/>
                <w:b/>
              </w:rPr>
              <w:t xml:space="preserve">100</w:t>
            </w:r>
          </w:p>
        </w:tc>
      </w:tr>
    </w:tbl>
    <w:bookmarkEnd w:id="34"/>
    <w:bookmarkStart w:id="35" w:name="fuentes"/>
    <w:p>
      <w:pPr>
        <w:pStyle w:val="Heading2"/>
      </w:pPr>
      <w:r>
        <w:t xml:space="preserve">Fuentes</w:t>
      </w:r>
    </w:p>
    <w:p>
      <w:pPr>
        <w:pStyle w:val="FirstParagraph"/>
      </w:pPr>
      <w:r>
        <w:t xml:space="preserve">[1] Nordic Semiconductor, nota de resultados del 2T26 (6-ago-2026, reproducida por Inderes): ventas, segmentos, margen bruto, EBITDA, 1S26, 12 meses, guía del 3T y ambiciones a medio plazo.</w:t>
      </w:r>
      <w:r>
        <w:t xml:space="preserve"> </w:t>
      </w:r>
      <w:r>
        <w:t xml:space="preserve">[2] StockAnalysis, cuentas trimestrales de Nordic Semiconductor en USD (3T23-2T26), consultado el 15-oct-2026.</w:t>
      </w:r>
      <w:r>
        <w:t xml:space="preserve"> </w:t>
      </w:r>
      <w:r>
        <w:t xml:space="preserve">[3] StockAnalysis, flujo de caja y balance trimestrales (caja 276,1 M, deuda 161,5 M, acciones 197,46 M e inventario 217,3 M a 30-jun-2026).</w:t>
      </w:r>
      <w:r>
        <w:t xml:space="preserve"> </w:t>
      </w:r>
      <w:r>
        <w:t xml:space="preserve">[4] Quartr, resumen de resultados del 2T26: caja, margen bruto, EBITDA ajustado, mercados finales e inversiones.</w:t>
      </w:r>
      <w:r>
        <w:t xml:space="preserve"> </w:t>
      </w:r>
      <w:r>
        <w:t xml:space="preserve">[5] Nordic Semiconductor, comentarios previos al cierre del 3T26 (23-sep-2026): resultados el 22-oct-2026.</w:t>
      </w:r>
      <w:r>
        <w:t xml:space="preserve"> </w:t>
      </w:r>
      <w:r>
        <w:t xml:space="preserve">[6] Nordic Semiconductor, presentación del consejero delegado en el día del inversor de 2024 (26-sep-2024, Euronext).</w:t>
      </w:r>
      <w:r>
        <w:t xml:space="preserve"> </w:t>
      </w:r>
      <w:r>
        <w:t xml:space="preserve">[7] Nordic Semiconductor, informes del 4T25 y del 2T25: peso de los diez mayores clientes.</w:t>
      </w:r>
      <w:r>
        <w:t xml:space="preserve"> </w:t>
      </w:r>
      <w:r>
        <w:t xml:space="preserve">[8] Nordic Semiconductor, avisos de la colocación privada (sep-2025), de la compra de Memfault (24-jun-2025) y de la entrega de acciones a sus fundadores (22-jul-2026).</w:t>
      </w:r>
      <w:r>
        <w:t xml:space="preserve"> </w:t>
      </w:r>
      <w:r>
        <w:t xml:space="preserve">[9] Nordic Semiconductor, avisos de operaciones de directivos (feb, may y ago-2026; Inderes y MFN).</w:t>
      </w:r>
      <w:r>
        <w:t xml:space="preserve"> </w:t>
      </w:r>
      <w:r>
        <w:t xml:space="preserve">[10] StockAnalysis, previsiones de NOD (15-oct-2026): precio objetivo, ventas y BPA de consenso.</w:t>
      </w:r>
      <w:r>
        <w:t xml:space="preserve"> </w:t>
      </w:r>
      <w:r>
        <w:t xml:space="preserve">[11] Yahoo Finance, API de gráficos: NOD.OL, NOKUSD=X, ^SOX, SOXX y QQQ (cierres diarios y precio de la sesión del 15-oct).</w:t>
      </w:r>
      <w:r>
        <w:t xml:space="preserve"> </w:t>
      </w:r>
      <w:r>
        <w:t xml:space="preserve">[12] StockAnalysis, histórico de cotizaciones de NOD: cierre del 14-oct-2026, 171,30 NOK.</w:t>
      </w:r>
      <w:r>
        <w:t xml:space="preserve"> </w:t>
      </w:r>
      <w:r>
        <w:t xml:space="preserve">[13] Goldesel, DNB y Saxo (abril de 2026): cambios de precio objetivo de Barclays, Deutsche Bank y DNB Carnegie.</w:t>
      </w:r>
      <w:r>
        <w:t xml:space="preserve"> </w:t>
      </w:r>
      <w:r>
        <w:t xml:space="preserve">[14] DNB Markets, «Anbefalte aksjer», semanas 16 y 29 de 2026.</w:t>
      </w:r>
      <w:r>
        <w:t xml:space="preserve"> </w:t>
      </w:r>
      <w:r>
        <w:t xml:space="preserve">[15] Texas Instruments compra Silicon Labs (4-feb-2026): 231 USD por acción, unos 7.500 M USD, cierre previsto en el 1S27.</w:t>
      </w:r>
      <w:r>
        <w:t xml:space="preserve"> </w:t>
      </w:r>
      <w:r>
        <w:t xml:space="preserve">[16] StockAnalysis, estadísticas de NXP, Microchip, STMicroelectronics y Espressif (15-oct-2026).</w:t>
      </w:r>
      <w:r>
        <w:t xml:space="preserve"> </w:t>
      </w:r>
      <w:r>
        <w:t xml:space="preserve">[17] Nordic Semiconductor, nRF54LM20B con acelerador Axon y Edge AI Lab (ene y mar-2026).</w:t>
      </w:r>
      <w:r>
        <w:t xml:space="preserve"> </w:t>
      </w:r>
      <w:r>
        <w:t xml:space="preserve">[18] Stockopedia (Reuters): Jefferies a mantener; Simply Wall St: PER de unas 107 veces.</w:t>
      </w:r>
      <w:r>
        <w:t xml:space="preserve"> </w:t>
      </w:r>
      <w:r>
        <w:t xml:space="preserve">[19] aktien.guide y StocksGuide: EBITDA de consenso de 2026 y 2027.</w:t>
      </w:r>
      <w:r>
        <w:t xml:space="preserve"> </w:t>
      </w:r>
      <w:r>
        <w:t xml:space="preserve">[20] Foro de Inderes (hilo de Nordic Semiconductor) y búsquedas en Reddit, StockTwits y Shareville.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2026-10-15T08:31:21Z</dcterms:created>
  <dcterms:modified xsi:type="dcterms:W3CDTF">2026-10-15T08:31:21Z</dcterms:modified>
</cp:coreProperties>
</file>

<file path=docProps/custom.xml><?xml version="1.0" encoding="utf-8"?>
<Properties xmlns="http://schemas.openxmlformats.org/officeDocument/2006/custom-properties" xmlns:vt="http://schemas.openxmlformats.org/officeDocument/2006/docPropsVTypes"/>
</file>