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rambus-rmbs-análisis-growth-2026-10-15"/>
    <w:p>
      <w:pPr>
        <w:pStyle w:val="Heading1"/>
      </w:pPr>
      <w:r>
        <w:t xml:space="preserve">Rambus (RMBS): análisis growth, 2026-10-15</w:t>
      </w:r>
    </w:p>
    <w:p>
      <w:pPr>
        <w:pStyle w:val="FirstParagraph"/>
      </w:pPr>
      <w:r>
        <w:rPr>
          <w:bCs/>
          <w:b/>
        </w:rPr>
        <w:t xml:space="preserve">Señal: Mantener</w:t>
      </w:r>
      <w:r>
        <w:t xml:space="preserve"> </w:t>
      </w:r>
      <w:r>
        <w:t xml:space="preserve">· Puntuación 59/100 · Señales de cambio de tendencia 1/8 · Método vigente v11</w:t>
      </w:r>
      <w:r>
        <w:t xml:space="preserve"> </w:t>
      </w:r>
      <w:r>
        <w:t xml:space="preserve">Precio 92,11 USD (cierre del 14-oct) · Objetivo 12 m 100 USD (ponderada +8,6 %, base +2,6 %, bajista −46,3 %, alcista +75,3 %) · Compra hasta 94,5 USD</w:t>
      </w:r>
      <w:r>
        <w:t xml:space="preserve"> </w:t>
      </w:r>
      <w:r>
        <w:t xml:space="preserve">Con v9 (referencia): también Mantener, con una ponderada del +10,7 % y compra hasta 97,1 USD.</w:t>
      </w:r>
      <w:r>
        <w:t xml:space="preserve"> </w:t>
      </w:r>
      <w:r>
        <w:t xml:space="preserve">Precio actual: 89,00 USD (preapertura del 15-oct, 08:03 UTC, con muy pocas operaciones). Con el objetivo fijo, la ponderada a ese precio es +12,4 %.</w:t>
      </w:r>
      <w:r>
        <w:t xml:space="preserve"> </w:t>
      </w:r>
      <w:r>
        <w:t xml:space="preserve">Peso orientativo: no entra.</w:t>
      </w:r>
    </w:p>
    <w:bookmarkStart w:id="20" w:name="resumen-en-llano"/>
    <w:p>
      <w:pPr>
        <w:pStyle w:val="Heading2"/>
      </w:pPr>
      <w:r>
        <w:t xml:space="preserve">Resumen en llano</w:t>
      </w:r>
    </w:p>
    <w:p>
      <w:pPr>
        <w:pStyle w:val="FirstParagraph"/>
      </w:pPr>
      <w:r>
        <w:t xml:space="preserve">Rambus diseña los chips que van en cada módulo de memoria de un servidor y que ordenan el tráfico entre el procesador y la memoria. También cobra regalías por sus patentes de memoria y vende diseños (IP) a otros fabricantes de chips. Es muy rentable: casi 40 céntimos de caja libre por cada dólar que vende. Crece un 17 % al año, sin deuda, y cotiza a unas 21 veces su beneficio de explotación (EBITDA) del próximo año, más o menos su media de tres años.</w:t>
      </w:r>
    </w:p>
    <w:p>
      <w:pPr>
        <w:pStyle w:val="BodyText"/>
      </w:pPr>
      <w:r>
        <w:t xml:space="preserve">La acción ha caído mucho en 2026 por tres golpes: las regalías bajaron en abril, los fabricantes de memoria dedican sus fábricas a la memoria para IA (HBM) y queda menos para los módulos normales, y en octubre cayó todo el sector de la memoria por la competencia china. El método la deja en Mantener por muy poco: saca 59,2 puntos con el listón en 60, porque solo cumple una de las ocho señales de cambio de tendencia. Además, la rentabilidad esperada es baja, un +8,6 %. La prueba de robustez da la señal por sólida.</w:t>
      </w:r>
    </w:p>
    <w:bookmarkEnd w:id="20"/>
    <w:bookmarkStart w:id="21" w:name="la-tesis-en-cinco-líneas"/>
    <w:p>
      <w:pPr>
        <w:pStyle w:val="Heading2"/>
      </w:pPr>
      <w:r>
        <w:t xml:space="preserve">1. La tesis en cinco líneas</w:t>
      </w:r>
    </w:p>
    <w:p>
      <w:pPr>
        <w:numPr>
          <w:ilvl w:val="0"/>
          <w:numId w:val="1001"/>
        </w:numPr>
        <w:pStyle w:val="Compact"/>
      </w:pPr>
      <w:r>
        <w:t xml:space="preserve">Es uno de los dos líderes en el chip que gestiona la memoria de cada módulo de servidor (el RCD de DDR5), con un 40-45 % del mercado. El otro es la china Montage.</w:t>
      </w:r>
    </w:p>
    <w:p>
      <w:pPr>
        <w:numPr>
          <w:ilvl w:val="0"/>
          <w:numId w:val="1001"/>
        </w:numPr>
        <w:pStyle w:val="Compact"/>
      </w:pPr>
      <w:r>
        <w:t xml:space="preserve">Las ventas de chips crecen un 22 % y la empresa guía un récord para el 3T: 113 M, un 14 % más que en el 2T. A partir de 2027 llegan los módulos MRDIMM, que llevan más chips de Rambus por módulo.</w:t>
      </w:r>
    </w:p>
    <w:p>
      <w:pPr>
        <w:numPr>
          <w:ilvl w:val="0"/>
          <w:numId w:val="1001"/>
        </w:numPr>
        <w:pStyle w:val="Compact"/>
      </w:pPr>
      <w:r>
        <w:t xml:space="preserve">Las regalías, el 40 % de las ventas, van a trompicones: 70 M en el 1T, 84 M en el 2T y 72 M previstos para el 3T. Cada vez que bajan, la bolsa castiga a la acción.</w:t>
      </w:r>
    </w:p>
    <w:p>
      <w:pPr>
        <w:numPr>
          <w:ilvl w:val="0"/>
          <w:numId w:val="1001"/>
        </w:numPr>
        <w:pStyle w:val="Compact"/>
      </w:pPr>
      <w:r>
        <w:t xml:space="preserve">El precio no es caro: 20,6 veces el EBITDA de los próximos 12 meses, frente a una mediana de 21,5 veces en tres años. Pero tampoco hay margen: el escenario base da +2,6 %.</w:t>
      </w:r>
    </w:p>
    <w:p>
      <w:pPr>
        <w:numPr>
          <w:ilvl w:val="0"/>
          <w:numId w:val="1001"/>
        </w:numPr>
        <w:pStyle w:val="Compact"/>
      </w:pPr>
      <w:r>
        <w:t xml:space="preserve">No se compra porque la puntuación se queda en 59,2 (con una sola señal de tendencia) y la rentabilidad esperada es baja. Se volvería a mirar con los resultados del 26-oct si la guía del 4T muestra que la falta de memoria no frena los chips.</w:t>
      </w:r>
    </w:p>
    <w:bookmarkEnd w:id="21"/>
    <w:bookmarkStart w:id="22" w:name="negocio-y-tecnología"/>
    <w:p>
      <w:pPr>
        <w:pStyle w:val="Heading2"/>
      </w:pPr>
      <w:r>
        <w:t xml:space="preserve">2. Negocio y tecnología</w:t>
      </w:r>
    </w:p>
    <w:p>
      <w:pPr>
        <w:pStyle w:val="FirstParagraph"/>
      </w:pPr>
      <w:r>
        <w:t xml:space="preserve">Rambus no tiene fábricas. Tiene tres fuentes de ingresos [1][5]:</w:t>
      </w:r>
    </w:p>
    <w:p>
      <w:pPr>
        <w:numPr>
          <w:ilvl w:val="0"/>
          <w:numId w:val="1002"/>
        </w:numPr>
        <w:pStyle w:val="Compact"/>
      </w:pPr>
      <w:r>
        <w:rPr>
          <w:bCs/>
          <w:b/>
        </w:rPr>
        <w:t xml:space="preserve">Chips (48 %).</w:t>
      </w:r>
      <w:r>
        <w:t xml:space="preserve"> </w:t>
      </w:r>
      <w:r>
        <w:t xml:space="preserve">Sobre todo el RCD, el chip que reparte las órdenes del procesador a los chips de memoria del módulo. Añade chips acompañantes: el gestor de energía (PMIC), el de identificación (SPD) y los sensores de temperatura. Los venden a Samsung, SK hynix y Micron, que montan los módulos, y a fabricantes de servidores.</w:t>
      </w:r>
    </w:p>
    <w:p>
      <w:pPr>
        <w:numPr>
          <w:ilvl w:val="0"/>
          <w:numId w:val="1002"/>
        </w:numPr>
        <w:pStyle w:val="Compact"/>
      </w:pPr>
      <w:r>
        <w:rPr>
          <w:bCs/>
          <w:b/>
        </w:rPr>
        <w:t xml:space="preserve">Regalías (40 %).</w:t>
      </w:r>
      <w:r>
        <w:t xml:space="preserve"> </w:t>
      </w:r>
      <w:r>
        <w:t xml:space="preserve">Licencias de patentes de memoria con casi todo el sector: Samsung, SK hynix, Micron, Nvidia, AMD, Broadcom, Qualcomm y también la china CXMT, entre otras. Son contratos largos; Micron, por ejemplo, hasta 2029.</w:t>
      </w:r>
    </w:p>
    <w:p>
      <w:pPr>
        <w:numPr>
          <w:ilvl w:val="0"/>
          <w:numId w:val="1002"/>
        </w:numPr>
        <w:pStyle w:val="Compact"/>
      </w:pPr>
      <w:r>
        <w:rPr>
          <w:bCs/>
          <w:b/>
        </w:rPr>
        <w:t xml:space="preserve">Contratos e IP (12 %).</w:t>
      </w:r>
      <w:r>
        <w:t xml:space="preserve"> </w:t>
      </w:r>
      <w:r>
        <w:t xml:space="preserve">Diseños de controladores de memoria (HBM, que es la memoria de los chips de IA), de PCIe y CXL y de seguridad, que otras empresas meten en sus chips. En el 2T ganó un diseño HBM con un gran operador de la nube de EE. UU. [4].</w:t>
      </w:r>
    </w:p>
    <w:p>
      <w:pPr>
        <w:pStyle w:val="FirstParagraph"/>
      </w:pPr>
      <w:r>
        <w:rPr>
          <w:bCs/>
          <w:b/>
        </w:rPr>
        <w:t xml:space="preserve">Lo nuevo.</w:t>
      </w:r>
      <w:r>
        <w:t xml:space="preserve"> </w:t>
      </w:r>
      <w:r>
        <w:t xml:space="preserve">El juego completo de chips para módulos DDR5 a 9.600 MT/s, para servidores y PC (julio de 2026). El gestor de energía para módulos LPDDR6 SOCAMM2 (13-oct). Y el MRDIMM, un módulo que dobla la velocidad y lleva más chips de interfaz. La empresa espera ventas pequeñas de MRDIMM en el 4T y relevantes en 2027 [4][13].</w:t>
      </w:r>
    </w:p>
    <w:bookmarkEnd w:id="22"/>
    <w:bookmarkStart w:id="23" w:name="crecimiento"/>
    <w:p>
      <w:pPr>
        <w:pStyle w:val="Heading2"/>
      </w:pPr>
      <w:r>
        <w:t xml:space="preserve">3. Crecimiento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Trimestre</w:t>
            </w:r>
          </w:p>
        </w:tc>
        <w:tc>
          <w:tcPr/>
          <w:p>
            <w:pPr>
              <w:pStyle w:val="Compact"/>
              <w:jc w:val="left"/>
            </w:pPr>
            <w:r>
              <w:t xml:space="preserve">Ventas (M USD)</w:t>
            </w:r>
          </w:p>
        </w:tc>
        <w:tc>
          <w:tcPr/>
          <w:p>
            <w:pPr>
              <w:pStyle w:val="Compact"/>
              <w:jc w:val="left"/>
            </w:pPr>
            <w:r>
              <w:t xml:space="preserve">Crecimiento interanual</w:t>
            </w:r>
          </w:p>
        </w:tc>
        <w:tc>
          <w:tcPr/>
          <w:p>
            <w:pPr>
              <w:pStyle w:val="Compact"/>
              <w:jc w:val="left"/>
            </w:pPr>
            <w:r>
              <w:t xml:space="preserve">De ellas, chips (M USD)</w:t>
            </w:r>
          </w:p>
        </w:tc>
      </w:tr>
      <w:tr>
        <w:tc>
          <w:tcPr/>
          <w:p>
            <w:pPr>
              <w:pStyle w:val="Compact"/>
              <w:jc w:val="left"/>
            </w:pPr>
            <w:r>
              <w:t xml:space="preserve">2T25</w:t>
            </w:r>
          </w:p>
        </w:tc>
        <w:tc>
          <w:tcPr/>
          <w:p>
            <w:pPr>
              <w:pStyle w:val="Compact"/>
              <w:jc w:val="left"/>
            </w:pPr>
            <w:r>
              <w:t xml:space="preserve">172,2</w:t>
            </w:r>
          </w:p>
        </w:tc>
        <w:tc>
          <w:tcPr/>
          <w:p>
            <w:pPr>
              <w:pStyle w:val="Compact"/>
              <w:jc w:val="left"/>
            </w:pPr>
            <w:r>
              <w:t xml:space="preserve">+30 %</w:t>
            </w:r>
          </w:p>
        </w:tc>
        <w:tc>
          <w:tcPr/>
          <w:p>
            <w:pPr>
              <w:pStyle w:val="Compact"/>
              <w:jc w:val="left"/>
            </w:pPr>
            <w:r>
              <w:t xml:space="preserve">81,3</w:t>
            </w:r>
          </w:p>
        </w:tc>
      </w:tr>
      <w:tr>
        <w:tc>
          <w:tcPr/>
          <w:p>
            <w:pPr>
              <w:pStyle w:val="Compact"/>
              <w:jc w:val="left"/>
            </w:pPr>
            <w:r>
              <w:t xml:space="preserve">3T25</w:t>
            </w:r>
          </w:p>
        </w:tc>
        <w:tc>
          <w:tcPr/>
          <w:p>
            <w:pPr>
              <w:pStyle w:val="Compact"/>
              <w:jc w:val="left"/>
            </w:pPr>
            <w:r>
              <w:t xml:space="preserve">178,5</w:t>
            </w:r>
          </w:p>
        </w:tc>
        <w:tc>
          <w:tcPr/>
          <w:p>
            <w:pPr>
              <w:pStyle w:val="Compact"/>
              <w:jc w:val="left"/>
            </w:pPr>
            <w:r>
              <w:t xml:space="preserve">+23 %</w:t>
            </w:r>
          </w:p>
        </w:tc>
        <w:tc>
          <w:tcPr/>
          <w:p>
            <w:pPr>
              <w:pStyle w:val="Compact"/>
              <w:jc w:val="left"/>
            </w:pPr>
            <w:r>
              <w:t xml:space="preserve">93,3</w:t>
            </w:r>
          </w:p>
        </w:tc>
      </w:tr>
      <w:tr>
        <w:tc>
          <w:tcPr/>
          <w:p>
            <w:pPr>
              <w:pStyle w:val="Compact"/>
              <w:jc w:val="left"/>
            </w:pPr>
            <w:r>
              <w:t xml:space="preserve">4T25</w:t>
            </w:r>
          </w:p>
        </w:tc>
        <w:tc>
          <w:tcPr/>
          <w:p>
            <w:pPr>
              <w:pStyle w:val="Compact"/>
              <w:jc w:val="left"/>
            </w:pPr>
            <w:r>
              <w:t xml:space="preserve">190,2</w:t>
            </w:r>
          </w:p>
        </w:tc>
        <w:tc>
          <w:tcPr/>
          <w:p>
            <w:pPr>
              <w:pStyle w:val="Compact"/>
              <w:jc w:val="left"/>
            </w:pPr>
            <w:r>
              <w:t xml:space="preserve">+18 %</w:t>
            </w:r>
          </w:p>
        </w:tc>
        <w:tc>
          <w:tcPr/>
          <w:p>
            <w:pPr>
              <w:pStyle w:val="Compact"/>
              <w:jc w:val="left"/>
            </w:pPr>
            <w:r>
              <w:t xml:space="preserve">96,8</w:t>
            </w:r>
          </w:p>
        </w:tc>
      </w:tr>
      <w:tr>
        <w:tc>
          <w:tcPr/>
          <w:p>
            <w:pPr>
              <w:pStyle w:val="Compact"/>
              <w:jc w:val="left"/>
            </w:pPr>
            <w:r>
              <w:t xml:space="preserve">1T26</w:t>
            </w:r>
          </w:p>
        </w:tc>
        <w:tc>
          <w:tcPr/>
          <w:p>
            <w:pPr>
              <w:pStyle w:val="Compact"/>
              <w:jc w:val="left"/>
            </w:pPr>
            <w:r>
              <w:t xml:space="preserve">180,2</w:t>
            </w:r>
          </w:p>
        </w:tc>
        <w:tc>
          <w:tcPr/>
          <w:p>
            <w:pPr>
              <w:pStyle w:val="Compact"/>
              <w:jc w:val="left"/>
            </w:pPr>
            <w:r>
              <w:t xml:space="preserve">+8 %</w:t>
            </w:r>
          </w:p>
        </w:tc>
        <w:tc>
          <w:tcPr/>
          <w:p>
            <w:pPr>
              <w:pStyle w:val="Compact"/>
              <w:jc w:val="left"/>
            </w:pPr>
            <w:r>
              <w:t xml:space="preserve">88,0</w:t>
            </w:r>
          </w:p>
        </w:tc>
      </w:tr>
      <w:tr>
        <w:tc>
          <w:tcPr/>
          <w:p>
            <w:pPr>
              <w:pStyle w:val="Compact"/>
              <w:jc w:val="left"/>
            </w:pPr>
            <w:r>
              <w:t xml:space="preserve">2T26</w:t>
            </w:r>
          </w:p>
        </w:tc>
        <w:tc>
          <w:tcPr/>
          <w:p>
            <w:pPr>
              <w:pStyle w:val="Compact"/>
              <w:jc w:val="left"/>
            </w:pPr>
            <w:r>
              <w:t xml:space="preserve">207,4</w:t>
            </w:r>
          </w:p>
        </w:tc>
        <w:tc>
          <w:tcPr/>
          <w:p>
            <w:pPr>
              <w:pStyle w:val="Compact"/>
              <w:jc w:val="left"/>
            </w:pPr>
            <w:r>
              <w:t xml:space="preserve">+20 %</w:t>
            </w:r>
          </w:p>
        </w:tc>
        <w:tc>
          <w:tcPr/>
          <w:p>
            <w:pPr>
              <w:pStyle w:val="Compact"/>
              <w:jc w:val="left"/>
            </w:pPr>
            <w:r>
              <w:t xml:space="preserve">99,2</w:t>
            </w:r>
          </w:p>
        </w:tc>
      </w:tr>
      <w:tr>
        <w:tc>
          <w:tcPr/>
          <w:p>
            <w:pPr>
              <w:pStyle w:val="Compact"/>
              <w:jc w:val="left"/>
            </w:pPr>
            <w:r>
              <w:t xml:space="preserve">3T26 (guía)</w:t>
            </w:r>
          </w:p>
        </w:tc>
        <w:tc>
          <w:tcPr/>
          <w:p>
            <w:pPr>
              <w:pStyle w:val="Compact"/>
              <w:jc w:val="left"/>
            </w:pPr>
            <w:r>
              <w:t xml:space="preserve">210-216</w:t>
            </w:r>
          </w:p>
        </w:tc>
        <w:tc>
          <w:tcPr/>
          <w:p>
            <w:pPr>
              <w:pStyle w:val="Compact"/>
              <w:jc w:val="left"/>
            </w:pPr>
            <w:r>
              <w:t xml:space="preserve">+19 %</w:t>
            </w:r>
          </w:p>
        </w:tc>
        <w:tc>
          <w:tcPr/>
          <w:p>
            <w:pPr>
              <w:pStyle w:val="Compact"/>
              <w:jc w:val="left"/>
            </w:pPr>
            <w:r>
              <w:t xml:space="preserve">110-116</w:t>
            </w:r>
          </w:p>
        </w:tc>
      </w:tr>
    </w:tbl>
    <w:p>
      <w:pPr>
        <w:pStyle w:val="BodyText"/>
      </w:pPr>
      <w:r>
        <w:t xml:space="preserve">Fuente: XBRL de la SEC y notas de resultados [1][2][5].</w:t>
      </w:r>
    </w:p>
    <w:p>
      <w:pPr>
        <w:numPr>
          <w:ilvl w:val="0"/>
          <w:numId w:val="1003"/>
        </w:numPr>
        <w:pStyle w:val="Compact"/>
      </w:pPr>
      <w:r>
        <w:rPr>
          <w:bCs/>
          <w:b/>
        </w:rPr>
        <w:t xml:space="preserve">Últimos 12 meses.</w:t>
      </w:r>
      <w:r>
        <w:t xml:space="preserve"> </w:t>
      </w:r>
      <w:r>
        <w:t xml:space="preserve">756,3 M, un 17,2 % más.</w:t>
      </w:r>
    </w:p>
    <w:p>
      <w:pPr>
        <w:numPr>
          <w:ilvl w:val="0"/>
          <w:numId w:val="1003"/>
        </w:numPr>
        <w:pStyle w:val="Compact"/>
      </w:pPr>
      <w:r>
        <w:rPr>
          <w:bCs/>
          <w:b/>
        </w:rPr>
        <w:t xml:space="preserve">Aceleración.</w:t>
      </w:r>
      <w:r>
        <w:t xml:space="preserve"> </w:t>
      </w:r>
      <w:r>
        <w:t xml:space="preserve">+0,6 puntos: el 2T crece un 20,4 %, frente a una media del 19,8 % en los cuatro trimestres anteriores.</w:t>
      </w:r>
    </w:p>
    <w:p>
      <w:pPr>
        <w:numPr>
          <w:ilvl w:val="0"/>
          <w:numId w:val="1003"/>
        </w:numPr>
        <w:pStyle w:val="Compact"/>
      </w:pPr>
      <w:r>
        <w:rPr>
          <w:bCs/>
          <w:b/>
        </w:rPr>
        <w:t xml:space="preserve">CAGR a 2 años.</w:t>
      </w:r>
      <w:r>
        <w:t xml:space="preserve"> </w:t>
      </w:r>
      <w:r>
        <w:t xml:space="preserve">+25,9 %.</w:t>
      </w:r>
    </w:p>
    <w:p>
      <w:pPr>
        <w:numPr>
          <w:ilvl w:val="0"/>
          <w:numId w:val="1003"/>
        </w:numPr>
        <w:pStyle w:val="Compact"/>
      </w:pPr>
      <w:r>
        <w:rPr>
          <w:bCs/>
          <w:b/>
        </w:rPr>
        <w:t xml:space="preserve">Años completos.</w:t>
      </w:r>
      <w:r>
        <w:t xml:space="preserve"> </w:t>
      </w:r>
      <w:r>
        <w:t xml:space="preserve">2023 461 M, 2024 557 M y 2025 708 M (+27 %). Los chips crecieron un 41 % en 2025.</w:t>
      </w:r>
    </w:p>
    <w:p>
      <w:pPr>
        <w:numPr>
          <w:ilvl w:val="0"/>
          <w:numId w:val="1003"/>
        </w:numPr>
        <w:pStyle w:val="Compact"/>
      </w:pPr>
      <w:r>
        <w:rPr>
          <w:bCs/>
          <w:b/>
        </w:rPr>
        <w:t xml:space="preserve">Guía.</w:t>
      </w:r>
      <w:r>
        <w:t xml:space="preserve"> </w:t>
      </w:r>
      <w:r>
        <w:t xml:space="preserve">Solo trimestral, sin guía anual (por eso</w:t>
      </w:r>
      <w:r>
        <w:t xml:space="preserve"> </w:t>
      </w:r>
      <w:r>
        <w:rPr>
          <w:rStyle w:val="VerbatimChar"/>
        </w:rPr>
        <w:t xml:space="preserve">guia_12m_pct</w:t>
      </w:r>
      <w:r>
        <w:t xml:space="preserve"> </w:t>
      </w:r>
      <w:r>
        <w:t xml:space="preserve">es null). En los chips suele cumplir o batir la guía por poco: de media, 1,3 M por trimestre [2].</w:t>
      </w:r>
    </w:p>
    <w:p>
      <w:pPr>
        <w:numPr>
          <w:ilvl w:val="0"/>
          <w:numId w:val="1003"/>
        </w:numPr>
        <w:pStyle w:val="Compact"/>
      </w:pPr>
      <w:r>
        <w:rPr>
          <w:bCs/>
          <w:b/>
        </w:rPr>
        <w:t xml:space="preserve">Consenso</w:t>
      </w:r>
      <w:r>
        <w:t xml:space="preserve"> </w:t>
      </w:r>
      <w:r>
        <w:t xml:space="preserve">(8 analistas) [8]: 2026 828 M y 2027 998 M (+20 %).</w:t>
      </w:r>
    </w:p>
    <w:bookmarkEnd w:id="23"/>
    <w:bookmarkStart w:id="24" w:name="mercado-y-competencia"/>
    <w:p>
      <w:pPr>
        <w:pStyle w:val="Heading2"/>
      </w:pPr>
      <w:r>
        <w:t xml:space="preserve">4. Mercado y competencia</w:t>
      </w:r>
    </w:p>
    <w:p>
      <w:pPr>
        <w:pStyle w:val="FirstParagraph"/>
      </w:pPr>
      <w:r>
        <w:rPr>
          <w:bCs/>
          <w:b/>
        </w:rPr>
        <w:t xml:space="preserve">Tamaño.</w:t>
      </w:r>
      <w:r>
        <w:t xml:space="preserve"> </w:t>
      </w:r>
      <w:r>
        <w:t xml:space="preserve">El mercado de chips de interfaz para módulos de servidor (RCD, chips acompañantes y MRDIMM) es de unos 2.000-2.500 M [10]. Si se suma la IP de interfaz y seguridad, unos 4.000 M a mediados de 2028 (estimación propia; la parte de IP es de memoria, sin comprobar). Penetración: 19 %. Las regalías no dependen de este mercado.</w:t>
      </w:r>
    </w:p>
    <w:p>
      <w:pPr>
        <w:pStyle w:val="BodyText"/>
      </w:pPr>
      <w:r>
        <w:rPr>
          <w:bCs/>
          <w:b/>
        </w:rPr>
        <w:t xml:space="preserve">Rivales.</w:t>
      </w:r>
      <w:r>
        <w:t xml:space="preserve"> </w:t>
      </w:r>
      <w:r>
        <w:t xml:space="preserve">- Montage Technology (China), con un 40-45 % del RCD. Ya muestrea su RCD de sexta generación (junio de 2026) y prepara su MRDIMM para finales de 2026 [10].</w:t>
      </w:r>
      <w:r>
        <w:t xml:space="preserve"> </w:t>
      </w:r>
      <w:r>
        <w:t xml:space="preserve">- Renesas, con un 10-15 %. Entre los tres tienen más del 95 % del mercado.</w:t>
      </w:r>
    </w:p>
    <w:p>
      <w:pPr>
        <w:pStyle w:val="BodyText"/>
      </w:pPr>
      <w:r>
        <w:rPr>
          <w:bCs/>
          <w:b/>
        </w:rPr>
        <w:t xml:space="preserve">Por qué gana.</w:t>
      </w:r>
      <w:r>
        <w:t xml:space="preserve"> </w:t>
      </w:r>
      <w:r>
        <w:t xml:space="preserve">Rambus pasó de un 25 % en DDR4 a un 40-45 % en DDR5. Homologar un chip nuevo con los fabricantes de memoria y de procesadores lleva de tres a cinco años, y eso frena a los nuevos rivales [10].</w:t>
      </w:r>
    </w:p>
    <w:p>
      <w:pPr>
        <w:pStyle w:val="BodyText"/>
      </w:pPr>
      <w:r>
        <w:rPr>
          <w:bCs/>
          <w:b/>
        </w:rPr>
        <w:t xml:space="preserve">Por qué no puede cobrar más.</w:t>
      </w:r>
      <w:r>
        <w:t xml:space="preserve"> </w:t>
      </w:r>
      <w:r>
        <w:t xml:space="preserve">Montage tiene la misma cuota y el mismo calendario. Rambus vende por unidades: si se fabrican menos módulos, vende menos, aunque la memoria sea cara [9].</w:t>
      </w:r>
    </w:p>
    <w:p>
      <w:pPr>
        <w:pStyle w:val="BodyText"/>
      </w:pPr>
      <w:r>
        <w:rPr>
          <w:bCs/>
          <w:b/>
        </w:rPr>
        <w:t xml:space="preserve">Clientes.</w:t>
      </w:r>
      <w:r>
        <w:t xml:space="preserve"> </w:t>
      </w:r>
      <w:r>
        <w:t xml:space="preserve">Los dos mayores son el 40 % de las ventas del 1S26 (25 % y 15 %; en el 2T, 22 % y 16 %). Son los fabricantes de memoria, que compran los chips para montar sus módulos y además pagan regalías. La demanda final viene de los fabricantes de servidores y de la nube, mucho más repartida [5].</w:t>
      </w:r>
    </w:p>
    <w:bookmarkEnd w:id="24"/>
    <w:bookmarkStart w:id="26"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r>
      <w:tr>
        <w:tc>
          <w:tcPr/>
          <w:p>
            <w:pPr>
              <w:pStyle w:val="Compact"/>
              <w:jc w:val="left"/>
            </w:pPr>
            <w:r>
              <w:t xml:space="preserve">1. Revisiones al alza</w:t>
            </w:r>
          </w:p>
        </w:tc>
        <w:tc>
          <w:tcPr/>
          <w:p>
            <w:pPr>
              <w:pStyle w:val="Compact"/>
              <w:jc w:val="left"/>
            </w:pPr>
            <w:r>
              <w:t xml:space="preserve">No</w:t>
            </w:r>
          </w:p>
        </w:tc>
        <w:tc>
          <w:tcPr/>
          <w:p>
            <w:pPr>
              <w:pStyle w:val="Compact"/>
              <w:jc w:val="left"/>
            </w:pPr>
            <w:r>
              <w:t xml:space="preserve">Tras el 2T, los analistas reiteran sus objetivos (145 USD) y no suben previsiones; la última subida es del 15-jul [8]</w:t>
            </w:r>
          </w:p>
        </w:tc>
      </w:tr>
      <w:tr>
        <w:tc>
          <w:tcPr/>
          <w:p>
            <w:pPr>
              <w:pStyle w:val="Compact"/>
              <w:jc w:val="left"/>
            </w:pPr>
            <w:r>
              <w:t xml:space="preserve">2. Precio sobre la media de 200 sesiones</w:t>
            </w:r>
          </w:p>
        </w:tc>
        <w:tc>
          <w:tcPr/>
          <w:p>
            <w:pPr>
              <w:pStyle w:val="Compact"/>
              <w:jc w:val="left"/>
            </w:pPr>
            <w:r>
              <w:t xml:space="preserve">No</w:t>
            </w:r>
          </w:p>
        </w:tc>
        <w:tc>
          <w:tcPr/>
          <w:p>
            <w:pPr>
              <w:pStyle w:val="Compact"/>
              <w:jc w:val="left"/>
            </w:pPr>
            <w:r>
              <w:t xml:space="preserve">92,11 frente a 108,3 USD, y la media no sube [7]</w:t>
            </w:r>
          </w:p>
        </w:tc>
      </w:tr>
      <w:tr>
        <w:tc>
          <w:tcPr/>
          <w:p>
            <w:pPr>
              <w:pStyle w:val="Compact"/>
              <w:jc w:val="left"/>
            </w:pPr>
            <w:r>
              <w:t xml:space="preserve">3. Fuerza relativa a 6 meses</w:t>
            </w:r>
          </w:p>
        </w:tc>
        <w:tc>
          <w:tcPr/>
          <w:p>
            <w:pPr>
              <w:pStyle w:val="Compact"/>
              <w:jc w:val="left"/>
            </w:pPr>
            <w:r>
              <w:t xml:space="preserve">No</w:t>
            </w:r>
          </w:p>
        </w:tc>
        <w:tc>
          <w:tcPr/>
          <w:p>
            <w:pPr>
              <w:pStyle w:val="Compact"/>
              <w:jc w:val="left"/>
            </w:pPr>
            <w:r>
              <w:t xml:space="preserve">−24 %, frente a +16 % del Nasdaq-100 y +30 % de los semiconductores [7]</w:t>
            </w:r>
          </w:p>
        </w:tc>
      </w:tr>
      <w:tr>
        <w:tc>
          <w:tcPr/>
          <w:p>
            <w:pPr>
              <w:pStyle w:val="Compact"/>
              <w:jc w:val="left"/>
            </w:pPr>
            <w:r>
              <w:t xml:space="preserve">4. Mejora de múltiplo</w:t>
            </w:r>
          </w:p>
        </w:tc>
        <w:tc>
          <w:tcPr/>
          <w:p>
            <w:pPr>
              <w:pStyle w:val="Compact"/>
              <w:jc w:val="left"/>
            </w:pPr>
            <w:r>
              <w:t xml:space="preserve">No</w:t>
            </w:r>
          </w:p>
        </w:tc>
        <w:tc>
          <w:tcPr/>
          <w:p>
            <w:pPr>
              <w:pStyle w:val="Compact"/>
              <w:jc w:val="left"/>
            </w:pPr>
            <w:r>
              <w:t xml:space="preserve">EV/ventas de 10,2 veces, un 16,5 % más que en su mínimo de septiembre (8,7 veces); hace falta un 20 % [7][12]</w:t>
            </w:r>
          </w:p>
        </w:tc>
      </w:tr>
      <w:tr>
        <w:tc>
          <w:tcPr/>
          <w:p>
            <w:pPr>
              <w:pStyle w:val="Compact"/>
              <w:jc w:val="left"/>
            </w:pPr>
            <w:r>
              <w:t xml:space="preserve">5. Inflexión operativa</w:t>
            </w:r>
          </w:p>
        </w:tc>
        <w:tc>
          <w:tcPr/>
          <w:p>
            <w:pPr>
              <w:pStyle w:val="Compact"/>
              <w:jc w:val="left"/>
            </w:pPr>
            <w:r>
              <w:t xml:space="preserve">No</w:t>
            </w:r>
          </w:p>
        </w:tc>
        <w:tc>
          <w:tcPr/>
          <w:p>
            <w:pPr>
              <w:pStyle w:val="Compact"/>
              <w:jc w:val="left"/>
            </w:pPr>
            <w:r>
              <w:t xml:space="preserve">Margen operativo no GAAP del 45 %, frente al 46 % de hace un año: ya era rentable [1]</w:t>
            </w:r>
          </w:p>
        </w:tc>
      </w:tr>
      <w:tr>
        <w:tc>
          <w:tcPr/>
          <w:p>
            <w:pPr>
              <w:pStyle w:val="Compact"/>
              <w:jc w:val="left"/>
            </w:pPr>
            <w:r>
              <w:t xml:space="preserve">6. Sentimiento mejorando</w:t>
            </w:r>
          </w:p>
        </w:tc>
        <w:tc>
          <w:tcPr/>
          <w:p>
            <w:pPr>
              <w:pStyle w:val="Compact"/>
              <w:jc w:val="left"/>
            </w:pPr>
            <w:r>
              <w:t xml:space="preserve">No</w:t>
            </w:r>
          </w:p>
        </w:tc>
        <w:tc>
          <w:tcPr/>
          <w:p>
            <w:pPr>
              <w:pStyle w:val="Compact"/>
              <w:jc w:val="left"/>
            </w:pPr>
            <w:r>
              <w:t xml:space="preserve">−19 % en seis sesiones; en los foros hay frustración, no euforia [11][13]</w:t>
            </w:r>
          </w:p>
        </w:tc>
      </w:tr>
      <w:tr>
        <w:tc>
          <w:tcPr/>
          <w:p>
            <w:pPr>
              <w:pStyle w:val="Compact"/>
              <w:jc w:val="left"/>
            </w:pPr>
            <w:r>
              <w:t xml:space="preserve">7. Compras de directivos o de inversores de referencia</w:t>
            </w:r>
          </w:p>
        </w:tc>
        <w:tc>
          <w:tcPr/>
          <w:p>
            <w:pPr>
              <w:pStyle w:val="Compact"/>
              <w:jc w:val="left"/>
            </w:pPr>
            <w:r>
              <w:t xml:space="preserve">No</w:t>
            </w:r>
          </w:p>
        </w:tc>
        <w:tc>
          <w:tcPr/>
          <w:p>
            <w:pPr>
              <w:pStyle w:val="Compact"/>
              <w:jc w:val="left"/>
            </w:pPr>
            <w:r>
              <w:t xml:space="preserve">Solo ventas de consejeros y directivos desde abril; la empresa sí recompra, 100 M [3][6]</w:t>
            </w:r>
          </w:p>
        </w:tc>
      </w:tr>
      <w:tr>
        <w:tc>
          <w:tcPr/>
          <w:p>
            <w:pPr>
              <w:pStyle w:val="Compact"/>
              <w:jc w:val="left"/>
            </w:pPr>
            <w:r>
              <w:t xml:space="preserve">8. Catalizador nuevo</w:t>
            </w:r>
          </w:p>
        </w:tc>
        <w:tc>
          <w:tcPr/>
          <w:p>
            <w:pPr>
              <w:pStyle w:val="Compact"/>
              <w:jc w:val="left"/>
            </w:pPr>
            <w:r>
              <w:t xml:space="preserve">Sí</w:t>
            </w:r>
          </w:p>
        </w:tc>
        <w:tc>
          <w:tcPr/>
          <w:p>
            <w:pPr>
              <w:pStyle w:val="Compact"/>
              <w:jc w:val="left"/>
            </w:pPr>
            <w:r>
              <w:t xml:space="preserve">Resultados el 26-oct, con un récord de chips previsto; MRDIMM en 2027 [1][4][14]</w:t>
            </w:r>
          </w:p>
        </w:tc>
      </w:tr>
    </w:tbl>
    <w:p>
      <w:pPr>
        <w:pStyle w:val="BodyText"/>
      </w:pPr>
      <w:r>
        <w:rPr>
          <w:bCs/>
          <w:b/>
        </w:rPr>
        <w:t xml:space="preserve">Euforia: no.</w:t>
      </w:r>
      <w:r>
        <w:t xml:space="preserve"> </w:t>
      </w:r>
      <w:r>
        <w:t xml:space="preserve">La acción baja un 2,9 % en 12 meses.</w:t>
      </w:r>
    </w:p>
    <w:bookmarkStart w:id="25" w:name="X5a833fff1050b044f6fc03bb08c0b9aa8cadc72"/>
    <w:p>
      <w:pPr>
        <w:pStyle w:val="Heading3"/>
      </w:pPr>
      <w:r>
        <w:t xml:space="preserve">Por qué ha caído (−24 % en seis meses, −42 % desde el 24-abr y −46 % desde el máximo de junio)</w:t>
      </w:r>
    </w:p>
    <w:p>
      <w:pPr>
        <w:numPr>
          <w:ilvl w:val="0"/>
          <w:numId w:val="1004"/>
        </w:numPr>
        <w:pStyle w:val="Compact"/>
      </w:pPr>
      <w:r>
        <w:rPr>
          <w:bCs/>
          <w:b/>
        </w:rPr>
        <w:t xml:space="preserve">Resultados del 1T (27-abr): −30 % en dos sesiones</w:t>
      </w:r>
      <w:r>
        <w:t xml:space="preserve">, de 158,40 a 111,27 USD [7][9].</w:t>
      </w:r>
    </w:p>
    <w:p>
      <w:pPr>
        <w:numPr>
          <w:ilvl w:val="1"/>
          <w:numId w:val="1005"/>
        </w:numPr>
        <w:pStyle w:val="Compact"/>
      </w:pPr>
      <w:r>
        <w:t xml:space="preserve">Las ventas crecieron solo un 8 %. Las regalías bajaron de 74 a 70 M y el margen operativo no GAAP, del 46 % al 42 %.</w:t>
      </w:r>
    </w:p>
    <w:p>
      <w:pPr>
        <w:numPr>
          <w:ilvl w:val="1"/>
          <w:numId w:val="1005"/>
        </w:numPr>
        <w:pStyle w:val="Compact"/>
      </w:pPr>
      <w:r>
        <w:t xml:space="preserve">El mismo día, Baird rebajó la recomendación. Su razón es el</w:t>
      </w:r>
      <w:r>
        <w:t xml:space="preserve"> </w:t>
      </w:r>
      <w:r>
        <w:rPr>
          <w:bCs/>
          <w:b/>
        </w:rPr>
        <w:t xml:space="preserve">ciclo de la memoria</w:t>
      </w:r>
      <w:r>
        <w:t xml:space="preserve">: Samsung, SK hynix y Micron dedican su capacidad nueva a la HBM, la memoria de los chips de IA, que no lleva RCD. Queda poca memoria para los módulos de servidor normales. Baird prevé que las unidades de RDIMM crezcan un 20 % en 2026 y solo un 12-15 % en 2027.</w:t>
      </w:r>
    </w:p>
    <w:p>
      <w:pPr>
        <w:numPr>
          <w:ilvl w:val="0"/>
          <w:numId w:val="1004"/>
        </w:numPr>
        <w:pStyle w:val="Compact"/>
      </w:pPr>
      <w:r>
        <w:rPr>
          <w:bCs/>
          <w:b/>
        </w:rPr>
        <w:t xml:space="preserve">Junio-julio: de 170,66 a 82,81 USD.</w:t>
      </w:r>
    </w:p>
    <w:p>
      <w:pPr>
        <w:numPr>
          <w:ilvl w:val="1"/>
          <w:numId w:val="1006"/>
        </w:numPr>
        <w:pStyle w:val="Compact"/>
      </w:pPr>
      <w:r>
        <w:t xml:space="preserve">Tras una subida del 50 % en mayo, el sector recogió beneficios.</w:t>
      </w:r>
    </w:p>
    <w:p>
      <w:pPr>
        <w:numPr>
          <w:ilvl w:val="1"/>
          <w:numId w:val="1006"/>
        </w:numPr>
        <w:pStyle w:val="Compact"/>
      </w:pPr>
      <w:r>
        <w:t xml:space="preserve">En los resultados del 2T (27-jul), la</w:t>
      </w:r>
      <w:r>
        <w:t xml:space="preserve"> </w:t>
      </w:r>
      <w:r>
        <w:rPr>
          <w:bCs/>
          <w:b/>
        </w:rPr>
        <w:t xml:space="preserve">guía</w:t>
      </w:r>
      <w:r>
        <w:t xml:space="preserve"> </w:t>
      </w:r>
      <w:r>
        <w:t xml:space="preserve">del 3T mostró que las regalías volvían a bajar, de 84 a 69-75 M, aunque los chips seguían en récord. Además, la empresa repitió que solo guía trimestre a trimestre porque falta memoria [1][4].</w:t>
      </w:r>
    </w:p>
    <w:p>
      <w:pPr>
        <w:numPr>
          <w:ilvl w:val="0"/>
          <w:numId w:val="1004"/>
        </w:numPr>
        <w:pStyle w:val="Compact"/>
      </w:pPr>
      <w:r>
        <w:rPr>
          <w:bCs/>
          <w:b/>
        </w:rPr>
        <w:t xml:space="preserve">Octubre: de 114,09 a 92,11 USD en seis sesiones (−19 %).</w:t>
      </w:r>
      <w:r>
        <w:t xml:space="preserve"> </w:t>
      </w:r>
      <w:r>
        <w:t xml:space="preserve">Cayó todo el sector de la memoria: SK hynix −10 % en un día y Micron −4 % dos días seguidos. La china CXMT anunció un diseño de DRAM más denso para servidores [11]. La caída de Rambus fue mayor que la del sector (−11 % los semiconductores desde el 7-oct) [7].</w:t>
      </w:r>
    </w:p>
    <w:p>
      <w:pPr>
        <w:numPr>
          <w:ilvl w:val="0"/>
          <w:numId w:val="1004"/>
        </w:numPr>
        <w:pStyle w:val="Compact"/>
      </w:pPr>
      <w:r>
        <w:rPr>
          <w:bCs/>
          <w:b/>
        </w:rPr>
        <w:t xml:space="preserve">Competencia en chips de interfaz para DDR5 y MRDIMM.</w:t>
      </w:r>
      <w:r>
        <w:t xml:space="preserve"> </w:t>
      </w:r>
      <w:r>
        <w:t xml:space="preserve">Montage llega a la sexta generación de RCD y al MRDIMM casi a la vez. La bolsa duda de que Rambus pueda ganar cuota o subir precios en el salto a MRDIMM [10].</w:t>
      </w:r>
    </w:p>
    <w:p>
      <w:pPr>
        <w:pStyle w:val="FirstParagraph"/>
      </w:pPr>
      <w:r>
        <w:rPr>
          <w:bCs/>
          <w:b/>
        </w:rPr>
        <w:t xml:space="preserve">Lo que no ha cambiado.</w:t>
      </w:r>
      <w:r>
        <w:t xml:space="preserve"> </w:t>
      </w:r>
      <w:r>
        <w:t xml:space="preserve">Los chips siguen en récord y la guía del 3T también lo es. La caja libre es del 40 % de las ventas. El mercado castiga a Rambus como si fuera un fabricante de memoria, y no lo es [10].</w:t>
      </w:r>
    </w:p>
    <w:bookmarkEnd w:id="25"/>
    <w:bookmarkEnd w:id="26"/>
    <w:bookmarkStart w:id="27" w:name="X6a3ced9ea5ed5bb9ac58f5e7c1bb09ad4718b77"/>
    <w:p>
      <w:pPr>
        <w:pStyle w:val="Heading2"/>
      </w:pPr>
      <w:r>
        <w:t xml:space="preserve">6. Economía unitaria y camino a la rentabilidad</w:t>
      </w:r>
    </w:p>
    <w:p>
      <w:pPr>
        <w:numPr>
          <w:ilvl w:val="0"/>
          <w:numId w:val="1007"/>
        </w:numPr>
        <w:pStyle w:val="Compact"/>
      </w:pPr>
      <w:r>
        <w:rPr>
          <w:bCs/>
          <w:b/>
        </w:rPr>
        <w:t xml:space="preserve">Margen bruto.</w:t>
      </w:r>
      <w:r>
        <w:t xml:space="preserve"> </w:t>
      </w:r>
      <w:r>
        <w:t xml:space="preserve">79,5 % en los últimos 12 meses. Los chips tienen un margen del ~60 % y las regalías, casi del 100 %: si los chips pesan más, el margen baja un poco [1].</w:t>
      </w:r>
    </w:p>
    <w:p>
      <w:pPr>
        <w:numPr>
          <w:ilvl w:val="0"/>
          <w:numId w:val="1007"/>
        </w:numPr>
        <w:pStyle w:val="Compact"/>
      </w:pPr>
      <w:r>
        <w:rPr>
          <w:bCs/>
          <w:b/>
        </w:rPr>
        <w:t xml:space="preserve">Margen operativo.</w:t>
      </w:r>
      <w:r>
        <w:t xml:space="preserve"> </w:t>
      </w:r>
      <w:r>
        <w:t xml:space="preserve">35 % contable y 45 % no GAAP en el 2T.</w:t>
      </w:r>
    </w:p>
    <w:p>
      <w:pPr>
        <w:numPr>
          <w:ilvl w:val="0"/>
          <w:numId w:val="1007"/>
        </w:numPr>
        <w:pStyle w:val="Compact"/>
      </w:pPr>
      <w:r>
        <w:rPr>
          <w:bCs/>
          <w:b/>
        </w:rPr>
        <w:t xml:space="preserve">Caja libre (FCF).</w:t>
      </w:r>
      <w:r>
        <w:t xml:space="preserve"> </w:t>
      </w:r>
      <w:r>
        <w:t xml:space="preserve">299,6 M en 12 meses, un 39,6 % de las ventas. En 2025 fue de 333 M: baja algo porque la empresa acumula inventario para las nuevas rampas [5].</w:t>
      </w:r>
    </w:p>
    <w:p>
      <w:pPr>
        <w:numPr>
          <w:ilvl w:val="0"/>
          <w:numId w:val="1007"/>
        </w:numPr>
        <w:pStyle w:val="Compact"/>
      </w:pPr>
      <w:r>
        <w:rPr>
          <w:bCs/>
          <w:b/>
        </w:rPr>
        <w:t xml:space="preserve">Regla del 40.</w:t>
      </w:r>
      <w:r>
        <w:t xml:space="preserve"> </w:t>
      </w:r>
      <w:r>
        <w:t xml:space="preserve">57: crece un 17 % y deja un 40 % de caja libre.</w:t>
      </w:r>
    </w:p>
    <w:p>
      <w:pPr>
        <w:numPr>
          <w:ilvl w:val="0"/>
          <w:numId w:val="1007"/>
        </w:numPr>
        <w:pStyle w:val="Compact"/>
      </w:pPr>
      <w:r>
        <w:rPr>
          <w:bCs/>
          <w:b/>
        </w:rPr>
        <w:t xml:space="preserve">EBITDA ajustado.</w:t>
      </w:r>
      <w:r>
        <w:t xml:space="preserve"> </w:t>
      </w:r>
      <w:r>
        <w:t xml:space="preserve">352 M en 2025 (49,8 % de las ventas). Para los próximos 12 meses se estiman unos 453 M.</w:t>
      </w:r>
    </w:p>
    <w:bookmarkEnd w:id="27"/>
    <w:bookmarkStart w:id="28" w:name="caja-deuda-y-dilución"/>
    <w:p>
      <w:pPr>
        <w:pStyle w:val="Heading2"/>
      </w:pPr>
      <w:r>
        <w:t xml:space="preserve">7. Caja, deuda y dilución</w:t>
      </w:r>
    </w:p>
    <w:p>
      <w:pPr>
        <w:numPr>
          <w:ilvl w:val="0"/>
          <w:numId w:val="1008"/>
        </w:numPr>
        <w:pStyle w:val="Compact"/>
      </w:pPr>
      <w:r>
        <w:rPr>
          <w:bCs/>
          <w:b/>
        </w:rPr>
        <w:t xml:space="preserve">Caja.</w:t>
      </w:r>
      <w:r>
        <w:t xml:space="preserve"> </w:t>
      </w:r>
      <w:r>
        <w:t xml:space="preserve">824,9 M a 30-jun. Quedan unos 725 M tras pagar la recompra acelerada de 100 M en agosto [1][3].</w:t>
      </w:r>
    </w:p>
    <w:p>
      <w:pPr>
        <w:numPr>
          <w:ilvl w:val="0"/>
          <w:numId w:val="1008"/>
        </w:numPr>
        <w:pStyle w:val="Compact"/>
      </w:pPr>
      <w:r>
        <w:rPr>
          <w:bCs/>
          <w:b/>
        </w:rPr>
        <w:t xml:space="preserve">Deuda.</w:t>
      </w:r>
      <w:r>
        <w:t xml:space="preserve"> </w:t>
      </w:r>
      <w:r>
        <w:t xml:space="preserve">Ninguna.</w:t>
      </w:r>
    </w:p>
    <w:p>
      <w:pPr>
        <w:numPr>
          <w:ilvl w:val="0"/>
          <w:numId w:val="1008"/>
        </w:numPr>
        <w:pStyle w:val="Compact"/>
      </w:pPr>
      <w:r>
        <w:rPr>
          <w:bCs/>
          <w:b/>
        </w:rPr>
        <w:t xml:space="preserve">Dilución.</w:t>
      </w:r>
      <w:r>
        <w:t xml:space="preserve"> </w:t>
      </w:r>
      <w:r>
        <w:t xml:space="preserve">+1,3 % en un año.</w:t>
      </w:r>
    </w:p>
    <w:p>
      <w:pPr>
        <w:numPr>
          <w:ilvl w:val="0"/>
          <w:numId w:val="1008"/>
        </w:numPr>
        <w:pStyle w:val="Compact"/>
      </w:pPr>
      <w:r>
        <w:rPr>
          <w:bCs/>
          <w:b/>
        </w:rPr>
        <w:t xml:space="preserve">Pagos en acciones.</w:t>
      </w:r>
      <w:r>
        <w:t xml:space="preserve"> </w:t>
      </w:r>
      <w:r>
        <w:t xml:space="preserve">7,4 % de las ventas: es moderado.</w:t>
      </w:r>
    </w:p>
    <w:p>
      <w:pPr>
        <w:numPr>
          <w:ilvl w:val="0"/>
          <w:numId w:val="1008"/>
        </w:numPr>
        <w:pStyle w:val="Compact"/>
      </w:pPr>
      <w:r>
        <w:rPr>
          <w:bCs/>
          <w:b/>
        </w:rPr>
        <w:t xml:space="preserve">Recompras.</w:t>
      </w:r>
      <w:r>
        <w:t xml:space="preserve"> </w:t>
      </w:r>
      <w:r>
        <w:t xml:space="preserve">Quedan autorizadas 5,5 M de acciones, además de la recompra acelerada [5].</w:t>
      </w:r>
    </w:p>
    <w:p>
      <w:pPr>
        <w:numPr>
          <w:ilvl w:val="0"/>
          <w:numId w:val="1008"/>
        </w:numPr>
        <w:pStyle w:val="Compact"/>
      </w:pPr>
      <w:r>
        <w:rPr>
          <w:bCs/>
          <w:b/>
        </w:rPr>
        <w:t xml:space="preserve">Dividendo.</w:t>
      </w:r>
      <w:r>
        <w:t xml:space="preserve"> </w:t>
      </w:r>
      <w:r>
        <w:t xml:space="preserve">No paga.</w:t>
      </w:r>
    </w:p>
    <w:bookmarkEnd w:id="28"/>
    <w:bookmarkStart w:id="29" w:name="dirección-y-ejecución"/>
    <w:p>
      <w:pPr>
        <w:pStyle w:val="Heading2"/>
      </w:pPr>
      <w:r>
        <w:t xml:space="preserve">8. Dirección y ejecución</w:t>
      </w:r>
    </w:p>
    <w:p>
      <w:pPr>
        <w:pStyle w:val="FirstParagraph"/>
      </w:pPr>
      <w:r>
        <w:rPr>
          <w:bCs/>
          <w:b/>
        </w:rPr>
        <w:t xml:space="preserve">Equipo.</w:t>
      </w:r>
      <w:r>
        <w:t xml:space="preserve"> </w:t>
      </w:r>
      <w:r>
        <w:t xml:space="preserve">Luc Seraphin es consejero delegado desde 2016 (de memoria). Ha llevado a Rambus de vivir de pleitos de patentes a vender chips.</w:t>
      </w:r>
    </w:p>
    <w:p>
      <w:pPr>
        <w:pStyle w:val="BodyText"/>
      </w:pPr>
      <w:r>
        <w:rPr>
          <w:bCs/>
          <w:b/>
        </w:rPr>
        <w:t xml:space="preserve">Cambios en finanzas.</w:t>
      </w:r>
      <w:r>
        <w:t xml:space="preserve"> </w:t>
      </w:r>
      <w:r>
        <w:t xml:space="preserve">En 2026 dimitió el director financiero, Desmond Lynch, y entró Sumeet Gagneja (presentó sus primeros resultados en julio). En septiembre se jubiló el director de contabilidad [3][13]. No hay indicios de problemas, pero son dos cambios en un año.</w:t>
      </w:r>
    </w:p>
    <w:p>
      <w:pPr>
        <w:pStyle w:val="BodyText"/>
      </w:pPr>
      <w:r>
        <w:rPr>
          <w:bCs/>
          <w:b/>
        </w:rPr>
        <w:t xml:space="preserve">Historial (4/5).</w:t>
      </w:r>
      <w:r>
        <w:t xml:space="preserve"> </w:t>
      </w:r>
      <w:r>
        <w:t xml:space="preserve">Cumple o bate la guía de chips en los últimos cuatro trimestres, siempre por poco. Las regalías le dan sustos [2].</w:t>
      </w:r>
    </w:p>
    <w:p>
      <w:pPr>
        <w:pStyle w:val="BodyText"/>
      </w:pPr>
      <w:r>
        <w:rPr>
          <w:bCs/>
          <w:b/>
        </w:rPr>
        <w:t xml:space="preserve">Dirección (3/5).</w:t>
      </w:r>
      <w:r>
        <w:t xml:space="preserve"> </w:t>
      </w:r>
      <w:r>
        <w:t xml:space="preserve">- A favor: buena asignación de capital, sin deuda y con recompras.</w:t>
      </w:r>
      <w:r>
        <w:t xml:space="preserve"> </w:t>
      </w:r>
      <w:r>
        <w:t xml:space="preserve">- En contra: los directivos solo venden. El presidente del consejo vende 5.000 acciones al mes y el director de operaciones vendió 37.814 a 151,69 USD en mayo [6].</w:t>
      </w:r>
    </w:p>
    <w:bookmarkEnd w:id="29"/>
    <w:bookmarkStart w:id="30" w:name="valoración"/>
    <w:p>
      <w:pPr>
        <w:pStyle w:val="Heading2"/>
      </w:pPr>
      <w:r>
        <w:t xml:space="preserve">9. Valoración</w:t>
      </w:r>
    </w:p>
    <w:p>
      <w:pPr>
        <w:pStyle w:val="FirstParagraph"/>
      </w:pPr>
      <w:r>
        <w:rPr>
          <w:bCs/>
          <w:b/>
        </w:rPr>
        <w:t xml:space="preserve">Por qué se valora por EV/EBITDA.</w:t>
      </w:r>
      <w:r>
        <w:t xml:space="preserve"> </w:t>
      </w:r>
      <w:r>
        <w:t xml:space="preserve">Es rentable de forma estable desde 2021, con un margen operativo no GAAP del 40-46 % y caja libre de 200-360 M al año. Con un 40 % de las ventas en regalías de margen casi total, el múltiplo de ventas se queda corto para medirla.</w:t>
      </w:r>
    </w:p>
    <w:p>
      <w:pPr>
        <w:pStyle w:val="BodyText"/>
      </w:pPr>
      <w:r>
        <w:rPr>
          <w:bCs/>
          <w:b/>
        </w:rPr>
        <w:t xml:space="preserve">Base de cálculo.</w:t>
      </w:r>
      <w:r>
        <w:t xml:space="preserve"> </w:t>
      </w:r>
      <w:r>
        <w:t xml:space="preserve">- Valor de empresa: 9.315 M (92,11 USD × 109,2 M de acciones − 725 M de caja).</w:t>
      </w:r>
      <w:r>
        <w:t xml:space="preserve"> </w:t>
      </w:r>
      <w:r>
        <w:t xml:space="preserve">- Múltiplos sobre los próximos 12 meses: 20,6 veces el EBITDA (453 M, estimación propia con la guía del 3T y el consenso de 2027), 10,2 veces las ventas (916 M) y 12,8 veces el beneficio bruto. Este último está muy por debajo del tope de 35 del método.</w:t>
      </w:r>
      <w:r>
        <w:t xml:space="preserve"> </w:t>
      </w:r>
      <w:r>
        <w:t xml:space="preserve">- Su historia: mediana de 21,5 veces y mínimo de 12,1 veces en tres años. Hoy está en su media.</w:t>
      </w:r>
    </w:p>
    <w:p>
      <w:pPr>
        <w:pStyle w:val="BodyText"/>
      </w:pPr>
      <w:r>
        <w:rPr>
          <w:bCs/>
          <w:b/>
        </w:rPr>
        <w:t xml:space="preserve">Escenarios (v11, vigente).</w:t>
      </w:r>
      <w:r>
        <w:t xml:space="preserve"> </w:t>
      </w:r>
      <w:r>
        <w:t xml:space="preserve">Ventas de los 12 meses a junio de 2028.</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Ventas (M USD)</w:t>
            </w:r>
          </w:p>
        </w:tc>
        <w:tc>
          <w:tcPr/>
          <w:p>
            <w:pPr>
              <w:pStyle w:val="Compact"/>
              <w:jc w:val="left"/>
            </w:pPr>
            <w:r>
              <w:t xml:space="preserve">EV/EBITDA</w:t>
            </w:r>
          </w:p>
        </w:tc>
        <w:tc>
          <w:tcPr/>
          <w:p>
            <w:pPr>
              <w:pStyle w:val="Compact"/>
              <w:jc w:val="left"/>
            </w:pPr>
            <w:r>
              <w:t xml:space="preserve">Precio (USD)</w:t>
            </w:r>
          </w:p>
        </w:tc>
        <w:tc>
          <w:tcPr/>
          <w:p>
            <w:pPr>
              <w:pStyle w:val="Compact"/>
              <w:jc w:val="left"/>
            </w:pPr>
            <w:r>
              <w:t xml:space="preserve">Rentabilidad</w:t>
            </w:r>
          </w:p>
        </w:tc>
        <w:tc>
          <w:tcPr/>
          <w:p>
            <w:pPr>
              <w:pStyle w:val="Compact"/>
              <w:jc w:val="left"/>
            </w:pPr>
            <w:r>
              <w:t xml:space="preserve">Peso</w:t>
            </w:r>
          </w:p>
        </w:tc>
      </w:tr>
      <w:tr>
        <w:tc>
          <w:tcPr/>
          <w:p>
            <w:pPr>
              <w:pStyle w:val="Compact"/>
              <w:jc w:val="left"/>
            </w:pPr>
            <w:r>
              <w:t xml:space="preserve">Bajista</w:t>
            </w:r>
          </w:p>
        </w:tc>
        <w:tc>
          <w:tcPr/>
          <w:p>
            <w:pPr>
              <w:pStyle w:val="Compact"/>
              <w:jc w:val="left"/>
            </w:pPr>
            <w:r>
              <w:t xml:space="preserve">870</w:t>
            </w:r>
          </w:p>
        </w:tc>
        <w:tc>
          <w:tcPr/>
          <w:p>
            <w:pPr>
              <w:pStyle w:val="Compact"/>
              <w:jc w:val="left"/>
            </w:pPr>
            <w:r>
              <w:t xml:space="preserve">11,0x</w:t>
            </w:r>
          </w:p>
        </w:tc>
        <w:tc>
          <w:tcPr/>
          <w:p>
            <w:pPr>
              <w:pStyle w:val="Compact"/>
              <w:jc w:val="left"/>
            </w:pPr>
            <w:r>
              <w:t xml:space="preserve">49,5</w:t>
            </w:r>
          </w:p>
        </w:tc>
        <w:tc>
          <w:tcPr/>
          <w:p>
            <w:pPr>
              <w:pStyle w:val="Compact"/>
              <w:jc w:val="left"/>
            </w:pPr>
            <w:r>
              <w:t xml:space="preserve">−46,3 %</w:t>
            </w:r>
          </w:p>
        </w:tc>
        <w:tc>
          <w:tcPr/>
          <w:p>
            <w:pPr>
              <w:pStyle w:val="Compact"/>
              <w:jc w:val="left"/>
            </w:pPr>
            <w:r>
              <w:t xml:space="preserve">25 %</w:t>
            </w:r>
          </w:p>
        </w:tc>
      </w:tr>
      <w:tr>
        <w:tc>
          <w:tcPr/>
          <w:p>
            <w:pPr>
              <w:pStyle w:val="Compact"/>
              <w:jc w:val="left"/>
            </w:pPr>
            <w:r>
              <w:t xml:space="preserve">Base</w:t>
            </w:r>
          </w:p>
        </w:tc>
        <w:tc>
          <w:tcPr/>
          <w:p>
            <w:pPr>
              <w:pStyle w:val="Compact"/>
              <w:jc w:val="left"/>
            </w:pPr>
            <w:r>
              <w:t xml:space="preserve">1.070</w:t>
            </w:r>
          </w:p>
        </w:tc>
        <w:tc>
          <w:tcPr/>
          <w:p>
            <w:pPr>
              <w:pStyle w:val="Compact"/>
              <w:jc w:val="left"/>
            </w:pPr>
            <w:r>
              <w:t xml:space="preserve">18,4x</w:t>
            </w:r>
          </w:p>
        </w:tc>
        <w:tc>
          <w:tcPr/>
          <w:p>
            <w:pPr>
              <w:pStyle w:val="Compact"/>
              <w:jc w:val="left"/>
            </w:pPr>
            <w:r>
              <w:t xml:space="preserve">94,5</w:t>
            </w:r>
          </w:p>
        </w:tc>
        <w:tc>
          <w:tcPr/>
          <w:p>
            <w:pPr>
              <w:pStyle w:val="Compact"/>
              <w:jc w:val="left"/>
            </w:pPr>
            <w:r>
              <w:t xml:space="preserve">+2,6 %</w:t>
            </w:r>
          </w:p>
        </w:tc>
        <w:tc>
          <w:tcPr/>
          <w:p>
            <w:pPr>
              <w:pStyle w:val="Compact"/>
              <w:jc w:val="left"/>
            </w:pPr>
            <w:r>
              <w:t xml:space="preserve">50 %</w:t>
            </w:r>
          </w:p>
        </w:tc>
      </w:tr>
      <w:tr>
        <w:tc>
          <w:tcPr/>
          <w:p>
            <w:pPr>
              <w:pStyle w:val="Compact"/>
              <w:jc w:val="left"/>
            </w:pPr>
            <w:r>
              <w:t xml:space="preserve">Alcista</w:t>
            </w:r>
          </w:p>
        </w:tc>
        <w:tc>
          <w:tcPr/>
          <w:p>
            <w:pPr>
              <w:pStyle w:val="Compact"/>
              <w:jc w:val="left"/>
            </w:pPr>
            <w:r>
              <w:t xml:space="preserve">1.178</w:t>
            </w:r>
          </w:p>
        </w:tc>
        <w:tc>
          <w:tcPr/>
          <w:p>
            <w:pPr>
              <w:pStyle w:val="Compact"/>
              <w:jc w:val="left"/>
            </w:pPr>
            <w:r>
              <w:t xml:space="preserve">29,4x</w:t>
            </w:r>
          </w:p>
        </w:tc>
        <w:tc>
          <w:tcPr/>
          <w:p>
            <w:pPr>
              <w:pStyle w:val="Compact"/>
              <w:jc w:val="left"/>
            </w:pPr>
            <w:r>
              <w:t xml:space="preserve">161,5</w:t>
            </w:r>
          </w:p>
        </w:tc>
        <w:tc>
          <w:tcPr/>
          <w:p>
            <w:pPr>
              <w:pStyle w:val="Compact"/>
              <w:jc w:val="left"/>
            </w:pPr>
            <w:r>
              <w:t xml:space="preserve">+75,3 %</w:t>
            </w:r>
          </w:p>
        </w:tc>
        <w:tc>
          <w:tcPr/>
          <w:p>
            <w:pPr>
              <w:pStyle w:val="Compact"/>
              <w:jc w:val="left"/>
            </w:pPr>
            <w:r>
              <w:t xml:space="preserve">25 %</w:t>
            </w:r>
          </w:p>
        </w:tc>
      </w:tr>
      <w:tr>
        <w:tc>
          <w:tcPr/>
          <w:p>
            <w:pPr>
              <w:pStyle w:val="Compact"/>
              <w:jc w:val="left"/>
            </w:pPr>
            <w:r>
              <w:rPr>
                <w:bCs/>
                <w:b/>
              </w:rPr>
              <w:t xml:space="preserve">Ponderada</w:t>
            </w:r>
          </w:p>
        </w:tc>
        <w:tc>
          <w:tcPr/>
          <w:p>
            <w:pPr>
              <w:pStyle w:val="Compact"/>
            </w:pPr>
          </w:p>
        </w:tc>
        <w:tc>
          <w:tcPr/>
          <w:p>
            <w:pPr>
              <w:pStyle w:val="Compact"/>
            </w:pPr>
          </w:p>
        </w:tc>
        <w:tc>
          <w:tcPr/>
          <w:p>
            <w:pPr>
              <w:pStyle w:val="Compact"/>
              <w:jc w:val="left"/>
            </w:pPr>
            <w:r>
              <w:rPr>
                <w:bCs/>
                <w:b/>
              </w:rPr>
              <w:t xml:space="preserve">100,0</w:t>
            </w:r>
          </w:p>
        </w:tc>
        <w:tc>
          <w:tcPr/>
          <w:p>
            <w:pPr>
              <w:pStyle w:val="Compact"/>
              <w:jc w:val="left"/>
            </w:pPr>
            <w:r>
              <w:rPr>
                <w:bCs/>
                <w:b/>
              </w:rPr>
              <w:t xml:space="preserve">+8,6 %</w:t>
            </w:r>
          </w:p>
        </w:tc>
        <w:tc>
          <w:tcPr/>
          <w:p>
            <w:pPr>
              <w:pStyle w:val="Compact"/>
            </w:pPr>
          </w:p>
        </w:tc>
      </w:tr>
    </w:tbl>
    <w:p>
      <w:pPr>
        <w:pStyle w:val="BodyText"/>
      </w:pPr>
      <w:r>
        <w:rPr>
          <w:bCs/>
          <w:b/>
        </w:rPr>
        <w:t xml:space="preserve">Cómo se llega a esas cifras.</w:t>
      </w:r>
      <w:r>
        <w:t xml:space="preserve"> </w:t>
      </w:r>
      <w:r>
        <w:t xml:space="preserve">-</w:t>
      </w:r>
      <w:r>
        <w:t xml:space="preserve"> </w:t>
      </w:r>
      <w:r>
        <w:rPr>
          <w:iCs/>
          <w:i/>
        </w:rPr>
        <w:t xml:space="preserve">Ventas.</w:t>
      </w:r>
      <w:r>
        <w:t xml:space="preserve"> </w:t>
      </w:r>
      <w:r>
        <w:t xml:space="preserve">v11 toma la menor entre la proyección mecánica y la del informe, escenario a escenario. En el base y el bajista manda la del informe (1.070 y 870 M); en el alcista, la mecánica (1.178 M).</w:t>
      </w:r>
      <w:r>
        <w:t xml:space="preserve"> </w:t>
      </w:r>
      <w:r>
        <w:t xml:space="preserve">-</w:t>
      </w:r>
      <w:r>
        <w:t xml:space="preserve"> </w:t>
      </w:r>
      <w:r>
        <w:rPr>
          <w:iCs/>
          <w:i/>
        </w:rPr>
        <w:t xml:space="preserve">Base.</w:t>
      </w:r>
      <w:r>
        <w:t xml:space="preserve"> </w:t>
      </w:r>
      <w:r>
        <w:t xml:space="preserve">1.070 M es el consenso de 2027 (998 M) con un 2028 un 15 % mayor (estimación propia; no hay consenso público de 2028).</w:t>
      </w:r>
      <w:r>
        <w:t xml:space="preserve"> </w:t>
      </w:r>
      <w:r>
        <w:t xml:space="preserve">-</w:t>
      </w:r>
      <w:r>
        <w:t xml:space="preserve"> </w:t>
      </w:r>
      <w:r>
        <w:rPr>
          <w:iCs/>
          <w:i/>
        </w:rPr>
        <w:t xml:space="preserve">Bajista.</w:t>
      </w:r>
      <w:r>
        <w:t xml:space="preserve"> </w:t>
      </w:r>
      <w:r>
        <w:t xml:space="preserve">870 M es el escenario de Baird, con menos módulos porque la memoria se va a la HBM y regalías planas.</w:t>
      </w:r>
      <w:r>
        <w:t xml:space="preserve"> </w:t>
      </w:r>
      <w:r>
        <w:t xml:space="preserve">-</w:t>
      </w:r>
      <w:r>
        <w:t xml:space="preserve"> </w:t>
      </w:r>
      <w:r>
        <w:rPr>
          <w:iCs/>
          <w:i/>
        </w:rPr>
        <w:t xml:space="preserve">Múltiplo base.</w:t>
      </w:r>
      <w:r>
        <w:t xml:space="preserve"> </w:t>
      </w:r>
      <w:r>
        <w:t xml:space="preserve">Baja de 20,6 a 18,4 veces porque el crecimiento pasa del 21 % al 17 %.</w:t>
      </w:r>
    </w:p>
    <w:p>
      <w:pPr>
        <w:pStyle w:val="BodyText"/>
      </w:pPr>
      <w:r>
        <w:rPr>
          <w:bCs/>
          <w:b/>
        </w:rPr>
        <w:t xml:space="preserve">Otras versiones.</w:t>
      </w:r>
      <w:r>
        <w:t xml:space="preserve"> </w:t>
      </w:r>
      <w:r>
        <w:t xml:space="preserve">- v9: +10,7 %, Mantener. Compra hasta 97,1 USD; usa la proyección mecánica, de 1.101 M en el base.</w:t>
      </w:r>
      <w:r>
        <w:t xml:space="preserve"> </w:t>
      </w:r>
      <w:r>
        <w:t xml:space="preserve">- v12 no aplica: no ha comprado empresas.</w:t>
      </w:r>
      <w:r>
        <w:t xml:space="preserve"> </w:t>
      </w:r>
      <w:r>
        <w:t xml:space="preserve">- v14 (candidata): igual que v11, +8,6 %, Mantener. No tiene un producto que pese más del 70 % ni una decisión regulatoria abierta, y la dilución no viene de ampliaciones.</w:t>
      </w:r>
    </w:p>
    <w:p>
      <w:pPr>
        <w:pStyle w:val="BodyText"/>
      </w:pPr>
      <w:r>
        <w:rPr>
          <w:bCs/>
          <w:b/>
        </w:rPr>
        <w:t xml:space="preserve">Contraste con los analistas.</w:t>
      </w:r>
      <w:r>
        <w:t xml:space="preserve"> </w:t>
      </w:r>
      <w:r>
        <w:t xml:space="preserve">Precio objetivo medio de 141,6 USD (8 analistas; entre 100 y 165) [8]. Ese objetivo equivale a unas 30 veces el EBITDA de 2027 (cálculo propio); el método parte del múltiplo de hoy.</w:t>
      </w:r>
    </w:p>
    <w:p>
      <w:pPr>
        <w:pStyle w:val="BodyText"/>
      </w:pPr>
      <w:r>
        <w:rPr>
          <w:bCs/>
          <w:b/>
        </w:rPr>
        <w:t xml:space="preserve">DCF inverso.</w:t>
      </w:r>
      <w:r>
        <w:t xml:space="preserve"> </w:t>
      </w:r>
      <w:r>
        <w:t xml:space="preserve">El precio descuenta crecer un 13,1 % al año durante 10 años, con la caja libre de hoy, un descuento del 10 % y un crecimiento perpetuo del 3 %. Es menos de lo que crece hoy, el 17 %. Por eso el escenario base no es malo; lo que lastra el resultado es el bajista.</w:t>
      </w:r>
    </w:p>
    <w:bookmarkEnd w:id="30"/>
    <w:bookmarkStart w:id="31" w:name="foros-y-sentimiento"/>
    <w:p>
      <w:pPr>
        <w:pStyle w:val="Heading2"/>
      </w:pPr>
      <w:r>
        <w:t xml:space="preserve">10. Foros y sentimiento</w:t>
      </w:r>
    </w:p>
    <w:p>
      <w:pPr>
        <w:numPr>
          <w:ilvl w:val="0"/>
          <w:numId w:val="1009"/>
        </w:numPr>
        <w:pStyle w:val="Compact"/>
      </w:pPr>
      <w:r>
        <w:rPr>
          <w:bCs/>
          <w:b/>
        </w:rPr>
        <w:t xml:space="preserve">StockTwits</w:t>
      </w:r>
      <w:r>
        <w:t xml:space="preserve"> </w:t>
      </w:r>
      <w:r>
        <w:t xml:space="preserve">(28-sep a 15-oct) [13]:</w:t>
      </w:r>
    </w:p>
    <w:p>
      <w:pPr>
        <w:numPr>
          <w:ilvl w:val="1"/>
          <w:numId w:val="1010"/>
        </w:numPr>
        <w:pStyle w:val="Compact"/>
      </w:pPr>
      <w:r>
        <w:t xml:space="preserve">Hay frustración: «es de las pocas de IA o memoria que no ha subido en un año», «¿por qué tan débil?».</w:t>
      </w:r>
    </w:p>
    <w:p>
      <w:pPr>
        <w:numPr>
          <w:ilvl w:val="1"/>
          <w:numId w:val="1010"/>
        </w:numPr>
        <w:pStyle w:val="Compact"/>
      </w:pPr>
      <w:r>
        <w:t xml:space="preserve">Muchos esperan a comprar entre 77 y 87 USD. Algunos operadores cierran posiciones con beneficio de corto plazo.</w:t>
      </w:r>
    </w:p>
    <w:p>
      <w:pPr>
        <w:numPr>
          <w:ilvl w:val="1"/>
          <w:numId w:val="1010"/>
        </w:numPr>
        <w:pStyle w:val="Compact"/>
      </w:pPr>
      <w:r>
        <w:t xml:space="preserve">Comparan Rambus con Netlist, que tiene pleitos de patentes de memoria.</w:t>
      </w:r>
    </w:p>
    <w:p>
      <w:pPr>
        <w:numPr>
          <w:ilvl w:val="1"/>
          <w:numId w:val="1010"/>
        </w:numPr>
        <w:pStyle w:val="Compact"/>
      </w:pPr>
      <w:r>
        <w:t xml:space="preserve">No hay euforia.</w:t>
      </w:r>
    </w:p>
    <w:p>
      <w:pPr>
        <w:numPr>
          <w:ilvl w:val="0"/>
          <w:numId w:val="1009"/>
        </w:numPr>
        <w:pStyle w:val="Compact"/>
      </w:pPr>
      <w:r>
        <w:rPr>
          <w:bCs/>
          <w:b/>
        </w:rPr>
        <w:t xml:space="preserve">Prensa.</w:t>
      </w:r>
      <w:r>
        <w:t xml:space="preserve"> </w:t>
      </w:r>
      <w:r>
        <w:t xml:space="preserve">24/7 Wall St. pasó de «Mantener» en mayo a «Vender» en junio, por la valoración (60-70 veces beneficios tras subir un 166 % en un año), las regalías a la baja y las ventas de directivos. En octubre cubre la caída de las memorias por CXMT [11][13].</w:t>
      </w:r>
    </w:p>
    <w:p>
      <w:pPr>
        <w:numPr>
          <w:ilvl w:val="0"/>
          <w:numId w:val="1009"/>
        </w:numPr>
        <w:pStyle w:val="Compact"/>
      </w:pPr>
      <w:r>
        <w:rPr>
          <w:bCs/>
          <w:b/>
        </w:rPr>
        <w:t xml:space="preserve">Opciones y posiciones bajistas.</w:t>
      </w:r>
    </w:p>
    <w:p>
      <w:pPr>
        <w:numPr>
          <w:ilvl w:val="1"/>
          <w:numId w:val="1011"/>
        </w:numPr>
        <w:pStyle w:val="Compact"/>
      </w:pPr>
      <w:r>
        <w:t xml:space="preserve">Las opciones descuentan un movimiento de ±18 % con los resultados del 26-oct [14].</w:t>
      </w:r>
    </w:p>
    <w:p>
      <w:pPr>
        <w:numPr>
          <w:ilvl w:val="1"/>
          <w:numId w:val="1011"/>
        </w:numPr>
        <w:pStyle w:val="Compact"/>
      </w:pPr>
      <w:r>
        <w:t xml:space="preserve">Las posiciones cortas son el 7,6 % de las acciones.</w:t>
      </w:r>
    </w:p>
    <w:p>
      <w:pPr>
        <w:numPr>
          <w:ilvl w:val="0"/>
          <w:numId w:val="1009"/>
        </w:numPr>
        <w:pStyle w:val="Compact"/>
      </w:pPr>
      <w:r>
        <w:rPr>
          <w:bCs/>
          <w:b/>
        </w:rPr>
        <w:t xml:space="preserve">Reddit.</w:t>
      </w:r>
      <w:r>
        <w:t xml:space="preserve"> </w:t>
      </w:r>
      <w:r>
        <w:t xml:space="preserve">En agosto había más mensajes bajistas que alcistas, según un agregador [13]. No se pudo leer Reddit directamente.</w:t>
      </w:r>
    </w:p>
    <w:p>
      <w:pPr>
        <w:numPr>
          <w:ilvl w:val="0"/>
          <w:numId w:val="1009"/>
        </w:numPr>
        <w:pStyle w:val="Compact"/>
      </w:pPr>
      <w:r>
        <w:rPr>
          <w:bCs/>
          <w:b/>
        </w:rPr>
        <w:t xml:space="preserve">Foros en castellano.</w:t>
      </w:r>
      <w:r>
        <w:t xml:space="preserve"> </w:t>
      </w:r>
      <w:r>
        <w:t xml:space="preserve">No se encontraron hilos recientes (Rankia, Investing.com). Queda como laguna.</w:t>
      </w:r>
    </w:p>
    <w:p>
      <w:pPr>
        <w:pStyle w:val="FirstParagraph"/>
      </w:pPr>
      <w:r>
        <w:rPr>
          <w:bCs/>
          <w:b/>
        </w:rPr>
        <w:t xml:space="preserve">Contraste con los datos.</w:t>
      </w:r>
      <w:r>
        <w:t xml:space="preserve"> </w:t>
      </w:r>
      <w:r>
        <w:t xml:space="preserve">El sentimiento ha pasado del entusiasmo de mayo al cansancio. Los datos de la empresa no han empeorado: los chips están en récord. La bolsa la trata como un valor de memoria y la vende con el sector.</w:t>
      </w:r>
    </w:p>
    <w:p>
      <w:pPr>
        <w:pStyle w:val="BodyText"/>
      </w:pPr>
      <w:r>
        <w:rPr>
          <w:bCs/>
          <w:b/>
        </w:rPr>
        <w:t xml:space="preserve">Riesgo de IA.</w:t>
      </w:r>
      <w:r>
        <w:t xml:space="preserve"> </w:t>
      </w:r>
      <w:r>
        <w:t xml:space="preserve">Rambus gana con la IA. Los servidores de IA usan más canales de memoria por procesador, más velocidad y, desde 2027, MRDIMM. Además, licencia diseños HBM. La IA no la sustituye. El riesgo es más concreto y tiene tres partes:</w:t>
      </w:r>
    </w:p>
    <w:p>
      <w:pPr>
        <w:numPr>
          <w:ilvl w:val="0"/>
          <w:numId w:val="1012"/>
        </w:numPr>
        <w:pStyle w:val="Compact"/>
      </w:pPr>
      <w:r>
        <w:t xml:space="preserve">La IA se lleva la capacidad de las fábricas de memoria hacia la HBM, que no usa los chips de Rambus. Eso limita los módulos normales en 2026-27.</w:t>
      </w:r>
    </w:p>
    <w:p>
      <w:pPr>
        <w:numPr>
          <w:ilvl w:val="0"/>
          <w:numId w:val="1012"/>
        </w:numPr>
        <w:pStyle w:val="Compact"/>
      </w:pPr>
      <w:r>
        <w:t xml:space="preserve">Los módulos LPDDR (SOCAMM) pueden quitar sitio a los RDIMM en algunos servidores de IA. Rambus ya vende chips para SOCAMM2.</w:t>
      </w:r>
    </w:p>
    <w:p>
      <w:pPr>
        <w:numPr>
          <w:ilvl w:val="0"/>
          <w:numId w:val="1012"/>
        </w:numPr>
        <w:pStyle w:val="Compact"/>
      </w:pPr>
      <w:r>
        <w:t xml:space="preserve">Si la inversión en IA frena, se venden menos servidores. Pero Rambus cotiza a 21 veces el EBITDA, no a 60, y caería menos que las de moda.</w:t>
      </w:r>
    </w:p>
    <w:bookmarkEnd w:id="31"/>
    <w:bookmarkStart w:id="32" w:name="riesgos-y-qué-rompería-la-tesis"/>
    <w:p>
      <w:pPr>
        <w:pStyle w:val="Heading2"/>
      </w:pPr>
      <w:r>
        <w:t xml:space="preserve">11. Riesgos y qué rompería la tesis</w:t>
      </w:r>
    </w:p>
    <w:p>
      <w:pPr>
        <w:pStyle w:val="FirstParagraph"/>
      </w:pPr>
      <w:r>
        <w:rPr>
          <w:bCs/>
          <w:b/>
        </w:rPr>
        <w:t xml:space="preserve">Alertas de robustez del motor (</w:t>
      </w:r>
      <w:r>
        <w:rPr>
          <w:rStyle w:val="VerbatimChar"/>
          <w:bCs/>
          <w:b/>
        </w:rPr>
        <w:t xml:space="preserve">calc.alertas</w:t>
      </w:r>
      <w:r>
        <w:rPr>
          <w:bCs/>
          <w:b/>
        </w:rPr>
        <w:t xml:space="preserve">, v11).</w:t>
      </w:r>
    </w:p>
    <w:p>
      <w:pPr>
        <w:numPr>
          <w:ilvl w:val="0"/>
          <w:numId w:val="1013"/>
        </w:numPr>
        <w:pStyle w:val="Compact"/>
      </w:pPr>
      <w:r>
        <w:rPr>
          <w:iCs/>
          <w:i/>
        </w:rPr>
        <w:t xml:space="preserve">Sin guía anual (solo trimestral): el recorte por la guía de v9 no actúa.</w:t>
      </w:r>
      <w:r>
        <w:t xml:space="preserve"> </w:t>
      </w:r>
      <w:r>
        <w:t xml:space="preserve">No debilita la señal. En el base y el bajista ya mandan las ventas del informe, más prudentes que la mecánica (1.070 frente a 1.101 M). Si hubiera guía anual, solo podría recortar más.</w:t>
      </w:r>
    </w:p>
    <w:p>
      <w:pPr>
        <w:pStyle w:val="FirstParagraph"/>
      </w:pPr>
      <w:r>
        <w:t xml:space="preserve">No salta la alerta de clientes: los dos mayores son el 40 %, justo en el límite. Con un punto más saltaría.</w:t>
      </w:r>
    </w:p>
    <w:p>
      <w:pPr>
        <w:pStyle w:val="BodyText"/>
      </w:pPr>
      <w:r>
        <w:rPr>
          <w:bCs/>
          <w:b/>
        </w:rPr>
        <w:t xml:space="preserve">Prueba de robustez</w:t>
      </w:r>
      <w:r>
        <w:t xml:space="preserve"> </w:t>
      </w:r>
      <w:r>
        <w:t xml:space="preserve">(</w:t>
      </w:r>
      <w:r>
        <w:rPr>
          <w:rStyle w:val="VerbatimChar"/>
        </w:rPr>
        <w:t xml:space="preserve">robustez-growth.mjs --precios</w:t>
      </w:r>
      <w:r>
        <w:t xml:space="preserve">):</w:t>
      </w:r>
      <w:r>
        <w:t xml:space="preserve"> </w:t>
      </w:r>
      <w:r>
        <w:rPr>
          <w:bCs/>
          <w:b/>
        </w:rPr>
        <w:t xml:space="preserve">sólida, la señal robusta es Mantener.</w:t>
      </w:r>
      <w:r>
        <w:t xml:space="preserve"> </w:t>
      </w:r>
      <w:r>
        <w:t xml:space="preserve">Todas las variantes dan Mantener: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Variante</w:t>
            </w:r>
          </w:p>
        </w:tc>
        <w:tc>
          <w:tcPr/>
          <w:p>
            <w:pPr>
              <w:pStyle w:val="Compact"/>
              <w:jc w:val="left"/>
            </w:pPr>
            <w:r>
              <w:t xml:space="preserve">Ponderada</w:t>
            </w:r>
          </w:p>
        </w:tc>
      </w:tr>
      <w:tr>
        <w:tc>
          <w:tcPr/>
          <w:p>
            <w:pPr>
              <w:pStyle w:val="Compact"/>
              <w:jc w:val="left"/>
            </w:pPr>
            <w:r>
              <w:t xml:space="preserve">v7</w:t>
            </w:r>
          </w:p>
        </w:tc>
        <w:tc>
          <w:tcPr/>
          <w:p>
            <w:pPr>
              <w:pStyle w:val="Compact"/>
              <w:jc w:val="left"/>
            </w:pPr>
            <w:r>
              <w:t xml:space="preserve">+10,7 %</w:t>
            </w:r>
          </w:p>
        </w:tc>
      </w:tr>
      <w:tr>
        <w:tc>
          <w:tcPr/>
          <w:p>
            <w:pPr>
              <w:pStyle w:val="Compact"/>
              <w:jc w:val="left"/>
            </w:pPr>
            <w:r>
              <w:t xml:space="preserve">Ventas del analista</w:t>
            </w:r>
          </w:p>
        </w:tc>
        <w:tc>
          <w:tcPr/>
          <w:p>
            <w:pPr>
              <w:pStyle w:val="Compact"/>
              <w:jc w:val="left"/>
            </w:pPr>
            <w:r>
              <w:t xml:space="preserve">+9,4 %</w:t>
            </w:r>
          </w:p>
        </w:tc>
      </w:tr>
      <w:tr>
        <w:tc>
          <w:tcPr/>
          <w:p>
            <w:pPr>
              <w:pStyle w:val="Compact"/>
              <w:jc w:val="left"/>
            </w:pPr>
            <w:r>
              <w:t xml:space="preserve">Probabilidades 35/50/15</w:t>
            </w:r>
          </w:p>
        </w:tc>
        <w:tc>
          <w:tcPr/>
          <w:p>
            <w:pPr>
              <w:pStyle w:val="Compact"/>
              <w:jc w:val="left"/>
            </w:pPr>
            <w:r>
              <w:t xml:space="preserve">−3,6 %</w:t>
            </w:r>
          </w:p>
        </w:tc>
      </w:tr>
      <w:tr>
        <w:tc>
          <w:tcPr/>
          <w:p>
            <w:pPr>
              <w:pStyle w:val="Compact"/>
              <w:jc w:val="left"/>
            </w:pPr>
            <w:r>
              <w:t xml:space="preserve">Precio de hoy con el objetivo fijo</w:t>
            </w:r>
          </w:p>
        </w:tc>
        <w:tc>
          <w:tcPr/>
          <w:p>
            <w:pPr>
              <w:pStyle w:val="Compact"/>
              <w:jc w:val="left"/>
            </w:pPr>
            <w:r>
              <w:t xml:space="preserve">+8,6 %</w:t>
            </w:r>
          </w:p>
        </w:tc>
      </w:tr>
    </w:tbl>
    <w:p>
      <w:pPr>
        <w:pStyle w:val="BodyText"/>
      </w:pPr>
      <w:r>
        <w:t xml:space="preserve">Avisos de la prueba:</w:t>
      </w:r>
      <w:r>
        <w:t xml:space="preserve"> </w:t>
      </w:r>
      <w:r>
        <w:t xml:space="preserve">-</w:t>
      </w:r>
      <w:r>
        <w:t xml:space="preserve"> </w:t>
      </w:r>
      <w:r>
        <w:rPr>
          <w:iCs/>
          <w:i/>
        </w:rPr>
        <w:t xml:space="preserve">El objetivo se mueve con el precio</w:t>
      </w:r>
      <w:r>
        <w:t xml:space="preserve"> </w:t>
      </w:r>
      <w:r>
        <w:t xml:space="preserve">(valoración por EBITDA). Por eso, al revisar el precio se deja fijo el objetivo de 100 USD.</w:t>
      </w:r>
      <w:r>
        <w:t xml:space="preserve"> </w:t>
      </w:r>
      <w:r>
        <w:t xml:space="preserve">-</w:t>
      </w:r>
      <w:r>
        <w:t xml:space="preserve"> </w:t>
      </w:r>
      <w:r>
        <w:rPr>
          <w:iCs/>
          <w:i/>
        </w:rPr>
        <w:t xml:space="preserve">Sin guía anual.</w:t>
      </w:r>
      <w:r>
        <w:t xml:space="preserve"> </w:t>
      </w:r>
      <w:r>
        <w:t xml:space="preserve">Comentado arriba.</w:t>
      </w:r>
      <w:r>
        <w:t xml:space="preserve"> </w:t>
      </w:r>
      <w:r>
        <w:t xml:space="preserve">-</w:t>
      </w:r>
      <w:r>
        <w:t xml:space="preserve"> </w:t>
      </w:r>
      <w:r>
        <w:rPr>
          <w:iCs/>
          <w:i/>
        </w:rPr>
        <w:t xml:space="preserve">Bajista del −46 %.</w:t>
      </w:r>
      <w:r>
        <w:t xml:space="preserve"> </w:t>
      </w:r>
      <w:r>
        <w:t xml:space="preserve">Si algún día se compra, que sea con poco peso y en dos tramos.</w:t>
      </w:r>
    </w:p>
    <w:p>
      <w:pPr>
        <w:pStyle w:val="BodyText"/>
      </w:pPr>
      <w:r>
        <w:rPr>
          <w:bCs/>
          <w:b/>
        </w:rPr>
        <w:t xml:space="preserve">Riesgos del negocio.</w:t>
      </w:r>
      <w:r>
        <w:t xml:space="preserve"> </w:t>
      </w:r>
      <w:r>
        <w:t xml:space="preserve">- Ciclo de la memoria: la HBM se come la capacidad y los módulos de servidor crecen menos en 2027.</w:t>
      </w:r>
      <w:r>
        <w:t xml:space="preserve"> </w:t>
      </w:r>
      <w:r>
        <w:t xml:space="preserve">- Competencia de Montage en RCD y MRDIMM, sin poder subir precios.</w:t>
      </w:r>
      <w:r>
        <w:t xml:space="preserve"> </w:t>
      </w:r>
      <w:r>
        <w:t xml:space="preserve">- Regalías que bajan o se renegocian.</w:t>
      </w:r>
      <w:r>
        <w:t xml:space="preserve"> </w:t>
      </w:r>
      <w:r>
        <w:t xml:space="preserve">- Clientes concentrados: los dos mayores son el 40 %.</w:t>
      </w:r>
      <w:r>
        <w:t xml:space="preserve"> </w:t>
      </w:r>
      <w:r>
        <w:t xml:space="preserve">- Cambios en el equipo financiero.</w:t>
      </w:r>
      <w:r>
        <w:t xml:space="preserve"> </w:t>
      </w:r>
      <w:r>
        <w:t xml:space="preserve">- Directivos que venden.</w:t>
      </w:r>
      <w:r>
        <w:t xml:space="preserve"> </w:t>
      </w:r>
      <w:r>
        <w:t xml:space="preserve">- Exposición a China: el 82 % de las ventas es a empresas de fuera de EE. UU., y CXMT, que es licenciataria, gana fuerza.</w:t>
      </w:r>
    </w:p>
    <w:p>
      <w:pPr>
        <w:pStyle w:val="BodyText"/>
      </w:pPr>
      <w:r>
        <w:rPr>
          <w:bCs/>
          <w:b/>
        </w:rPr>
        <w:t xml:space="preserve">Qué rompería la tesis:</w:t>
      </w:r>
      <w:r>
        <w:t xml:space="preserve"> </w:t>
      </w:r>
      <w:r>
        <w:t xml:space="preserve">- Chips de interfaz que dejen de crecer dos trimestres seguidos.</w:t>
      </w:r>
      <w:r>
        <w:t xml:space="preserve"> </w:t>
      </w:r>
      <w:r>
        <w:t xml:space="preserve">- Pérdida de cuota en RCD06 o MRDIMM frente a Montage.</w:t>
      </w:r>
      <w:r>
        <w:t xml:space="preserve"> </w:t>
      </w:r>
      <w:r>
        <w:t xml:space="preserve">- La no renovación de una licencia grande.</w:t>
      </w:r>
    </w:p>
    <w:bookmarkEnd w:id="32"/>
    <w:bookmarkStart w:id="33" w:name="catalizadores-con-fecha"/>
    <w:p>
      <w:pPr>
        <w:pStyle w:val="Heading2"/>
      </w:pPr>
      <w:r>
        <w:t xml:space="preserve">12. Catalizadores con fecha</w:t>
      </w:r>
    </w:p>
    <w:p>
      <w:pPr>
        <w:numPr>
          <w:ilvl w:val="0"/>
          <w:numId w:val="1014"/>
        </w:numPr>
        <w:pStyle w:val="Compact"/>
      </w:pPr>
      <w:r>
        <w:rPr>
          <w:bCs/>
          <w:b/>
        </w:rPr>
        <w:t xml:space="preserve">26-oct-2026:</w:t>
      </w:r>
      <w:r>
        <w:t xml:space="preserve"> </w:t>
      </w:r>
      <w:r>
        <w:t xml:space="preserve">resultados del 3T (guía de 210-216 M, con 110-116 M de chips) y guía del 4T [1][14].</w:t>
      </w:r>
    </w:p>
    <w:p>
      <w:pPr>
        <w:numPr>
          <w:ilvl w:val="0"/>
          <w:numId w:val="1014"/>
        </w:numPr>
        <w:pStyle w:val="Compact"/>
      </w:pPr>
      <w:r>
        <w:rPr>
          <w:bCs/>
          <w:b/>
        </w:rPr>
        <w:t xml:space="preserve">Final del 3T26:</w:t>
      </w:r>
      <w:r>
        <w:t xml:space="preserve"> </w:t>
      </w:r>
      <w:r>
        <w:t xml:space="preserve">cierre de la recompra acelerada de 100 M [3].</w:t>
      </w:r>
    </w:p>
    <w:p>
      <w:pPr>
        <w:numPr>
          <w:ilvl w:val="0"/>
          <w:numId w:val="1014"/>
        </w:numPr>
        <w:pStyle w:val="Compact"/>
      </w:pPr>
      <w:r>
        <w:rPr>
          <w:bCs/>
          <w:b/>
        </w:rPr>
        <w:t xml:space="preserve">4T26 y 2027:</w:t>
      </w:r>
      <w:r>
        <w:t xml:space="preserve"> </w:t>
      </w:r>
      <w:r>
        <w:t xml:space="preserve">primeras ventas de MRDIMM y plataformas de servidor con más canales de memoria [4].</w:t>
      </w:r>
    </w:p>
    <w:p>
      <w:pPr>
        <w:numPr>
          <w:ilvl w:val="0"/>
          <w:numId w:val="1014"/>
        </w:numPr>
        <w:pStyle w:val="Compact"/>
      </w:pPr>
      <w:r>
        <w:rPr>
          <w:bCs/>
          <w:b/>
        </w:rPr>
        <w:t xml:space="preserve">Febrero de 2027:</w:t>
      </w:r>
      <w:r>
        <w:t xml:space="preserve"> </w:t>
      </w:r>
      <w:r>
        <w:t xml:space="preserve">resultados del año y visión de 2027.</w:t>
      </w:r>
    </w:p>
    <w:bookmarkEnd w:id="33"/>
    <w:bookmarkStart w:id="34" w:name="encaje-en-cartera"/>
    <w:p>
      <w:pPr>
        <w:pStyle w:val="Heading2"/>
      </w:pPr>
      <w:r>
        <w:t xml:space="preserve">13. Encaje en cartera</w:t>
      </w:r>
    </w:p>
    <w:p>
      <w:pPr>
        <w:pStyle w:val="FirstParagraph"/>
      </w:pPr>
      <w:r>
        <w:rPr>
          <w:bCs/>
          <w:b/>
        </w:rPr>
        <w:t xml:space="preserve">No entra.</w:t>
      </w:r>
      <w:r>
        <w:t xml:space="preserve"> </w:t>
      </w:r>
      <w:r>
        <w:t xml:space="preserve">El bolsillo growth está lleno, en torno al 20 % de la cartera: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Valor</w:t>
            </w:r>
          </w:p>
        </w:tc>
        <w:tc>
          <w:tcPr/>
          <w:p>
            <w:pPr>
              <w:pStyle w:val="Compact"/>
              <w:jc w:val="left"/>
            </w:pPr>
            <w:r>
              <w:t xml:space="preserve">Rentabilidad ponderada al precio actual (v11)</w:t>
            </w:r>
          </w:p>
        </w:tc>
      </w:tr>
      <w:tr>
        <w:tc>
          <w:tcPr/>
          <w:p>
            <w:pPr>
              <w:pStyle w:val="Compact"/>
              <w:jc w:val="left"/>
            </w:pPr>
            <w:r>
              <w:t xml:space="preserve">Nu</w:t>
            </w:r>
          </w:p>
        </w:tc>
        <w:tc>
          <w:tcPr/>
          <w:p>
            <w:pPr>
              <w:pStyle w:val="Compact"/>
              <w:jc w:val="left"/>
            </w:pPr>
            <w:r>
              <w:t xml:space="preserve">+22 %</w:t>
            </w:r>
          </w:p>
        </w:tc>
      </w:tr>
      <w:tr>
        <w:tc>
          <w:tcPr/>
          <w:p>
            <w:pPr>
              <w:pStyle w:val="Compact"/>
              <w:jc w:val="left"/>
            </w:pPr>
            <w:r>
              <w:t xml:space="preserve">Axon</w:t>
            </w:r>
          </w:p>
        </w:tc>
        <w:tc>
          <w:tcPr/>
          <w:p>
            <w:pPr>
              <w:pStyle w:val="Compact"/>
              <w:jc w:val="left"/>
            </w:pPr>
            <w:r>
              <w:t xml:space="preserve">+35 %</w:t>
            </w:r>
          </w:p>
        </w:tc>
      </w:tr>
      <w:tr>
        <w:tc>
          <w:tcPr/>
          <w:p>
            <w:pPr>
              <w:pStyle w:val="Compact"/>
              <w:jc w:val="left"/>
            </w:pPr>
            <w:r>
              <w:t xml:space="preserve">Shopify</w:t>
            </w:r>
          </w:p>
        </w:tc>
        <w:tc>
          <w:tcPr/>
          <w:p>
            <w:pPr>
              <w:pStyle w:val="Compact"/>
              <w:jc w:val="left"/>
            </w:pPr>
            <w:r>
              <w:t xml:space="preserve">+19 %</w:t>
            </w:r>
          </w:p>
        </w:tc>
      </w:tr>
      <w:tr>
        <w:tc>
          <w:tcPr/>
          <w:p>
            <w:pPr>
              <w:pStyle w:val="Compact"/>
              <w:jc w:val="left"/>
            </w:pPr>
            <w:r>
              <w:t xml:space="preserve">Snowflake</w:t>
            </w:r>
          </w:p>
        </w:tc>
        <w:tc>
          <w:tcPr/>
          <w:p>
            <w:pPr>
              <w:pStyle w:val="Compact"/>
              <w:jc w:val="left"/>
            </w:pPr>
            <w:r>
              <w:t xml:space="preserve">+16 %</w:t>
            </w:r>
          </w:p>
        </w:tc>
      </w:tr>
      <w:tr>
        <w:tc>
          <w:tcPr/>
          <w:p>
            <w:pPr>
              <w:pStyle w:val="Compact"/>
              <w:jc w:val="left"/>
            </w:pPr>
            <w:r>
              <w:t xml:space="preserve">Samsara</w:t>
            </w:r>
          </w:p>
        </w:tc>
        <w:tc>
          <w:tcPr/>
          <w:p>
            <w:pPr>
              <w:pStyle w:val="Compact"/>
              <w:jc w:val="left"/>
            </w:pPr>
            <w:r>
              <w:t xml:space="preserve">+17 %</w:t>
            </w:r>
          </w:p>
        </w:tc>
      </w:tr>
    </w:tbl>
    <w:p>
      <w:pPr>
        <w:pStyle w:val="BodyText"/>
      </w:pPr>
      <w:r>
        <w:t xml:space="preserve">No hay liquidez libre, así que una compra solo podría entrar sustituyendo a otra. Rambus da Mantener, con un +8,6 % (+12,4 % al precio de preapertura con el objetivo fijo). No sustituye a ninguna, tampoco a la más floja, Snowflake (+16 %, convicción media). Tampoco entra en la lista de suplentes:</w:t>
      </w:r>
    </w:p>
    <w:p>
      <w:pPr>
        <w:numPr>
          <w:ilvl w:val="0"/>
          <w:numId w:val="1015"/>
        </w:numPr>
        <w:pStyle w:val="Compact"/>
      </w:pPr>
      <w:r>
        <w:t xml:space="preserve">MongoDB</w:t>
      </w:r>
    </w:p>
    <w:p>
      <w:pPr>
        <w:numPr>
          <w:ilvl w:val="0"/>
          <w:numId w:val="1015"/>
        </w:numPr>
        <w:pStyle w:val="Compact"/>
      </w:pPr>
      <w:r>
        <w:t xml:space="preserve">Toast</w:t>
      </w:r>
    </w:p>
    <w:p>
      <w:pPr>
        <w:numPr>
          <w:ilvl w:val="0"/>
          <w:numId w:val="1015"/>
        </w:numPr>
        <w:pStyle w:val="Compact"/>
      </w:pPr>
      <w:r>
        <w:t xml:space="preserve">Zscaler</w:t>
      </w:r>
    </w:p>
    <w:p>
      <w:pPr>
        <w:numPr>
          <w:ilvl w:val="0"/>
          <w:numId w:val="1015"/>
        </w:numPr>
        <w:pStyle w:val="Compact"/>
      </w:pPr>
      <w:r>
        <w:t xml:space="preserve">Rubrik</w:t>
      </w:r>
    </w:p>
    <w:p>
      <w:pPr>
        <w:numPr>
          <w:ilvl w:val="0"/>
          <w:numId w:val="1015"/>
        </w:numPr>
        <w:pStyle w:val="Compact"/>
      </w:pPr>
      <w:r>
        <w:t xml:space="preserve">dLocal</w:t>
      </w:r>
    </w:p>
    <w:p>
      <w:pPr>
        <w:numPr>
          <w:ilvl w:val="0"/>
          <w:numId w:val="1015"/>
        </w:numPr>
        <w:pStyle w:val="Compact"/>
      </w:pPr>
      <w:r>
        <w:t xml:space="preserve">Dexcom</w:t>
      </w:r>
    </w:p>
    <w:p>
      <w:pPr>
        <w:numPr>
          <w:ilvl w:val="0"/>
          <w:numId w:val="1015"/>
        </w:numPr>
        <w:pStyle w:val="Compact"/>
      </w:pPr>
      <w:r>
        <w:t xml:space="preserve">argenx</w:t>
      </w:r>
    </w:p>
    <w:p>
      <w:pPr>
        <w:numPr>
          <w:ilvl w:val="0"/>
          <w:numId w:val="1015"/>
        </w:numPr>
        <w:pStyle w:val="Compact"/>
      </w:pPr>
      <w:r>
        <w:t xml:space="preserve">Datadog</w:t>
      </w:r>
    </w:p>
    <w:p>
      <w:pPr>
        <w:numPr>
          <w:ilvl w:val="0"/>
          <w:numId w:val="1015"/>
        </w:numPr>
        <w:pStyle w:val="Compact"/>
      </w:pPr>
      <w:r>
        <w:t xml:space="preserve">Reddit</w:t>
      </w:r>
    </w:p>
    <w:p>
      <w:pPr>
        <w:numPr>
          <w:ilvl w:val="0"/>
          <w:numId w:val="1015"/>
        </w:numPr>
        <w:pStyle w:val="Compact"/>
      </w:pPr>
      <w:r>
        <w:t xml:space="preserve">Saab</w:t>
      </w:r>
    </w:p>
    <w:p>
      <w:pPr>
        <w:numPr>
          <w:ilvl w:val="0"/>
          <w:numId w:val="1015"/>
        </w:numPr>
        <w:pStyle w:val="Compact"/>
      </w:pPr>
      <w:r>
        <w:t xml:space="preserve">Natera</w:t>
      </w:r>
    </w:p>
    <w:p>
      <w:pPr>
        <w:numPr>
          <w:ilvl w:val="0"/>
          <w:numId w:val="1015"/>
        </w:numPr>
        <w:pStyle w:val="Compact"/>
      </w:pPr>
      <w:r>
        <w:t xml:space="preserve">Ypsomed</w:t>
      </w:r>
    </w:p>
    <w:p>
      <w:pPr>
        <w:pStyle w:val="FirstParagraph"/>
      </w:pPr>
      <w:r>
        <w:t xml:space="preserve">Aunque ganara una señal y pasara de 60 puntos, su ponderada la dejaría hacia el final de la lista, entre Saab (+6 %) y Natera (+8 %). Hoy no compensa rotar.</w:t>
      </w:r>
    </w:p>
    <w:p>
      <w:pPr>
        <w:pStyle w:val="BodyText"/>
      </w:pPr>
      <w:r>
        <w:rPr>
          <w:bCs/>
          <w:b/>
        </w:rPr>
        <w:t xml:space="preserve">Exposición a la IA.</w:t>
      </w:r>
      <w:r>
        <w:t xml:space="preserve"> </w:t>
      </w:r>
      <w:r>
        <w:t xml:space="preserve">Sumaría exposición a la inversión en centros de datos de IA, que en el bolsillo ya llevan Snowflake y, entre los suplentes, Datadog y Rubrik. Alphabet se vende mañana y no cuenta. Además, Rambus va en otra dirección: no es software, es un componente del ciclo de los servidores y de la memoria.</w:t>
      </w:r>
    </w:p>
    <w:p>
      <w:pPr>
        <w:pStyle w:val="BodyText"/>
      </w:pPr>
      <w:r>
        <w:rPr>
          <w:bCs/>
          <w:b/>
        </w:rPr>
        <w:t xml:space="preserve">Cuándo se volvería a mirar.</w:t>
      </w:r>
      <w:r>
        <w:t xml:space="preserve"> </w:t>
      </w:r>
      <w:r>
        <w:t xml:space="preserve">Con los resultados del 26-oct. Si la guía del 4T confirma que los chips siguen creciendo a pesar de la falta de memoria, las revisiones al alza volverían y la puntuación pasaría de 60. Entonces daría Comprar por debajo de 94,5 USD, con convicción baja.</w:t>
      </w:r>
    </w:p>
    <w:p>
      <w:pPr>
        <w:pStyle w:val="BodyText"/>
      </w:pPr>
      <w:r>
        <w:rPr>
          <w:bCs/>
          <w:b/>
        </w:rPr>
        <w:t xml:space="preserve">Filtro previo.</w:t>
      </w:r>
      <w:r>
        <w:t xml:space="preserve"> </w:t>
      </w:r>
      <w:r>
        <w:t xml:space="preserve">Las cuatro pruebas se confirman con los datos completos: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Prueba</w:t>
            </w:r>
          </w:p>
        </w:tc>
        <w:tc>
          <w:tcPr/>
          <w:p>
            <w:pPr>
              <w:pStyle w:val="Compact"/>
              <w:jc w:val="left"/>
            </w:pPr>
            <w:r>
              <w:t xml:space="preserve">Resultado</w:t>
            </w:r>
          </w:p>
        </w:tc>
        <w:tc>
          <w:tcPr/>
          <w:p>
            <w:pPr>
              <w:pStyle w:val="Compact"/>
              <w:jc w:val="left"/>
            </w:pPr>
            <w:r>
              <w:t xml:space="preserve">¿Pasa?</w:t>
            </w:r>
          </w:p>
        </w:tc>
      </w:tr>
      <w:tr>
        <w:tc>
          <w:tcPr/>
          <w:p>
            <w:pPr>
              <w:pStyle w:val="Compact"/>
              <w:jc w:val="left"/>
            </w:pPr>
            <w:r>
              <w:t xml:space="preserve">A. Crecimiento</w:t>
            </w:r>
          </w:p>
        </w:tc>
        <w:tc>
          <w:tcPr/>
          <w:p>
            <w:pPr>
              <w:pStyle w:val="Compact"/>
              <w:jc w:val="left"/>
            </w:pPr>
            <w:r>
              <w:t xml:space="preserve">17,2 % en 12 meses, todo orgánico; 20,4 % en el último trimestre</w:t>
            </w:r>
          </w:p>
        </w:tc>
        <w:tc>
          <w:tcPr/>
          <w:p>
            <w:pPr>
              <w:pStyle w:val="Compact"/>
              <w:jc w:val="left"/>
            </w:pPr>
            <w:r>
              <w:t xml:space="preserve">Sí</w:t>
            </w:r>
          </w:p>
        </w:tc>
      </w:tr>
      <w:tr>
        <w:tc>
          <w:tcPr/>
          <w:p>
            <w:pPr>
              <w:pStyle w:val="Compact"/>
              <w:jc w:val="left"/>
            </w:pPr>
            <w:r>
              <w:t xml:space="preserve">B. EV/EBITDA frente a su mediana de 3 años</w:t>
            </w:r>
          </w:p>
        </w:tc>
        <w:tc>
          <w:tcPr/>
          <w:p>
            <w:pPr>
              <w:pStyle w:val="Compact"/>
              <w:jc w:val="left"/>
            </w:pPr>
            <w:r>
              <w:t xml:space="preserve">0,96 veces</w:t>
            </w:r>
          </w:p>
        </w:tc>
        <w:tc>
          <w:tcPr/>
          <w:p>
            <w:pPr>
              <w:pStyle w:val="Compact"/>
              <w:jc w:val="left"/>
            </w:pPr>
            <w:r>
              <w:t xml:space="preserve">Sí</w:t>
            </w:r>
          </w:p>
        </w:tc>
      </w:tr>
      <w:tr>
        <w:tc>
          <w:tcPr/>
          <w:p>
            <w:pPr>
              <w:pStyle w:val="Compact"/>
              <w:jc w:val="left"/>
            </w:pPr>
            <w:r>
              <w:t xml:space="preserve">C. Dos mayores clientes (10-Q del 2T26)</w:t>
            </w:r>
          </w:p>
        </w:tc>
        <w:tc>
          <w:tcPr/>
          <w:p>
            <w:pPr>
              <w:pStyle w:val="Compact"/>
              <w:jc w:val="left"/>
            </w:pPr>
            <w:r>
              <w:t xml:space="preserve">40 % en el semestre; 38 % en el 2T</w:t>
            </w:r>
          </w:p>
        </w:tc>
        <w:tc>
          <w:tcPr/>
          <w:p>
            <w:pPr>
              <w:pStyle w:val="Compact"/>
              <w:jc w:val="left"/>
            </w:pPr>
            <w:r>
              <w:t xml:space="preserve">Sí, justo en el límite</w:t>
            </w:r>
          </w:p>
        </w:tc>
      </w:tr>
      <w:tr>
        <w:tc>
          <w:tcPr/>
          <w:p>
            <w:pPr>
              <w:pStyle w:val="Compact"/>
              <w:jc w:val="left"/>
            </w:pPr>
            <w:r>
              <w:t xml:space="preserve">D. Crecimiento descontado ÷ crecimiento</w:t>
            </w:r>
          </w:p>
        </w:tc>
        <w:tc>
          <w:tcPr/>
          <w:p>
            <w:pPr>
              <w:pStyle w:val="Compact"/>
              <w:jc w:val="left"/>
            </w:pPr>
            <w:r>
              <w:t xml:space="preserve">0,76 (13,1 % ÷ 17,2 %)</w:t>
            </w:r>
          </w:p>
        </w:tc>
        <w:tc>
          <w:tcPr/>
          <w:p>
            <w:pPr>
              <w:pStyle w:val="Compact"/>
              <w:jc w:val="left"/>
            </w:pPr>
            <w:r>
              <w:t xml:space="preserve">Sí</w:t>
            </w:r>
          </w:p>
        </w:tc>
      </w:tr>
    </w:tbl>
    <w:p>
      <w:pPr>
        <w:pStyle w:val="BodyText"/>
      </w:pPr>
      <w:r>
        <w:t xml:space="preserve">Las pruebas A, B y D salen peor que en el filtro (19-20 %, 0,67 y 0,68):</w:t>
      </w:r>
      <w:r>
        <w:t xml:space="preserve"> </w:t>
      </w:r>
      <w:r>
        <w:t xml:space="preserve">- En la A, el filtro tomó el último trimestre y aquí se usan los 12 meses.</w:t>
      </w:r>
      <w:r>
        <w:t xml:space="preserve"> </w:t>
      </w:r>
      <w:r>
        <w:t xml:space="preserve">- En la B, aquí se mide con el EBITDA real de cada momento; el filtro, con un EBITDA estimado más alto.</w:t>
      </w:r>
      <w:r>
        <w:t xml:space="preserve"> </w:t>
      </w:r>
      <w:r>
        <w:t xml:space="preserve">- En la D, el crecimiento de 12 meses es menor.</w:t>
      </w:r>
    </w:p>
    <w:p>
      <w:pPr>
        <w:pStyle w:val="BodyText"/>
      </w:pPr>
      <w:r>
        <w:t xml:space="preserve">El filtro acierta en lo que mide: la valoración no es el problema. Pero no ve lo que la deja fuera:</w:t>
      </w:r>
      <w:r>
        <w:t xml:space="preserve"> </w:t>
      </w:r>
      <w:r>
        <w:t xml:space="preserve">1.</w:t>
      </w:r>
      <w:r>
        <w:t xml:space="preserve"> </w:t>
      </w:r>
      <w:r>
        <w:rPr>
          <w:iCs/>
          <w:i/>
        </w:rPr>
        <w:t xml:space="preserve">El momento.</w:t>
      </w:r>
      <w:r>
        <w:t xml:space="preserve"> </w:t>
      </w:r>
      <w:r>
        <w:t xml:space="preserve">Solo una de ocho señales.</w:t>
      </w:r>
      <w:r>
        <w:t xml:space="preserve"> </w:t>
      </w:r>
      <w:r>
        <w:t xml:space="preserve">2.</w:t>
      </w:r>
      <w:r>
        <w:t xml:space="preserve"> </w:t>
      </w:r>
      <w:r>
        <w:rPr>
          <w:iCs/>
          <w:i/>
        </w:rPr>
        <w:t xml:space="preserve">La rentabilidad.</w:t>
      </w:r>
      <w:r>
        <w:t xml:space="preserve"> </w:t>
      </w:r>
      <w:r>
        <w:t xml:space="preserve">El escenario base apenas da +2,6 % porque el múltiplo ya está en su media y el crecimiento se frena.</w:t>
      </w:r>
    </w:p>
    <w:p>
      <w:pPr>
        <w:pStyle w:val="BodyText"/>
      </w:pPr>
      <w:r>
        <w:rPr>
          <w:bCs/>
          <w:b/>
        </w:rPr>
        <w:t xml:space="preserve">Mejora de método.</w:t>
      </w:r>
      <w:r>
        <w:t xml:space="preserve"> </w:t>
      </w:r>
      <w:r>
        <w:t xml:space="preserve">Ninguna nueva. Se apunta un dato para el filtro: la prueba B da 0,67 o 0,96 según si el EBITDA es estimado o real. Conviene fijar cuál se usa, para que el filtro y el informe midan lo mismo.</w:t>
      </w:r>
    </w:p>
    <w:bookmarkEnd w:id="34"/>
    <w:bookmarkStart w:id="35" w:name="puntuación"/>
    <w:p>
      <w:pPr>
        <w:pStyle w:val="Heading2"/>
      </w:pPr>
      <w:r>
        <w:t xml:space="preserve">14. Puntuación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r>
      <w:tr>
        <w:tc>
          <w:tcPr/>
          <w:p>
            <w:pPr>
              <w:pStyle w:val="Compact"/>
              <w:jc w:val="left"/>
            </w:pPr>
            <w:r>
              <w:t xml:space="preserve">A. Crecimiento (17 % en 12 meses, 26 % de CAGR, sin aceleración)</w:t>
            </w:r>
          </w:p>
        </w:tc>
        <w:tc>
          <w:tcPr/>
          <w:p>
            <w:pPr>
              <w:pStyle w:val="Compact"/>
              <w:jc w:val="left"/>
            </w:pPr>
            <w:r>
              <w:t xml:space="preserve">13,3</w:t>
            </w:r>
          </w:p>
        </w:tc>
        <w:tc>
          <w:tcPr/>
          <w:p>
            <w:pPr>
              <w:pStyle w:val="Compact"/>
              <w:jc w:val="left"/>
            </w:pPr>
            <w:r>
              <w:t xml:space="preserve">25</w:t>
            </w:r>
          </w:p>
        </w:tc>
      </w:tr>
      <w:tr>
        <w:tc>
          <w:tcPr/>
          <w:p>
            <w:pPr>
              <w:pStyle w:val="Compact"/>
              <w:jc w:val="left"/>
            </w:pPr>
            <w:r>
              <w:t xml:space="preserve">B. Mercado y tecnología (penetración del 19 %)</w:t>
            </w:r>
          </w:p>
        </w:tc>
        <w:tc>
          <w:tcPr/>
          <w:p>
            <w:pPr>
              <w:pStyle w:val="Compact"/>
              <w:jc w:val="left"/>
            </w:pPr>
            <w:r>
              <w:t xml:space="preserve">13,3</w:t>
            </w:r>
          </w:p>
        </w:tc>
        <w:tc>
          <w:tcPr/>
          <w:p>
            <w:pPr>
              <w:pStyle w:val="Compact"/>
              <w:jc w:val="left"/>
            </w:pPr>
            <w:r>
              <w:t xml:space="preserve">20</w:t>
            </w:r>
          </w:p>
        </w:tc>
      </w:tr>
      <w:tr>
        <w:tc>
          <w:tcPr/>
          <w:p>
            <w:pPr>
              <w:pStyle w:val="Compact"/>
              <w:jc w:val="left"/>
            </w:pPr>
            <w:r>
              <w:t xml:space="preserve">C. Cambio de tendencia (1 de 8 señales)</w:t>
            </w:r>
          </w:p>
        </w:tc>
        <w:tc>
          <w:tcPr/>
          <w:p>
            <w:pPr>
              <w:pStyle w:val="Compact"/>
              <w:jc w:val="left"/>
            </w:pPr>
            <w:r>
              <w:t xml:space="preserve">2,5</w:t>
            </w:r>
          </w:p>
        </w:tc>
        <w:tc>
          <w:tcPr/>
          <w:p>
            <w:pPr>
              <w:pStyle w:val="Compact"/>
              <w:jc w:val="left"/>
            </w:pPr>
            <w:r>
              <w:t xml:space="preserve">20</w:t>
            </w:r>
          </w:p>
        </w:tc>
      </w:tr>
      <w:tr>
        <w:tc>
          <w:tcPr/>
          <w:p>
            <w:pPr>
              <w:pStyle w:val="Compact"/>
              <w:jc w:val="left"/>
            </w:pPr>
            <w:r>
              <w:t xml:space="preserve">D. Economía unitaria (margen bruto del 79,5 %, regla del 40 de 57)</w:t>
            </w:r>
          </w:p>
        </w:tc>
        <w:tc>
          <w:tcPr/>
          <w:p>
            <w:pPr>
              <w:pStyle w:val="Compact"/>
              <w:jc w:val="left"/>
            </w:pPr>
            <w:r>
              <w:t xml:space="preserve">13</w:t>
            </w:r>
          </w:p>
        </w:tc>
        <w:tc>
          <w:tcPr/>
          <w:p>
            <w:pPr>
              <w:pStyle w:val="Compact"/>
              <w:jc w:val="left"/>
            </w:pPr>
            <w:r>
              <w:t xml:space="preserve">15</w:t>
            </w:r>
          </w:p>
        </w:tc>
      </w:tr>
      <w:tr>
        <w:tc>
          <w:tcPr/>
          <w:p>
            <w:pPr>
              <w:pStyle w:val="Compact"/>
              <w:jc w:val="left"/>
            </w:pPr>
            <w:r>
              <w:t xml:space="preserve">E. Caja y dilución (FCF positivo, dilución del 1,3 %)</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F. Ejecución y dirección</w:t>
            </w:r>
          </w:p>
        </w:tc>
        <w:tc>
          <w:tcPr/>
          <w:p>
            <w:pPr>
              <w:pStyle w:val="Compact"/>
              <w:jc w:val="left"/>
            </w:pPr>
            <w:r>
              <w:t xml:space="preserve">7</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59,2</w:t>
            </w:r>
          </w:p>
        </w:tc>
        <w:tc>
          <w:tcPr/>
          <w:p>
            <w:pPr>
              <w:pStyle w:val="Compact"/>
              <w:jc w:val="left"/>
            </w:pPr>
            <w:r>
              <w:rPr>
                <w:bCs/>
                <w:b/>
              </w:rPr>
              <w:t xml:space="preserve">100</w:t>
            </w:r>
          </w:p>
        </w:tc>
      </w:tr>
    </w:tbl>
    <w:bookmarkEnd w:id="35"/>
    <w:bookmarkStart w:id="36" w:name="fuentes"/>
    <w:p>
      <w:pPr>
        <w:pStyle w:val="Heading2"/>
      </w:pPr>
      <w:r>
        <w:t xml:space="preserve">Fuentes</w:t>
      </w:r>
    </w:p>
    <w:p>
      <w:pPr>
        <w:pStyle w:val="FirstParagraph"/>
      </w:pPr>
      <w:r>
        <w:t xml:space="preserve">[1] Rambus, nota de resultados del 2T26 (8-K, ex. 99.1, 27-jul-2026, SEC EDGAR): ventas, márgenes, caja, guía del 3T26.</w:t>
      </w:r>
      <w:r>
        <w:t xml:space="preserve"> </w:t>
      </w:r>
      <w:r>
        <w:t xml:space="preserve">[2] Rambus, notas de resultados (8-K) del 28-jul-2025, 27-oct-2025, 2-feb-2026 y 27-abr-2026: guías y ventas de chips.</w:t>
      </w:r>
      <w:r>
        <w:t xml:space="preserve"> </w:t>
      </w:r>
      <w:r>
        <w:t xml:space="preserve">[3] Rambus, 8-K del 5-ago-2026 (recompra acelerada de 100 M) y 8-K del 4-sep-2026 (relevo del director de contabilidad).</w:t>
      </w:r>
      <w:r>
        <w:t xml:space="preserve"> </w:t>
      </w:r>
      <w:r>
        <w:t xml:space="preserve">[4] Resumen de la llamada del 2T26 (Yahoo Finance, «Rambus Q2 Earnings Call Highlights», 28-jul-2026).</w:t>
      </w:r>
      <w:r>
        <w:t xml:space="preserve"> </w:t>
      </w:r>
      <w:r>
        <w:t xml:space="preserve">[5] Rambus, 10-Q del 2T26 (28-jul-2026, SEC EDGAR): clientes, reparto de ventas y flujo de caja; XBRL companyfacts de la SEC.</w:t>
      </w:r>
      <w:r>
        <w:t xml:space="preserve"> </w:t>
      </w:r>
      <w:r>
        <w:t xml:space="preserve">[6] SEC EDGAR, formularios 4 y 144 de abril a octubre de 2026.</w:t>
      </w:r>
      <w:r>
        <w:t xml:space="preserve"> </w:t>
      </w:r>
      <w:r>
        <w:t xml:space="preserve">[7] Yahoo Finance, API de gráficos (RMBS, QQQ y SOXX), y Nasdaq.com (cierre del 14-oct, 92,11 USD; preapertura del 15-oct, 89,00 USD a las 08:03 UTC).</w:t>
      </w:r>
      <w:r>
        <w:t xml:space="preserve"> </w:t>
      </w:r>
      <w:r>
        <w:t xml:space="preserve">[8] StockAnalysis.com, previsiones de RMBS (S&amp;P Global, 14-oct-2026).</w:t>
      </w:r>
      <w:r>
        <w:t xml:space="preserve"> </w:t>
      </w:r>
      <w:r>
        <w:t xml:space="preserve">[9] Investing.com, Yahoo Finance y Proactive (28-abr-2026): rebaja de Baird; Motley Fool, «Why Rambus plunged today» (28-abr-2026).</w:t>
      </w:r>
      <w:r>
        <w:t xml:space="preserve"> </w:t>
      </w:r>
      <w:r>
        <w:t xml:space="preserve">[10] Damnang Research (24-mar-2026) y resúmenes de la cumbre TMT de Wells Fargo: cuotas en RCD, tamaño del mercado, Montage y MRDIMM.</w:t>
      </w:r>
      <w:r>
        <w:t xml:space="preserve"> </w:t>
      </w:r>
      <w:r>
        <w:t xml:space="preserve">[11] 24/7 Wall St. (12, 13 y 14-oct-2026) y CNBC (13-oct-2026): caída de las memorias por CXMT.</w:t>
      </w:r>
      <w:r>
        <w:t xml:space="preserve"> </w:t>
      </w:r>
      <w:r>
        <w:t xml:space="preserve">[12] Estimación propia: EBITDA ajustado histórico y de los próximos 12 meses, múltiplos históricos y DCF inverso.</w:t>
      </w:r>
      <w:r>
        <w:t xml:space="preserve"> </w:t>
      </w:r>
      <w:r>
        <w:t xml:space="preserve">[13] StockTwits ($RMBS, 28-sep a 15-oct-2026); 24/7 Wall St. (14-may y 2-jun-2026); SentiSense (9-ago-2026).</w:t>
      </w:r>
      <w:r>
        <w:t xml:space="preserve"> </w:t>
      </w:r>
      <w:r>
        <w:t xml:space="preserve">[14] Unusual Whales (6-oct-2026): fecha de resultados y movimiento implícito; Benzinga (24-sep-2026): posiciones cortas.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2026-10-15T08:31:31Z</dcterms:created>
  <dcterms:modified xsi:type="dcterms:W3CDTF">2026-10-15T08:31:31Z</dcterms:modified>
</cp:coreProperties>
</file>

<file path=docProps/custom.xml><?xml version="1.0" encoding="utf-8"?>
<Properties xmlns="http://schemas.openxmlformats.org/officeDocument/2006/custom-properties" xmlns:vt="http://schemas.openxmlformats.org/officeDocument/2006/docPropsVTypes"/>
</file>