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79f18e46479d7a3cc83d22219c577bd17bb717"/>
    <w:p>
      <w:pPr>
        <w:pStyle w:val="Heading1"/>
      </w:pPr>
      <w:r>
        <w:t xml:space="preserve">SailPoint (SAIL): análisis growth, 15-oct-2026</w:t>
      </w:r>
    </w:p>
    <w:p>
      <w:pPr>
        <w:pStyle w:val="FirstParagraph"/>
      </w:pPr>
      <w:r>
        <w:rPr>
          <w:bCs/>
          <w:b/>
        </w:rPr>
        <w:t xml:space="preserve">Señal (método vigente v11): Comprar (convicción baja)</w:t>
      </w:r>
      <w:r>
        <w:t xml:space="preserve"> </w:t>
      </w:r>
      <w:r>
        <w:t xml:space="preserve">· Puntuación 63,8/100 · Señales de cambio de tendencia 5/8 · EV/beneficio bruto 10,8 veces</w:t>
      </w:r>
      <w:r>
        <w:t xml:space="preserve"> </w:t>
      </w:r>
      <w:r>
        <w:t xml:space="preserve">Precio 19,30 USD (cierre del 14-oct) · Objetivo 12 m 21,1 USD · Ponderada +9,3 % · Base +11,7 % · Bajista −41,5 % · Alcista +54,9 % · Compra hasta 20,1 USD</w:t>
      </w:r>
      <w:r>
        <w:t xml:space="preserve"> </w:t>
      </w:r>
      <w:r>
        <w:t xml:space="preserve">Con la v9 (referencia): Comprar (baja), ponderada +10,1 %, base +12,3 %, bajista −41,5 %, compra hasta 20,2 USD</w:t>
      </w:r>
      <w:r>
        <w:t xml:space="preserve"> </w:t>
      </w:r>
      <w:r>
        <w:t xml:space="preserve">Precio actual: 19,03 USD (antes de la apertura, 15-oct a las 08:00 UTC); con el objetivo fijo, ponderada +10,8 %</w:t>
      </w:r>
      <w:r>
        <w:t xml:space="preserve"> </w:t>
      </w:r>
      <w:r>
        <w:t xml:space="preserve">Peso orientativo: 3,5 % por la regla, pero</w:t>
      </w:r>
      <w:r>
        <w:t xml:space="preserve"> </w:t>
      </w:r>
      <w:r>
        <w:rPr>
          <w:bCs/>
          <w:b/>
        </w:rPr>
        <w:t xml:space="preserve">hoy no entra</w:t>
      </w:r>
      <w:r>
        <w:t xml:space="preserve">: el bolsillo growth está lleno y no supera a ninguna de las cinco (sección 13). Queda como</w:t>
      </w:r>
      <w:r>
        <w:t xml:space="preserve"> </w:t>
      </w:r>
      <w:r>
        <w:rPr>
          <w:bCs/>
          <w:b/>
        </w:rPr>
        <w:t xml:space="preserve">décima suplente</w:t>
      </w:r>
      <w:r>
        <w:t xml:space="preserve">.</w:t>
      </w:r>
      <w:r>
        <w:t xml:space="preserve"> </w:t>
      </w:r>
      <w:r>
        <w:t xml:space="preserve">Prueba de robustez:</w:t>
      </w:r>
      <w:r>
        <w:t xml:space="preserve"> </w:t>
      </w:r>
      <w:r>
        <w:rPr>
          <w:bCs/>
          <w:b/>
        </w:rPr>
        <w:t xml:space="preserve">SÓLIDA</w:t>
      </w:r>
      <w:r>
        <w:t xml:space="preserve">, Comprar con convicción baja, posición pequeña y en dos tramos.</w:t>
      </w:r>
      <w:r>
        <w:t xml:space="preserve"> </w:t>
      </w:r>
      <w:r>
        <w:t xml:space="preserve">Filtro previo: las cuatro pruebas se confirman con los datos completos (sección 9).</w:t>
      </w:r>
    </w:p>
    <w:bookmarkStart w:id="20" w:name="la-tesis-en-cinco-líneas"/>
    <w:p>
      <w:pPr>
        <w:pStyle w:val="Heading2"/>
      </w:pPr>
      <w:r>
        <w:t xml:space="preserve">1. La tesis en cinco líneas</w:t>
      </w:r>
    </w:p>
    <w:p>
      <w:pPr>
        <w:numPr>
          <w:ilvl w:val="0"/>
          <w:numId w:val="1001"/>
        </w:numPr>
        <w:pStyle w:val="Compact"/>
      </w:pPr>
      <w:r>
        <w:t xml:space="preserve">SailPoint decide quién puede entrar a qué dentro de una empresa grande: empleados, proveedores y, cada vez más, máquinas y agentes de IA. Es la líder del gobierno de identidades. Factura 1.166 M USD en 12 meses, crece un 20 %, tiene un margen bruto del 76 % y genera caja: FCF del 15 % de las ventas.</w:t>
      </w:r>
    </w:p>
    <w:p>
      <w:pPr>
        <w:numPr>
          <w:ilvl w:val="0"/>
          <w:numId w:val="1001"/>
        </w:numPr>
        <w:pStyle w:val="Compact"/>
      </w:pPr>
      <w:r>
        <w:t xml:space="preserve">El ingreso contable crece menos que el negocio. El ARR (lo que los clientes pagan al año) crece un 25 % y el de la nube un 36 %, pero el paso de licencias, que se cobran por adelantado, a la nube, que se cobra repartida, frena las ventas unos años.</w:t>
      </w:r>
    </w:p>
    <w:p>
      <w:pPr>
        <w:numPr>
          <w:ilvl w:val="0"/>
          <w:numId w:val="1001"/>
        </w:numPr>
        <w:pStyle w:val="Compact"/>
      </w:pPr>
      <w:r>
        <w:t xml:space="preserve">La IA es su argumento principal: cada agente de IA es una identidad nueva que hay que vigilar. El ARR de productos de IA ya supera los 70 M USD y el objetivo es de 800 M en el ejercicio 2029.</w:t>
      </w:r>
    </w:p>
    <w:p>
      <w:pPr>
        <w:numPr>
          <w:ilvl w:val="0"/>
          <w:numId w:val="1001"/>
        </w:numPr>
        <w:pStyle w:val="Compact"/>
      </w:pPr>
      <w:r>
        <w:t xml:space="preserve">Cotiza a 8,2 veces las ventas de los próximos 12 meses, por debajo de su mediana desde la salida a bolsa (8,8 veces), y el precio solo exige crecer un 14,5 % al año durante 10 años, menos de lo que crece hoy.</w:t>
      </w:r>
    </w:p>
    <w:p>
      <w:pPr>
        <w:numPr>
          <w:ilvl w:val="0"/>
          <w:numId w:val="1001"/>
        </w:numPr>
        <w:pStyle w:val="Compact"/>
      </w:pPr>
      <w:r>
        <w:t xml:space="preserve">La regla da Comprar con convicción baja y un margen corto (+9,3 %). En contra pesan Thoma Bravo, que controla el 84,6 % y tendrá que vender, y una puntuación justa (63,8 con el listón en 60). No mejora a ninguna de las cinco growth de la cartera.</w:t>
      </w:r>
    </w:p>
    <w:bookmarkEnd w:id="20"/>
    <w:bookmarkStart w:id="21" w:name="negocio-y-tecnología"/>
    <w:p>
      <w:pPr>
        <w:pStyle w:val="Heading2"/>
      </w:pPr>
      <w:r>
        <w:t xml:space="preserve">2. Negocio y tecnología</w:t>
      </w:r>
    </w:p>
    <w:p>
      <w:pPr>
        <w:pStyle w:val="FirstParagraph"/>
      </w:pPr>
      <w:r>
        <w:t xml:space="preserve">SailPoint nació en 2005 en Austin. Thoma Bravo la compró en 2014, la sacó a bolsa en 2017, la volvió a comprar en 2022 por unos 6.900 M USD y la devolvió a bolsa en febrero de 2025 a 23 USD por acción (las fechas y el importe anteriores a 2025, de memoria) [4][5].</w:t>
      </w:r>
    </w:p>
    <w:p>
      <w:pPr>
        <w:pStyle w:val="BodyText"/>
      </w:pPr>
      <w:r>
        <w:t xml:space="preserve">Vende software de</w:t>
      </w:r>
      <w:r>
        <w:t xml:space="preserve"> </w:t>
      </w:r>
      <w:r>
        <w:rPr>
          <w:bCs/>
          <w:b/>
        </w:rPr>
        <w:t xml:space="preserve">gobierno de identidades</w:t>
      </w:r>
      <w:r>
        <w:t xml:space="preserve">: quién tiene acceso a cada aplicación y a cada dato, si debe tenerlo y cuándo hay que quitárselo. Tiene dos productos con el mismo fondo: Identity Security Cloud, en la nube, y IdentityIQ, instalado en el cliente. Cobra por número de identidades y por módulos, con contratos de tres años que se facturan cada año por adelantado [3].</w:t>
      </w:r>
    </w:p>
    <w:p>
      <w:pPr>
        <w:pStyle w:val="BodyText"/>
      </w:pPr>
      <w:r>
        <w:t xml:space="preserve">Lo nuevo:</w:t>
      </w:r>
      <w:r>
        <w:t xml:space="preserve"> </w:t>
      </w:r>
      <w:r>
        <w:t xml:space="preserve">-</w:t>
      </w:r>
      <w:r>
        <w:t xml:space="preserve"> </w:t>
      </w:r>
      <w:r>
        <w:rPr>
          <w:bCs/>
          <w:b/>
        </w:rPr>
        <w:t xml:space="preserve">Agentic Fabric</w:t>
      </w:r>
      <w:r>
        <w:t xml:space="preserve">: descubre, gobierna y limita a los agentes de IA de una empresa.</w:t>
      </w:r>
      <w:r>
        <w:t xml:space="preserve"> </w:t>
      </w:r>
      <w:r>
        <w:t xml:space="preserve">-</w:t>
      </w:r>
      <w:r>
        <w:t xml:space="preserve"> </w:t>
      </w:r>
      <w:r>
        <w:rPr>
          <w:bCs/>
          <w:b/>
        </w:rPr>
        <w:t xml:space="preserve">Entro</w:t>
      </w:r>
      <w:r>
        <w:t xml:space="preserve">: comprada en junio por 122,6 M USD, añade las identidades de máquinas (claves, cuentas de servicio).</w:t>
      </w:r>
      <w:r>
        <w:t xml:space="preserve"> </w:t>
      </w:r>
      <w:r>
        <w:t xml:space="preserve">- Integraciones con Claude, Cursor y los tres grandes proveedores de nube [1][3].</w:t>
      </w:r>
    </w:p>
    <w:p>
      <w:pPr>
        <w:pStyle w:val="BodyText"/>
      </w:pPr>
      <w:r>
        <w:rPr>
          <w:bCs/>
          <w:b/>
        </w:rPr>
        <w:t xml:space="preserve">Tecnología 4/5</w:t>
      </w:r>
      <w:r>
        <w:t xml:space="preserve">: los conectores con miles de aplicaciones y los datos de permisos de las grandes empresas son difíciles de copiar, y KuppingerCole la sitúa primera en producto e innovación. Pero Microsoft (Entra), Okta y Saviynt ofrecen alternativas.</w:t>
      </w:r>
      <w:r>
        <w:t xml:space="preserve"> </w:t>
      </w:r>
      <w:r>
        <w:rPr>
          <w:bCs/>
          <w:b/>
        </w:rPr>
        <w:t xml:space="preserve">Posición 4/5</w:t>
      </w:r>
      <w:r>
        <w:t xml:space="preserve">: líder en su nicho, pero en la identidad en sentido amplio Microsoft y Okta son más grandes.</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 (ejercicio, cierre)</w:t>
            </w:r>
          </w:p>
        </w:tc>
        <w:tc>
          <w:tcPr/>
          <w:p>
            <w:pPr>
              <w:pStyle w:val="Compact"/>
              <w:jc w:val="left"/>
            </w:pPr>
            <w:r>
              <w:t xml:space="preserve">Ventas (M USD)</w:t>
            </w:r>
          </w:p>
        </w:tc>
        <w:tc>
          <w:tcPr/>
          <w:p>
            <w:pPr>
              <w:pStyle w:val="Compact"/>
              <w:jc w:val="left"/>
            </w:pPr>
            <w:r>
              <w:t xml:space="preserve">Crecimiento interanual</w:t>
            </w:r>
          </w:p>
        </w:tc>
        <w:tc>
          <w:tcPr/>
          <w:p>
            <w:pPr>
              <w:pStyle w:val="Compact"/>
              <w:jc w:val="left"/>
            </w:pPr>
            <w:r>
              <w:t xml:space="preserve">ARR (M USD)</w:t>
            </w:r>
          </w:p>
        </w:tc>
      </w:tr>
      <w:tr>
        <w:tc>
          <w:tcPr/>
          <w:p>
            <w:pPr>
              <w:pStyle w:val="Compact"/>
              <w:jc w:val="left"/>
            </w:pPr>
            <w:r>
              <w:t xml:space="preserve">1T26 (abr-25)</w:t>
            </w:r>
          </w:p>
        </w:tc>
        <w:tc>
          <w:tcPr/>
          <w:p>
            <w:pPr>
              <w:pStyle w:val="Compact"/>
              <w:jc w:val="left"/>
            </w:pPr>
            <w:r>
              <w:t xml:space="preserve">230,5</w:t>
            </w:r>
          </w:p>
        </w:tc>
        <w:tc>
          <w:tcPr/>
          <w:p>
            <w:pPr>
              <w:pStyle w:val="Compact"/>
              <w:jc w:val="left"/>
            </w:pPr>
            <w:r>
              <w:t xml:space="preserve">22,8 %</w:t>
            </w:r>
          </w:p>
        </w:tc>
        <w:tc>
          <w:tcPr/>
          <w:p>
            <w:pPr>
              <w:pStyle w:val="Compact"/>
              <w:jc w:val="left"/>
            </w:pPr>
            <w:r>
              <w:t xml:space="preserve">sin dato</w:t>
            </w:r>
          </w:p>
        </w:tc>
      </w:tr>
      <w:tr>
        <w:tc>
          <w:tcPr/>
          <w:p>
            <w:pPr>
              <w:pStyle w:val="Compact"/>
              <w:jc w:val="left"/>
            </w:pPr>
            <w:r>
              <w:t xml:space="preserve">2T26 (jul-25)</w:t>
            </w:r>
          </w:p>
        </w:tc>
        <w:tc>
          <w:tcPr/>
          <w:p>
            <w:pPr>
              <w:pStyle w:val="Compact"/>
              <w:jc w:val="left"/>
            </w:pPr>
            <w:r>
              <w:t xml:space="preserve">264,4</w:t>
            </w:r>
          </w:p>
        </w:tc>
        <w:tc>
          <w:tcPr/>
          <w:p>
            <w:pPr>
              <w:pStyle w:val="Compact"/>
              <w:jc w:val="left"/>
            </w:pPr>
            <w:r>
              <w:t xml:space="preserve">33,1 %</w:t>
            </w:r>
          </w:p>
        </w:tc>
        <w:tc>
          <w:tcPr/>
          <w:p>
            <w:pPr>
              <w:pStyle w:val="Compact"/>
              <w:jc w:val="left"/>
            </w:pPr>
            <w:r>
              <w:t xml:space="preserve">982</w:t>
            </w:r>
          </w:p>
        </w:tc>
      </w:tr>
      <w:tr>
        <w:tc>
          <w:tcPr/>
          <w:p>
            <w:pPr>
              <w:pStyle w:val="Compact"/>
              <w:jc w:val="left"/>
            </w:pPr>
            <w:r>
              <w:t xml:space="preserve">3T26 (oct-25)</w:t>
            </w:r>
          </w:p>
        </w:tc>
        <w:tc>
          <w:tcPr/>
          <w:p>
            <w:pPr>
              <w:pStyle w:val="Compact"/>
              <w:jc w:val="left"/>
            </w:pPr>
            <w:r>
              <w:t xml:space="preserve">281,9</w:t>
            </w:r>
          </w:p>
        </w:tc>
        <w:tc>
          <w:tcPr/>
          <w:p>
            <w:pPr>
              <w:pStyle w:val="Compact"/>
              <w:jc w:val="left"/>
            </w:pPr>
            <w:r>
              <w:t xml:space="preserve">19,8 %</w:t>
            </w:r>
          </w:p>
        </w:tc>
        <w:tc>
          <w:tcPr/>
          <w:p>
            <w:pPr>
              <w:pStyle w:val="Compact"/>
              <w:jc w:val="left"/>
            </w:pPr>
            <w:r>
              <w:t xml:space="preserve">1.040</w:t>
            </w:r>
          </w:p>
        </w:tc>
      </w:tr>
      <w:tr>
        <w:tc>
          <w:tcPr/>
          <w:p>
            <w:pPr>
              <w:pStyle w:val="Compact"/>
              <w:jc w:val="left"/>
            </w:pPr>
            <w:r>
              <w:t xml:space="preserve">4T26 (ene-26)</w:t>
            </w:r>
          </w:p>
        </w:tc>
        <w:tc>
          <w:tcPr/>
          <w:p>
            <w:pPr>
              <w:pStyle w:val="Compact"/>
              <w:jc w:val="left"/>
            </w:pPr>
            <w:r>
              <w:t xml:space="preserve">294,6</w:t>
            </w:r>
          </w:p>
        </w:tc>
        <w:tc>
          <w:tcPr/>
          <w:p>
            <w:pPr>
              <w:pStyle w:val="Compact"/>
              <w:jc w:val="left"/>
            </w:pPr>
            <w:r>
              <w:t xml:space="preserve">22,7 %</w:t>
            </w:r>
          </w:p>
        </w:tc>
        <w:tc>
          <w:tcPr/>
          <w:p>
            <w:pPr>
              <w:pStyle w:val="Compact"/>
              <w:jc w:val="left"/>
            </w:pPr>
            <w:r>
              <w:t xml:space="preserve">1.125</w:t>
            </w:r>
          </w:p>
        </w:tc>
      </w:tr>
      <w:tr>
        <w:tc>
          <w:tcPr/>
          <w:p>
            <w:pPr>
              <w:pStyle w:val="Compact"/>
              <w:jc w:val="left"/>
            </w:pPr>
            <w:r>
              <w:t xml:space="preserve">1T27 (abr-26)</w:t>
            </w:r>
          </w:p>
        </w:tc>
        <w:tc>
          <w:tcPr/>
          <w:p>
            <w:pPr>
              <w:pStyle w:val="Compact"/>
              <w:jc w:val="left"/>
            </w:pPr>
            <w:r>
              <w:t xml:space="preserve">280,1</w:t>
            </w:r>
          </w:p>
        </w:tc>
        <w:tc>
          <w:tcPr/>
          <w:p>
            <w:pPr>
              <w:pStyle w:val="Compact"/>
              <w:jc w:val="left"/>
            </w:pPr>
            <w:r>
              <w:t xml:space="preserve">21,5 %</w:t>
            </w:r>
          </w:p>
        </w:tc>
        <w:tc>
          <w:tcPr/>
          <w:p>
            <w:pPr>
              <w:pStyle w:val="Compact"/>
              <w:jc w:val="left"/>
            </w:pPr>
            <w:r>
              <w:t xml:space="preserve">1.163</w:t>
            </w:r>
          </w:p>
        </w:tc>
      </w:tr>
      <w:tr>
        <w:tc>
          <w:tcPr/>
          <w:p>
            <w:pPr>
              <w:pStyle w:val="Compact"/>
              <w:jc w:val="left"/>
            </w:pPr>
            <w:r>
              <w:t xml:space="preserve">2T27 (jul-26)</w:t>
            </w:r>
          </w:p>
        </w:tc>
        <w:tc>
          <w:tcPr/>
          <w:p>
            <w:pPr>
              <w:pStyle w:val="Compact"/>
              <w:jc w:val="left"/>
            </w:pPr>
            <w:r>
              <w:t xml:space="preserve">308,8</w:t>
            </w:r>
          </w:p>
        </w:tc>
        <w:tc>
          <w:tcPr/>
          <w:p>
            <w:pPr>
              <w:pStyle w:val="Compact"/>
              <w:jc w:val="left"/>
            </w:pPr>
            <w:r>
              <w:t xml:space="preserve">16,8 %</w:t>
            </w:r>
          </w:p>
        </w:tc>
        <w:tc>
          <w:tcPr/>
          <w:p>
            <w:pPr>
              <w:pStyle w:val="Compact"/>
              <w:jc w:val="left"/>
            </w:pPr>
            <w:r>
              <w:t xml:space="preserve">1.231</w:t>
            </w:r>
          </w:p>
        </w:tc>
      </w:tr>
      <w:tr>
        <w:tc>
          <w:tcPr/>
          <w:p>
            <w:pPr>
              <w:pStyle w:val="Compact"/>
              <w:jc w:val="left"/>
            </w:pPr>
            <w:r>
              <w:t xml:space="preserve">Guía 3T27 (oct-26)</w:t>
            </w:r>
          </w:p>
        </w:tc>
        <w:tc>
          <w:tcPr/>
          <w:p>
            <w:pPr>
              <w:pStyle w:val="Compact"/>
              <w:jc w:val="left"/>
            </w:pPr>
            <w:r>
              <w:t xml:space="preserve">326-330</w:t>
            </w:r>
          </w:p>
        </w:tc>
        <w:tc>
          <w:tcPr/>
          <w:p>
            <w:pPr>
              <w:pStyle w:val="Compact"/>
              <w:jc w:val="left"/>
            </w:pPr>
            <w:r>
              <w:t xml:space="preserve">16,4 %</w:t>
            </w:r>
          </w:p>
        </w:tc>
        <w:tc>
          <w:tcPr/>
          <w:p>
            <w:pPr>
              <w:pStyle w:val="Compact"/>
              <w:jc w:val="left"/>
            </w:pPr>
            <w:r>
              <w:t xml:space="preserve">1.288-1.292</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 (cierre en enero)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2024</w:t>
            </w:r>
          </w:p>
        </w:tc>
        <w:tc>
          <w:tcPr/>
          <w:p>
            <w:pPr>
              <w:pStyle w:val="Compact"/>
              <w:jc w:val="left"/>
            </w:pPr>
            <w:r>
              <w:t xml:space="preserve">699,6</w:t>
            </w:r>
          </w:p>
        </w:tc>
        <w:tc>
          <w:tcPr/>
          <w:p>
            <w:pPr>
              <w:pStyle w:val="Compact"/>
              <w:jc w:val="left"/>
            </w:pPr>
            <w:r>
              <w:t xml:space="preserve">sin dato comparable</w:t>
            </w:r>
          </w:p>
        </w:tc>
      </w:tr>
      <w:tr>
        <w:tc>
          <w:tcPr/>
          <w:p>
            <w:pPr>
              <w:pStyle w:val="Compact"/>
              <w:jc w:val="left"/>
            </w:pPr>
            <w:r>
              <w:t xml:space="preserve">2025</w:t>
            </w:r>
          </w:p>
        </w:tc>
        <w:tc>
          <w:tcPr/>
          <w:p>
            <w:pPr>
              <w:pStyle w:val="Compact"/>
              <w:jc w:val="left"/>
            </w:pPr>
            <w:r>
              <w:t xml:space="preserve">861,6</w:t>
            </w:r>
          </w:p>
        </w:tc>
        <w:tc>
          <w:tcPr/>
          <w:p>
            <w:pPr>
              <w:pStyle w:val="Compact"/>
              <w:jc w:val="left"/>
            </w:pPr>
            <w:r>
              <w:t xml:space="preserve">23 %</w:t>
            </w:r>
          </w:p>
        </w:tc>
      </w:tr>
      <w:tr>
        <w:tc>
          <w:tcPr/>
          <w:p>
            <w:pPr>
              <w:pStyle w:val="Compact"/>
              <w:jc w:val="left"/>
            </w:pPr>
            <w:r>
              <w:t xml:space="preserve">2026</w:t>
            </w:r>
          </w:p>
        </w:tc>
        <w:tc>
          <w:tcPr/>
          <w:p>
            <w:pPr>
              <w:pStyle w:val="Compact"/>
              <w:jc w:val="left"/>
            </w:pPr>
            <w:r>
              <w:t xml:space="preserve">1.071,4</w:t>
            </w:r>
          </w:p>
        </w:tc>
        <w:tc>
          <w:tcPr/>
          <w:p>
            <w:pPr>
              <w:pStyle w:val="Compact"/>
              <w:jc w:val="left"/>
            </w:pPr>
            <w:r>
              <w:t xml:space="preserve">24 %</w:t>
            </w:r>
          </w:p>
        </w:tc>
      </w:tr>
      <w:tr>
        <w:tc>
          <w:tcPr/>
          <w:p>
            <w:pPr>
              <w:pStyle w:val="Compact"/>
              <w:jc w:val="left"/>
            </w:pPr>
            <w:r>
              <w:t xml:space="preserve">2027, guía</w:t>
            </w:r>
          </w:p>
        </w:tc>
        <w:tc>
          <w:tcPr/>
          <w:p>
            <w:pPr>
              <w:pStyle w:val="Compact"/>
              <w:jc w:val="left"/>
            </w:pPr>
            <w:r>
              <w:t xml:space="preserve">1.270</w:t>
            </w:r>
          </w:p>
        </w:tc>
        <w:tc>
          <w:tcPr/>
          <w:p>
            <w:pPr>
              <w:pStyle w:val="Compact"/>
              <w:jc w:val="left"/>
            </w:pPr>
            <w:r>
              <w:t xml:space="preserve">18,5 %</w:t>
            </w:r>
          </w:p>
        </w:tc>
      </w:tr>
    </w:tbl>
    <w:p>
      <w:pPr>
        <w:pStyle w:val="BodyText"/>
      </w:pPr>
      <w:r>
        <w:t xml:space="preserve">Fuentes: [1][2][4].</w:t>
      </w:r>
    </w:p>
    <w:p>
      <w:pPr>
        <w:numPr>
          <w:ilvl w:val="0"/>
          <w:numId w:val="1002"/>
        </w:numPr>
        <w:pStyle w:val="Compact"/>
      </w:pPr>
      <w:r>
        <w:rPr>
          <w:bCs/>
          <w:b/>
        </w:rPr>
        <w:t xml:space="preserve">12 meses</w:t>
      </w:r>
      <w:r>
        <w:t xml:space="preserve">: +20,1 %.</w:t>
      </w:r>
      <w:r>
        <w:t xml:space="preserve"> </w:t>
      </w:r>
      <w:r>
        <w:rPr>
          <w:bCs/>
          <w:b/>
        </w:rPr>
        <w:t xml:space="preserve">CAGR a 2 años</w:t>
      </w:r>
      <w:r>
        <w:t xml:space="preserve">: +23,0 %.</w:t>
      </w:r>
      <w:r>
        <w:t xml:space="preserve"> </w:t>
      </w:r>
      <w:r>
        <w:rPr>
          <w:bCs/>
          <w:b/>
        </w:rPr>
        <w:t xml:space="preserve">Aceleración</w:t>
      </w:r>
      <w:r>
        <w:t xml:space="preserve">: −7,5 puntos (16,8 % frente a una media del 24,3 % en los cuatro trimestres anteriores).</w:t>
      </w:r>
    </w:p>
    <w:p>
      <w:pPr>
        <w:numPr>
          <w:ilvl w:val="0"/>
          <w:numId w:val="1002"/>
        </w:numPr>
        <w:pStyle w:val="Compact"/>
      </w:pPr>
      <w:r>
        <w:rPr>
          <w:bCs/>
          <w:b/>
        </w:rPr>
        <w:t xml:space="preserve">ARR</w:t>
      </w:r>
      <w:r>
        <w:t xml:space="preserve">: 1.231 M USD, +25 %.</w:t>
      </w:r>
      <w:r>
        <w:t xml:space="preserve"> </w:t>
      </w:r>
      <w:r>
        <w:rPr>
          <w:bCs/>
          <w:b/>
        </w:rPr>
        <w:t xml:space="preserve">ARR en la nube</w:t>
      </w:r>
      <w:r>
        <w:t xml:space="preserve">: 847 M, +36 %, y ya es el 97 % del ARR nuevo.</w:t>
      </w:r>
      <w:r>
        <w:t xml:space="preserve"> </w:t>
      </w:r>
      <w:r>
        <w:rPr>
          <w:bCs/>
          <w:b/>
        </w:rPr>
        <w:t xml:space="preserve">Retención neta</w:t>
      </w:r>
      <w:r>
        <w:t xml:space="preserve">: 113 % (114 % hace un año) [1][3].</w:t>
      </w:r>
    </w:p>
    <w:p>
      <w:pPr>
        <w:numPr>
          <w:ilvl w:val="0"/>
          <w:numId w:val="1002"/>
        </w:numPr>
        <w:pStyle w:val="Compact"/>
      </w:pPr>
      <w:r>
        <w:rPr>
          <w:bCs/>
          <w:b/>
        </w:rPr>
        <w:t xml:space="preserve">Por qué las ventas van por detrás</w:t>
      </w:r>
      <w:r>
        <w:t xml:space="preserve">: las licencias de plazo se reconocen casi enteras al firmar; la nube, mes a mes. Las licencias de plazo caen un 3 % y el mantenimiento un 8 %, mientras la nube sube un 34 %. La empresa lo avisa en el 10-Q [3].</w:t>
      </w:r>
    </w:p>
    <w:p>
      <w:pPr>
        <w:numPr>
          <w:ilvl w:val="0"/>
          <w:numId w:val="1002"/>
        </w:numPr>
        <w:pStyle w:val="Compact"/>
      </w:pPr>
      <w:r>
        <w:rPr>
          <w:bCs/>
          <w:b/>
        </w:rPr>
        <w:t xml:space="preserve">Guía</w:t>
      </w:r>
      <w:r>
        <w:t xml:space="preserve">: ventas del ejercicio de 1.265-1.275 M, casi sin cambios desde marzo. El segundo semestre implícito crece un 18,1 %. SailPoint bate su guía trimestral solo por 2,0 puntos de media, y en el 2T27 quedó un poco por debajo del punto medio [1][2].</w:t>
      </w:r>
    </w:p>
    <w:p>
      <w:pPr>
        <w:numPr>
          <w:ilvl w:val="0"/>
          <w:numId w:val="1002"/>
        </w:numPr>
        <w:pStyle w:val="Compact"/>
      </w:pPr>
      <w:r>
        <w:rPr>
          <w:bCs/>
          <w:b/>
        </w:rPr>
        <w:t xml:space="preserve">Compras</w:t>
      </w:r>
      <w:r>
        <w:t xml:space="preserve">: Entro (junio de 2026) tiene un tamaño pequeño frente a 1.231 M de ARR; no mueve el crecimiento más de 2 puntos, así que no hace falta separar el orgánico. La v12 da lo mismo que la v11.</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unos 20.000 M USD en 2028 (gobierno de identidades, accesos privilegiados e identidades de máquinas y agentes; estimación propia, de memoria). La empresa cita 55.000 M, con un cálculo que da por hecho que todas las empresas comprarían como sus clientes [4][15].</w:t>
      </w:r>
      <w:r>
        <w:t xml:space="preserve"> </w:t>
      </w:r>
      <w:r>
        <w:rPr>
          <w:bCs/>
          <w:b/>
        </w:rPr>
        <w:t xml:space="preserve">Penetración</w:t>
      </w:r>
      <w:r>
        <w:t xml:space="preserve">: 5,8 %.</w:t>
      </w:r>
    </w:p>
    <w:p>
      <w:pPr>
        <w:numPr>
          <w:ilvl w:val="0"/>
          <w:numId w:val="1003"/>
        </w:numPr>
        <w:pStyle w:val="Compact"/>
      </w:pPr>
      <w:r>
        <w:rPr>
          <w:bCs/>
          <w:b/>
        </w:rPr>
        <w:t xml:space="preserve">Rivales</w:t>
      </w:r>
      <w:r>
        <w:t xml:space="preserve">:</w:t>
      </w:r>
    </w:p>
    <w:p>
      <w:pPr>
        <w:numPr>
          <w:ilvl w:val="1"/>
          <w:numId w:val="1004"/>
        </w:numPr>
        <w:pStyle w:val="Compact"/>
      </w:pPr>
      <w:r>
        <w:t xml:space="preserve">Microsoft Entra ID Governance, metido en el paquete de Microsoft 365: es el rival más peligroso por precio.</w:t>
      </w:r>
    </w:p>
    <w:p>
      <w:pPr>
        <w:numPr>
          <w:ilvl w:val="1"/>
          <w:numId w:val="1004"/>
        </w:numPr>
        <w:pStyle w:val="Compact"/>
      </w:pPr>
      <w:r>
        <w:t xml:space="preserve">Okta, que entra en gobierno de identidades y en identidades de agentes.</w:t>
      </w:r>
    </w:p>
    <w:p>
      <w:pPr>
        <w:numPr>
          <w:ilvl w:val="1"/>
          <w:numId w:val="1004"/>
        </w:numPr>
        <w:pStyle w:val="Compact"/>
      </w:pPr>
      <w:r>
        <w:t xml:space="preserve">Palo Alto Networks, que compró CyberArk (accesos privilegiados e identidades de máquinas; de memoria).</w:t>
      </w:r>
    </w:p>
    <w:p>
      <w:pPr>
        <w:numPr>
          <w:ilvl w:val="1"/>
          <w:numId w:val="1004"/>
        </w:numPr>
        <w:pStyle w:val="Compact"/>
      </w:pPr>
      <w:r>
        <w:t xml:space="preserve">Saviynt, privada.</w:t>
      </w:r>
    </w:p>
    <w:p>
      <w:pPr>
        <w:numPr>
          <w:ilvl w:val="0"/>
          <w:numId w:val="1003"/>
        </w:numPr>
        <w:pStyle w:val="Compact"/>
      </w:pPr>
      <w:r>
        <w:rPr>
          <w:bCs/>
          <w:b/>
        </w:rPr>
        <w:t xml:space="preserve">Por qué gana</w:t>
      </w:r>
      <w:r>
        <w:t xml:space="preserve">: en las empresas más grandes y complejas, con miles de aplicaciones antiguas, SailPoint tiene más conectores y más años de datos de permisos. Los clientes de más de 1 M USD de ARR suben un 27 %, hasta 235, y el ARR medio por cliente de la nube pasa de 400.000 USD [1][3].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Guía de ARR del año subida dos veces; subidas de precio objetivo de Cantor, Baird, Oppenheimer y Morgan Stanley</w:t>
            </w:r>
          </w:p>
        </w:tc>
        <w:tc>
          <w:tcPr/>
          <w:p>
            <w:pPr>
              <w:pStyle w:val="Compact"/>
              <w:jc w:val="left"/>
            </w:pPr>
            <w:r>
              <w:t xml:space="preserve">[1][2][8][11]</w:t>
            </w:r>
          </w:p>
        </w:tc>
      </w:tr>
      <w:tr>
        <w:tc>
          <w:tcPr/>
          <w:p>
            <w:pPr>
              <w:pStyle w:val="Compact"/>
              <w:jc w:val="left"/>
            </w:pPr>
            <w:r>
              <w:t xml:space="preserve">2. Precio sobre la media de 200 sesiones</w:t>
            </w:r>
          </w:p>
        </w:tc>
        <w:tc>
          <w:tcPr/>
          <w:p>
            <w:pPr>
              <w:pStyle w:val="Compact"/>
              <w:jc w:val="left"/>
            </w:pPr>
            <w:r>
              <w:t xml:space="preserve">No</w:t>
            </w:r>
          </w:p>
        </w:tc>
        <w:tc>
          <w:tcPr/>
          <w:p>
            <w:pPr>
              <w:pStyle w:val="Compact"/>
              <w:jc w:val="left"/>
            </w:pPr>
            <w:r>
              <w:t xml:space="preserve">19,30 frente a 16,02 USD, pero la media está plana desde agosto</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+73,6 % frente a +16,0 % del Nasdaq-100</w:t>
            </w:r>
          </w:p>
        </w:tc>
        <w:tc>
          <w:tcPr/>
          <w:p>
            <w:pPr>
              <w:pStyle w:val="Compact"/>
              <w:jc w:val="left"/>
            </w:pPr>
            <w:r>
              <w:t xml:space="preserve">[6]</w:t>
            </w:r>
          </w:p>
        </w:tc>
      </w:tr>
      <w:tr>
        <w:tc>
          <w:tcPr/>
          <w:p>
            <w:pPr>
              <w:pStyle w:val="Compact"/>
              <w:jc w:val="left"/>
            </w:pPr>
            <w:r>
              <w:t xml:space="preserve">4. Mejora del múltiplo</w:t>
            </w:r>
          </w:p>
        </w:tc>
        <w:tc>
          <w:tcPr/>
          <w:p>
            <w:pPr>
              <w:pStyle w:val="Compact"/>
              <w:jc w:val="left"/>
            </w:pPr>
            <w:r>
              <w:t xml:space="preserve">Sí</w:t>
            </w:r>
          </w:p>
        </w:tc>
        <w:tc>
          <w:tcPr/>
          <w:p>
            <w:pPr>
              <w:pStyle w:val="Compact"/>
              <w:jc w:val="left"/>
            </w:pPr>
            <w:r>
              <w:t xml:space="preserve">De 4,7 veces (10-abr) a 8,2 veces las ventas siguientes</w:t>
            </w:r>
          </w:p>
        </w:tc>
        <w:tc>
          <w:tcPr/>
          <w:p>
            <w:pPr>
              <w:pStyle w:val="Compact"/>
              <w:jc w:val="left"/>
            </w:pPr>
            <w:r>
              <w:t xml:space="preserve">[6][12]</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Margen operativo ajustado plano en el 20 %; el FCF ya era positivo hace un año y en el 2T27 baja</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Sí</w:t>
            </w:r>
          </w:p>
        </w:tc>
        <w:tc>
          <w:tcPr/>
          <w:p>
            <w:pPr>
              <w:pStyle w:val="Compact"/>
              <w:jc w:val="left"/>
            </w:pPr>
            <w:r>
              <w:t xml:space="preserve">De «la IA se come el software» a «la identidad controla a los agentes»; sin euforia: sigue por debajo del precio de salida a bolsa y con muchas posiciones cortas</w:t>
            </w:r>
          </w:p>
        </w:tc>
        <w:tc>
          <w:tcPr/>
          <w:p>
            <w:pPr>
              <w:pStyle w:val="Compact"/>
              <w:jc w:val="left"/>
            </w:pPr>
            <w:r>
              <w:t xml:space="preserve">[8][9][10][11]</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Ninguna compra; solo ventas de directivos al cobrar acciones, unos 32 M USD en 12 meses</w:t>
            </w:r>
          </w:p>
        </w:tc>
        <w:tc>
          <w:tcPr/>
          <w:p>
            <w:pPr>
              <w:pStyle w:val="Compact"/>
              <w:jc w:val="left"/>
            </w:pPr>
            <w:r>
              <w:t xml:space="preserve">[5][7]</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a principios de diciembre, con el ARR de IA; integración de Entro</w:t>
            </w:r>
          </w:p>
        </w:tc>
        <w:tc>
          <w:tcPr/>
          <w:p>
            <w:pPr>
              <w:pStyle w:val="Compact"/>
              <w:jc w:val="left"/>
            </w:pPr>
            <w:r>
              <w:t xml:space="preserve">[1]</w:t>
            </w:r>
          </w:p>
        </w:tc>
      </w:tr>
    </w:tbl>
    <w:p>
      <w:pPr>
        <w:pStyle w:val="BodyText"/>
      </w:pPr>
      <w:r>
        <w:rPr>
          <w:bCs/>
          <w:b/>
        </w:rPr>
        <w:t xml:space="preserve">Euforia: no.</w:t>
      </w:r>
      <w:r>
        <w:t xml:space="preserve"> </w:t>
      </w:r>
      <w:r>
        <w:t xml:space="preserve">La acción cae un 13,5 % en 12 meses. Sube un 73,6 % en 6 meses, pero desde un mínimo muy bajo (10,49 USD en abril) y con el valor de empresa a 10,8 veces el beneficio bruto, lejos de 20, así que tampoco salta la alerta de euforia a 6 meses.</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 75,5 % en 12 meses. Es el contable sin la amortización de los intangibles de la compra de Thoma Bravo (108 M USD al año, sin salida de caja). El contable puro es 66,2 % y el ajustado de la empresa, 77,6 %. Con el contable puro, el EV/beneficio bruto sería de 12,3 veces y la puntuación bajaría un punto, a 62,8: la señal no cambia.</w:t>
      </w:r>
    </w:p>
    <w:p>
      <w:pPr>
        <w:numPr>
          <w:ilvl w:val="0"/>
          <w:numId w:val="1005"/>
        </w:numPr>
        <w:pStyle w:val="Compact"/>
      </w:pPr>
      <w:r>
        <w:rPr>
          <w:bCs/>
          <w:b/>
        </w:rPr>
        <w:t xml:space="preserve">Regla del 40</w:t>
      </w:r>
      <w:r>
        <w:t xml:space="preserve">: 35 (crecimiento del 20 % más margen FCF del 15 %). Restando los pagos en acciones, 15.</w:t>
      </w:r>
    </w:p>
    <w:p>
      <w:pPr>
        <w:numPr>
          <w:ilvl w:val="0"/>
          <w:numId w:val="1005"/>
        </w:numPr>
        <w:pStyle w:val="Compact"/>
      </w:pPr>
      <w:r>
        <w:rPr>
          <w:bCs/>
          <w:b/>
        </w:rPr>
        <w:t xml:space="preserve">FCF</w:t>
      </w:r>
      <w:r>
        <w:t xml:space="preserve">: 176 M USD en 12 meses, frente a 52 M en el ejercicio 2026, que llevaba pagos únicos de la salida a bolsa. Objetivo de al menos 400 M en el ejercicio 2029 [1][2].</w:t>
      </w:r>
    </w:p>
    <w:p>
      <w:pPr>
        <w:numPr>
          <w:ilvl w:val="0"/>
          <w:numId w:val="1005"/>
        </w:numPr>
        <w:pStyle w:val="Compact"/>
      </w:pPr>
      <w:r>
        <w:rPr>
          <w:bCs/>
          <w:b/>
        </w:rPr>
        <w:t xml:space="preserve">Rentabilidad contable</w:t>
      </w:r>
      <w:r>
        <w:t xml:space="preserve">: pierde dinero en GAAP (−59 M de pérdida operativa en el 2T27) por los pagos en acciones y la amortización de intangibles. El beneficio operativo ajustado es del 20 %. Como no gana dinero de forma estable, se valora por EV/ventas.</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w:t>
      </w:r>
      <w:r>
        <w:t xml:space="preserve">: 309,9 M USD.</w:t>
      </w:r>
      <w:r>
        <w:t xml:space="preserve"> </w:t>
      </w:r>
      <w:r>
        <w:rPr>
          <w:bCs/>
          <w:b/>
        </w:rPr>
        <w:t xml:space="preserve">Deuda</w:t>
      </w:r>
      <w:r>
        <w:t xml:space="preserve">: ninguna. La deuda de la compra de Thoma Bravo (1.040 M de préstamos) se pagó con el dinero de la salida a bolsa en febrero de 2025. Tiene una línea de crédito de 250 M sin usar [1][3].</w:t>
      </w:r>
    </w:p>
    <w:p>
      <w:pPr>
        <w:numPr>
          <w:ilvl w:val="0"/>
          <w:numId w:val="1006"/>
        </w:numPr>
        <w:pStyle w:val="Compact"/>
      </w:pPr>
      <w:r>
        <w:rPr>
          <w:bCs/>
          <w:b/>
        </w:rPr>
        <w:t xml:space="preserve">Pista de caja</w:t>
      </w:r>
      <w:r>
        <w:t xml:space="preserve">: no aplica, genera caja.</w:t>
      </w:r>
    </w:p>
    <w:p>
      <w:pPr>
        <w:numPr>
          <w:ilvl w:val="0"/>
          <w:numId w:val="1006"/>
        </w:numPr>
        <w:pStyle w:val="Compact"/>
      </w:pPr>
      <w:r>
        <w:rPr>
          <w:bCs/>
          <w:b/>
        </w:rPr>
        <w:t xml:space="preserve">Acciones</w:t>
      </w:r>
      <w:r>
        <w:t xml:space="preserve">: 570,9 M en circulación más 29,9 M de RSU, acciones restringidas y plan de empleados = 600,8 M.</w:t>
      </w:r>
    </w:p>
    <w:p>
      <w:pPr>
        <w:numPr>
          <w:ilvl w:val="0"/>
          <w:numId w:val="1006"/>
        </w:numPr>
        <w:pStyle w:val="Compact"/>
      </w:pPr>
      <w:r>
        <w:rPr>
          <w:bCs/>
          <w:b/>
        </w:rPr>
        <w:t xml:space="preserve">Dilución</w:t>
      </w:r>
      <w:r>
        <w:t xml:space="preserve">: +4,2 % en un año. El plan de acciones se amplía solo un 5 % al año, aunque la empresa decide cuánto usa. Para los 12 meses siguientes se prevé un 3 %.</w:t>
      </w:r>
    </w:p>
    <w:p>
      <w:pPr>
        <w:numPr>
          <w:ilvl w:val="0"/>
          <w:numId w:val="1006"/>
        </w:numPr>
        <w:pStyle w:val="Compact"/>
      </w:pPr>
      <w:r>
        <w:rPr>
          <w:bCs/>
          <w:b/>
        </w:rPr>
        <w:t xml:space="preserve">Pagos en acciones: 20,5 % de las ventas, en rojo.</w:t>
      </w:r>
      <w:r>
        <w:t xml:space="preserve"> </w:t>
      </w:r>
      <w:r>
        <w:t xml:space="preserve">Son 238 M USD en 12 meses, más que todo el FCF.</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ha cumplido la guía de ventas en todos los trimestres desde la salida a bolsa y ha subido la de ARR, pero por poco margen: en el 2T27 quedó algo por debajo del punto medio, y el mercado castigó los resultados de marzo (−15 %) y junio (−12 %).</w:t>
      </w:r>
    </w:p>
    <w:p>
      <w:pPr>
        <w:numPr>
          <w:ilvl w:val="0"/>
          <w:numId w:val="1007"/>
        </w:numPr>
        <w:pStyle w:val="Compact"/>
      </w:pPr>
      <w:r>
        <w:rPr>
          <w:bCs/>
          <w:b/>
        </w:rPr>
        <w:t xml:space="preserve">Dirección 3/5</w:t>
      </w:r>
      <w:r>
        <w:t xml:space="preserve">: el fundador, Mark McClain, es el consejero delegado, pero tiene menos del 1 %. Manda Thoma Bravo, con el 84,6 % y el derecho a nombrar a todo el consejo. Los directivos venden cada trimestre al cobrar acciones y no compran. En abril sufrió un acceso no autorizado a parte de su código en GitHub, sin datos de clientes afectados; para una empresa de seguridad es un aviso [5][7][14].</w:t>
      </w:r>
    </w:p>
    <w:bookmarkEnd w:id="27"/>
    <w:bookmarkStart w:id="28" w:name="valoración"/>
    <w:p>
      <w:pPr>
        <w:pStyle w:val="Heading2"/>
      </w:pPr>
      <w:r>
        <w:t xml:space="preserve">9. Valoración</w:t>
      </w:r>
    </w:p>
    <w:p>
      <w:pPr>
        <w:pStyle w:val="FirstParagraph"/>
      </w:pPr>
      <w:r>
        <w:rPr>
          <w:bCs/>
          <w:b/>
        </w:rPr>
        <w:t xml:space="preserve">Múltiplo</w:t>
      </w:r>
      <w:r>
        <w:t xml:space="preserve">: EV de 11.285 M USD sobre unas ventas de los próximos 12 meses de 1.381 M (guía del 3T y del 4T, y el consenso para el 1S del ejercicio 2028) =</w:t>
      </w:r>
      <w:r>
        <w:t xml:space="preserve"> </w:t>
      </w:r>
      <w:r>
        <w:rPr>
          <w:bCs/>
          <w:b/>
        </w:rPr>
        <w:t xml:space="preserve">8,2 veces</w:t>
      </w:r>
      <w:r>
        <w:t xml:space="preserve">. Mediana desde la salida a bolsa: 8,8 veces; mínimo: 4,7 veces. Hoy cotiza a 0,93 veces su mediana. Comparables: unas 10,7 veces de mediana (Okta 10,7; Zscaler 9,2; Rubrik 14,4; Varonis 6,6; CrowdStrike 40,3) [12][13].</w:t>
      </w:r>
    </w:p>
    <w:p>
      <w:pPr>
        <w:pStyle w:val="BodyText"/>
      </w:pPr>
      <w:r>
        <w:rPr>
          <w:bCs/>
          <w:b/>
        </w:rPr>
        <w:t xml:space="preserve">Ventas del año objetivo</w:t>
      </w:r>
      <w:r>
        <w:t xml:space="preserve"> </w:t>
      </w:r>
      <w:r>
        <w:t xml:space="preserve">(ago-2027 a jul-2028): la regla mecánica parte del 20,1 % (guía más lo que suele batirla) y llega a 1.639 M en el base. Mi proyección: 1.480 M en el bajista, 1.630 M en el base, en línea con el consenso, y 1.720 M en el alcista. El consenso de esa ventana ronda los 1.630 M (extrapolado del consenso del ejercicio 2028, 1.510 M) [8][15]. La v11 toma la menor en cada escenario: la mecánica en el bajista y la mía en el base y el alcista.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1.392</w:t>
            </w:r>
          </w:p>
        </w:tc>
        <w:tc>
          <w:tcPr/>
          <w:p>
            <w:pPr>
              <w:pStyle w:val="Compact"/>
              <w:jc w:val="left"/>
            </w:pPr>
            <w:r>
              <w:t xml:space="preserve">4,9</w:t>
            </w:r>
          </w:p>
        </w:tc>
        <w:tc>
          <w:tcPr/>
          <w:p>
            <w:pPr>
              <w:pStyle w:val="Compact"/>
              <w:jc w:val="left"/>
            </w:pPr>
            <w:r>
              <w:t xml:space="preserve">11,3</w:t>
            </w:r>
          </w:p>
        </w:tc>
        <w:tc>
          <w:tcPr/>
          <w:p>
            <w:pPr>
              <w:pStyle w:val="Compact"/>
              <w:jc w:val="left"/>
            </w:pPr>
            <w:r>
              <w:t xml:space="preserve">−41,5 %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1.630</w:t>
            </w:r>
          </w:p>
        </w:tc>
        <w:tc>
          <w:tcPr/>
          <w:p>
            <w:pPr>
              <w:pStyle w:val="Compact"/>
              <w:jc w:val="left"/>
            </w:pPr>
            <w:r>
              <w:t xml:space="preserve">8,1</w:t>
            </w:r>
          </w:p>
        </w:tc>
        <w:tc>
          <w:tcPr/>
          <w:p>
            <w:pPr>
              <w:pStyle w:val="Compact"/>
              <w:jc w:val="left"/>
            </w:pPr>
            <w:r>
              <w:t xml:space="preserve">21,6</w:t>
            </w:r>
          </w:p>
        </w:tc>
        <w:tc>
          <w:tcPr/>
          <w:p>
            <w:pPr>
              <w:pStyle w:val="Compact"/>
              <w:jc w:val="left"/>
            </w:pPr>
            <w:r>
              <w:t xml:space="preserve">+11,7 %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1.720</w:t>
            </w:r>
          </w:p>
        </w:tc>
        <w:tc>
          <w:tcPr/>
          <w:p>
            <w:pPr>
              <w:pStyle w:val="Compact"/>
              <w:jc w:val="left"/>
            </w:pPr>
            <w:r>
              <w:t xml:space="preserve">10,7</w:t>
            </w:r>
          </w:p>
        </w:tc>
        <w:tc>
          <w:tcPr/>
          <w:p>
            <w:pPr>
              <w:pStyle w:val="Compact"/>
              <w:jc w:val="left"/>
            </w:pPr>
            <w:r>
              <w:t xml:space="preserve">29,9</w:t>
            </w:r>
          </w:p>
        </w:tc>
        <w:tc>
          <w:tcPr/>
          <w:p>
            <w:pPr>
              <w:pStyle w:val="Compact"/>
              <w:jc w:val="left"/>
            </w:pPr>
            <w:r>
              <w:t xml:space="preserve">+54,9 %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21,1</w:t>
            </w:r>
          </w:p>
        </w:tc>
        <w:tc>
          <w:tcPr/>
          <w:p>
            <w:pPr>
              <w:pStyle w:val="Compact"/>
              <w:jc w:val="left"/>
            </w:pPr>
            <w:r>
              <w:rPr>
                <w:bCs/>
                <w:b/>
              </w:rPr>
              <w:t xml:space="preserve">+9,3 %</w:t>
            </w:r>
          </w:p>
        </w:tc>
        <w:tc>
          <w:tcPr/>
          <w:p>
            <w:pPr>
              <w:pStyle w:val="Compact"/>
            </w:pPr>
          </w:p>
        </w:tc>
      </w:tr>
    </w:tbl>
    <w:p>
      <w:pPr>
        <w:numPr>
          <w:ilvl w:val="0"/>
          <w:numId w:val="1008"/>
        </w:numPr>
        <w:pStyle w:val="Compact"/>
      </w:pPr>
      <w:r>
        <w:rPr>
          <w:bCs/>
          <w:b/>
        </w:rPr>
        <w:t xml:space="preserve">Asimetría</w:t>
      </w:r>
      <w:r>
        <w:t xml:space="preserve">: 1,3.</w:t>
      </w:r>
      <w:r>
        <w:t xml:space="preserve"> </w:t>
      </w:r>
      <w:r>
        <w:rPr>
          <w:bCs/>
          <w:b/>
        </w:rPr>
        <w:t xml:space="preserve">Compra hasta</w:t>
      </w:r>
      <w:r>
        <w:t xml:space="preserve">: 20,1 USD.</w:t>
      </w:r>
    </w:p>
    <w:p>
      <w:pPr>
        <w:numPr>
          <w:ilvl w:val="0"/>
          <w:numId w:val="1008"/>
        </w:numPr>
        <w:pStyle w:val="Compact"/>
      </w:pPr>
      <w:r>
        <w:rPr>
          <w:bCs/>
          <w:b/>
        </w:rPr>
        <w:t xml:space="preserve">Con la v9</w:t>
      </w:r>
      <w:r>
        <w:t xml:space="preserve">: ponderada +10,1 %, base +12,3 % y compra hasta 20,2 USD. La diferencia es pequeña porque la regla mecánica y el consenso casi coinciden.</w:t>
      </w:r>
    </w:p>
    <w:p>
      <w:pPr>
        <w:numPr>
          <w:ilvl w:val="0"/>
          <w:numId w:val="1008"/>
        </w:numPr>
        <w:pStyle w:val="Compact"/>
      </w:pPr>
      <w:r>
        <w:rPr>
          <w:bCs/>
          <w:b/>
        </w:rPr>
        <w:t xml:space="preserve">Con la v14 (candidata, no vigente)</w:t>
      </w:r>
      <w:r>
        <w:t xml:space="preserve">: ponderada +10,4 %, base +13,0 % y compra hasta 20,3 USD, por contar solo el 3 % de dilución prevista. La v12 da lo mismo que la v11.</w:t>
      </w:r>
    </w:p>
    <w:p>
      <w:pPr>
        <w:numPr>
          <w:ilvl w:val="0"/>
          <w:numId w:val="1008"/>
        </w:numPr>
        <w:pStyle w:val="Compact"/>
      </w:pPr>
      <w:r>
        <w:rPr>
          <w:bCs/>
          <w:b/>
        </w:rPr>
        <w:t xml:space="preserve">Consenso</w:t>
      </w:r>
      <w:r>
        <w:t xml:space="preserve">: precio objetivo medio de 21,88 USD (27 analistas), un 13 % por encima del cierre.</w:t>
      </w:r>
    </w:p>
    <w:p>
      <w:pPr>
        <w:numPr>
          <w:ilvl w:val="0"/>
          <w:numId w:val="1008"/>
        </w:numPr>
        <w:pStyle w:val="Compact"/>
      </w:pPr>
      <w:r>
        <w:rPr>
          <w:bCs/>
          <w:b/>
        </w:rPr>
        <w:t xml:space="preserve">DCF inverso</w:t>
      </w:r>
      <w:r>
        <w:t xml:space="preserve">: el precio descuenta crecer un 14,5 % al año durante 10 años, con un margen FCF maduro del 28 %, descuento del 10 % y crecimiento perpetuo del 3 %.</w:t>
      </w:r>
    </w:p>
    <w:p>
      <w:pPr>
        <w:numPr>
          <w:ilvl w:val="0"/>
          <w:numId w:val="1008"/>
        </w:numPr>
        <w:pStyle w:val="Compact"/>
      </w:pPr>
      <w:r>
        <w:rPr>
          <w:bCs/>
          <w:b/>
        </w:rPr>
        <w:t xml:space="preserve">Filtro previo, confirmado con los datos completos</w:t>
      </w:r>
      <w:r>
        <w:t xml:space="preserve">: A) crecimiento del 20,1 %, pasa (≥ 15 %); B) no aplica, no es rentable de forma estable; C) ningún cliente pasa del 10 %, pasa (≤ 40 %); D) el crecimiento descontado es 0,72 veces el actual, pasa (≤ 0,8). El filtro había estimado 0,78; con el cálculo completo queda algo más holgado.</w:t>
      </w:r>
    </w:p>
    <w:bookmarkEnd w:id="28"/>
    <w:bookmarkStart w:id="29" w:name="foros-y-sentimiento"/>
    <w:p>
      <w:pPr>
        <w:pStyle w:val="Heading2"/>
      </w:pPr>
      <w:r>
        <w:t xml:space="preserve">10. Foros y sentimiento</w:t>
      </w:r>
    </w:p>
    <w:p>
      <w:pPr>
        <w:numPr>
          <w:ilvl w:val="0"/>
          <w:numId w:val="1009"/>
        </w:numPr>
        <w:pStyle w:val="Compact"/>
      </w:pPr>
      <w:r>
        <w:rPr>
          <w:bCs/>
          <w:b/>
        </w:rPr>
        <w:t xml:space="preserve">StockTwits</w:t>
      </w:r>
      <w:r>
        <w:t xml:space="preserve"> </w:t>
      </w:r>
      <w:r>
        <w:t xml:space="preserve">(15-oct): 11 mensajes alcistas y ninguno bajista de 30. Se habla de comprar cerca de la media de 50 sesiones y de las subidas de precio objetivo de octubre [11].</w:t>
      </w:r>
    </w:p>
    <w:p>
      <w:pPr>
        <w:numPr>
          <w:ilvl w:val="0"/>
          <w:numId w:val="1009"/>
        </w:numPr>
        <w:pStyle w:val="Compact"/>
      </w:pPr>
      <w:r>
        <w:rPr>
          <w:bCs/>
          <w:b/>
        </w:rPr>
        <w:t xml:space="preserve">Prensa y análisis</w:t>
      </w:r>
      <w:r>
        <w:t xml:space="preserve"> </w:t>
      </w:r>
      <w:r>
        <w:t xml:space="preserve">(ago-oct): las subidas de agosto y septiembre se explican por la plataforma para la era de la IA, por subidas de precio objetivo (Morgan Stanley habla de un mercado de identidades de agentes de más de 60.000 M USD) y por el tirón de toda la ciberseguridad. En castellano, Investing.com recoge las novedades de producto de octubre [9][10].</w:t>
      </w:r>
    </w:p>
    <w:p>
      <w:pPr>
        <w:numPr>
          <w:ilvl w:val="0"/>
          <w:numId w:val="1009"/>
        </w:numPr>
        <w:pStyle w:val="Compact"/>
      </w:pPr>
      <w:r>
        <w:rPr>
          <w:bCs/>
          <w:b/>
        </w:rPr>
        <w:t xml:space="preserve">Posiciones cortas</w:t>
      </w:r>
      <w:r>
        <w:t xml:space="preserve">: el 34,8 % de las acciones que cotizan. Como Thoma Bravo tiene casi todo, cotiza muy poco, y los bajistas apuestan a que la venta de Thoma Bravo pesará en el precio [8].</w:t>
      </w:r>
    </w:p>
    <w:p>
      <w:pPr>
        <w:numPr>
          <w:ilvl w:val="0"/>
          <w:numId w:val="1009"/>
        </w:numPr>
        <w:pStyle w:val="Compact"/>
      </w:pPr>
      <w:r>
        <w:rPr>
          <w:bCs/>
          <w:b/>
        </w:rPr>
        <w:t xml:space="preserve">Reddit</w:t>
      </w:r>
      <w:r>
        <w:t xml:space="preserve">: no accesible desde aquí (laguna).</w:t>
      </w:r>
    </w:p>
    <w:p>
      <w:pPr>
        <w:numPr>
          <w:ilvl w:val="0"/>
          <w:numId w:val="1009"/>
        </w:numPr>
        <w:pStyle w:val="Compact"/>
      </w:pPr>
      <w:r>
        <w:rPr>
          <w:bCs/>
          <w:b/>
        </w:rPr>
        <w:t xml:space="preserve">Lectura</w:t>
      </w:r>
      <w:r>
        <w:t xml:space="preserve">: el sentimiento ha girado desde el pánico de abril, pero sin euforia. El mercado no se fía del todo: castigó dos resultados seguidos este año y sigue por debajo del precio de salida a bolsa.</w:t>
      </w:r>
    </w:p>
    <w:bookmarkEnd w:id="29"/>
    <w:bookmarkStart w:id="30" w:name="riesgos-y-qué-rompería-la-tesis"/>
    <w:p>
      <w:pPr>
        <w:pStyle w:val="Heading2"/>
      </w:pPr>
      <w:r>
        <w:t xml:space="preserve">11. Riesgos y qué rompería la tesis</w:t>
      </w:r>
    </w:p>
    <w:p>
      <w:pPr>
        <w:pStyle w:val="FirstParagraph"/>
      </w:pPr>
      <w:r>
        <w:rPr>
          <w:bCs/>
          <w:b/>
        </w:rPr>
        <w:t xml:space="preserve">Alerta del método (v11)</w:t>
      </w:r>
      <w:r>
        <w:t xml:space="preserve">:</w:t>
      </w:r>
      <w:r>
        <w:t xml:space="preserve"> </w:t>
      </w:r>
      <w:r>
        <w:t xml:space="preserve">1.</w:t>
      </w:r>
      <w:r>
        <w:t xml:space="preserve"> </w:t>
      </w:r>
      <w:r>
        <w:rPr>
          <w:bCs/>
          <w:b/>
        </w:rPr>
        <w:t xml:space="preserve">Pagos en acciones del 20,5 % de las ventas (&gt; 15 %)</w:t>
      </w:r>
      <w:r>
        <w:t xml:space="preserve">: restándolos, la regla del 40 baja a 15 y la puntuación a 61,8, a menos de dos puntos del listón de 60. La señal no cambia, pero sí la debilita: buena parte del FCF se paga con acciones nuevas, y la compra queda frágil.</w:t>
      </w:r>
    </w:p>
    <w:p>
      <w:pPr>
        <w:pStyle w:val="BodyText"/>
      </w:pPr>
      <w:r>
        <w:rPr>
          <w:bCs/>
          <w:b/>
        </w:rPr>
        <w:t xml:space="preserve">Lo que más pesa en contra de la señal</w:t>
      </w:r>
      <w:r>
        <w:t xml:space="preserve">:</w:t>
      </w:r>
      <w:r>
        <w:t xml:space="preserve"> </w:t>
      </w:r>
      <w:r>
        <w:t xml:space="preserve">-</w:t>
      </w:r>
      <w:r>
        <w:t xml:space="preserve"> </w:t>
      </w:r>
      <w:r>
        <w:rPr>
          <w:bCs/>
          <w:b/>
        </w:rPr>
        <w:t xml:space="preserve">Thoma Bravo y las ventas de acciones.</w:t>
      </w:r>
      <w:r>
        <w:t xml:space="preserve"> </w:t>
      </w:r>
      <w:r>
        <w:t xml:space="preserve">Tiene el 84,6 % y solo cotiza un 13 % de las acciones. Todavía no ha vendido ni una acción desde la salida a bolsa, pero un fondo de capital riesgo tiene que salir algún día, y lo hará en colocaciones grandes, normalmente con descuento. Es la razón principal de las posiciones cortas. Cada colocación puede tirar el precio durante unos días; a cambio, aumentaría la parte que cotiza y podría meterla en más índices. Hoy no hay deuda: el riesgo es de control (nombra a todo el consejo) y de oferta de acciones, no financiero.</w:t>
      </w:r>
      <w:r>
        <w:t xml:space="preserve"> </w:t>
      </w:r>
      <w:r>
        <w:t xml:space="preserve">-</w:t>
      </w:r>
      <w:r>
        <w:t xml:space="preserve"> </w:t>
      </w:r>
      <w:r>
        <w:rPr>
          <w:bCs/>
          <w:b/>
        </w:rPr>
        <w:t xml:space="preserve">Con probabilidades 35/50/15</w:t>
      </w:r>
      <w:r>
        <w:t xml:space="preserve"> </w:t>
      </w:r>
      <w:r>
        <w:t xml:space="preserve">(prueba de robustez), la ponderada baja al −0,3 % y pasa a Mantener. No le toca por el método (no depende de un producto ni de una decisión regulatoria), pero muestra que el margen es estrecho.</w:t>
      </w:r>
      <w:r>
        <w:t xml:space="preserve"> </w:t>
      </w:r>
      <w:r>
        <w:t xml:space="preserve">-</w:t>
      </w:r>
      <w:r>
        <w:t xml:space="preserve"> </w:t>
      </w:r>
      <w:r>
        <w:rPr>
          <w:bCs/>
          <w:b/>
        </w:rPr>
        <w:t xml:space="preserve">Puntuación justa</w:t>
      </w:r>
      <w:r>
        <w:t xml:space="preserve">: 63,8 con el listón en 60. Un trimestre más flojo o un punto menos en tecnología o ejecución la dejarían en Mantener.</w:t>
      </w:r>
      <w:r>
        <w:t xml:space="preserve"> </w:t>
      </w:r>
      <w:r>
        <w:t xml:space="preserve">-</w:t>
      </w:r>
      <w:r>
        <w:t xml:space="preserve"> </w:t>
      </w:r>
      <w:r>
        <w:rPr>
          <w:bCs/>
          <w:b/>
        </w:rPr>
        <w:t xml:space="preserve">Riesgo de IA: favorable en la demanda, con un riesgo real de competencia.</w:t>
      </w:r>
      <w:r>
        <w:t xml:space="preserve"> </w:t>
      </w:r>
      <w:r>
        <w:t xml:space="preserve">A favor: cada agente de IA es una identidad más que gobernar, y SailPoint cobra por identidad; el 30 % del ARR nuevo ya viene de productos de IA. En contra:</w:t>
      </w:r>
      <w:r>
        <w:t xml:space="preserve"> </w:t>
      </w:r>
      <w:r>
        <w:t xml:space="preserve">- Microsoft regala parte de esto dentro de su paquete.</w:t>
      </w:r>
      <w:r>
        <w:t xml:space="preserve"> </w:t>
      </w:r>
      <w:r>
        <w:t xml:space="preserve">- Okta y Palo Alto (con CyberArk) persiguen las mismas identidades de agentes y de máquinas.</w:t>
      </w:r>
      <w:r>
        <w:t xml:space="preserve"> </w:t>
      </w:r>
      <w:r>
        <w:t xml:space="preserve">- La IA abarata escribir conectores, que eran parte de su ventaja.</w:t>
      </w:r>
      <w:r>
        <w:t xml:space="preserve"> </w:t>
      </w:r>
      <w:r>
        <w:t xml:space="preserve">- Por todo eso, el riesgo de IA es medio, no bajo.</w:t>
      </w:r>
    </w:p>
    <w:p>
      <w:pPr>
        <w:pStyle w:val="BodyText"/>
      </w:pPr>
      <w:r>
        <w:rPr>
          <w:bCs/>
          <w:b/>
        </w:rPr>
        <w:t xml:space="preserve">Señales de venta concretas</w:t>
      </w:r>
      <w:r>
        <w:t xml:space="preserve">:</w:t>
      </w:r>
      <w:r>
        <w:t xml:space="preserve"> </w:t>
      </w:r>
      <w:r>
        <w:t xml:space="preserve">- ARR creciendo menos del 20 % en dos trimestres seguidos.</w:t>
      </w:r>
      <w:r>
        <w:t xml:space="preserve"> </w:t>
      </w:r>
      <w:r>
        <w:t xml:space="preserve">- Retención neta por debajo del 110 %.</w:t>
      </w:r>
      <w:r>
        <w:t xml:space="preserve"> </w:t>
      </w:r>
      <w:r>
        <w:t xml:space="preserve">- ARR de IA que no llegue a 150 M USD a final del ejercicio 2028.</w:t>
      </w:r>
      <w:r>
        <w:t xml:space="preserve"> </w:t>
      </w:r>
      <w:r>
        <w:t xml:space="preserve">- El FCF del año por debajo de 200 M USD.</w:t>
      </w:r>
      <w:r>
        <w:t xml:space="preserve"> </w:t>
      </w:r>
      <w:r>
        <w:t xml:space="preserve">- Una ponderada de −10 % o peor con el objetivo de este informe (precio por encima de unos 23,4 USD).</w:t>
      </w:r>
    </w:p>
    <w:bookmarkEnd w:id="30"/>
    <w:bookmarkStart w:id="31" w:name="catalizadores-con-fecha"/>
    <w:p>
      <w:pPr>
        <w:pStyle w:val="Heading2"/>
      </w:pPr>
      <w:r>
        <w:t xml:space="preserve">12. Catalizadores con fecha</w:t>
      </w:r>
    </w:p>
    <w:p>
      <w:pPr>
        <w:numPr>
          <w:ilvl w:val="0"/>
          <w:numId w:val="1010"/>
        </w:numPr>
        <w:pStyle w:val="Compact"/>
      </w:pPr>
      <w:r>
        <w:rPr>
          <w:bCs/>
          <w:b/>
        </w:rPr>
        <w:t xml:space="preserve">Principios de diciembre de 2026</w:t>
      </w:r>
      <w:r>
        <w:t xml:space="preserve"> </w:t>
      </w:r>
      <w:r>
        <w:t xml:space="preserve">(estimada; el año pasado, 9-dic): resultados del 3T27. Lo que hay que mirar: el ARR (guía 1.288-1.292 M), el ARR de IA y si vuelve a batir la guía de ventas.</w:t>
      </w:r>
    </w:p>
    <w:p>
      <w:pPr>
        <w:numPr>
          <w:ilvl w:val="0"/>
          <w:numId w:val="1010"/>
        </w:numPr>
        <w:pStyle w:val="Compact"/>
      </w:pPr>
      <w:r>
        <w:rPr>
          <w:bCs/>
          <w:b/>
        </w:rPr>
        <w:t xml:space="preserve">Marzo de 2027</w:t>
      </w:r>
      <w:r>
        <w:t xml:space="preserve">: resultados del año y primera guía del ejercicio 2028.</w:t>
      </w:r>
    </w:p>
    <w:p>
      <w:pPr>
        <w:numPr>
          <w:ilvl w:val="0"/>
          <w:numId w:val="1010"/>
        </w:numPr>
        <w:pStyle w:val="Compact"/>
      </w:pPr>
      <w:r>
        <w:rPr>
          <w:bCs/>
          <w:b/>
        </w:rPr>
        <w:t xml:space="preserve">Sin fecha</w:t>
      </w:r>
      <w:r>
        <w:t xml:space="preserve">: primera venta de acciones de Thoma Bravo (riesgo de caída de unos días) y la entrada en más índices cuando cotice más.</w:t>
      </w:r>
    </w:p>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 Nu +22 %, Axon +35 %, Shopify +19 %, Snowflake +16 % y Samsara +17 % (ponderada al precio actual con la v11). Sin liquidez libre: solo cabe sustituir.</w:t>
      </w:r>
    </w:p>
    <w:p>
      <w:pPr>
        <w:numPr>
          <w:ilvl w:val="0"/>
          <w:numId w:val="1011"/>
        </w:numPr>
        <w:pStyle w:val="Compact"/>
      </w:pPr>
      <w:r>
        <w:rPr>
          <w:bCs/>
          <w:b/>
        </w:rPr>
        <w:t xml:space="preserve">¿Sustituye a alguna?</w:t>
      </w:r>
      <w:r>
        <w:t xml:space="preserve"> </w:t>
      </w:r>
      <w:r>
        <w:t xml:space="preserve">No. SailPoint da +9,3 % al cierre y +10,8 % antes de la apertura, con convicción baja. La más floja de la cartera, Snowflake, da +16 % con convicción media. No hay margen ni convicción para rotar.</w:t>
      </w:r>
    </w:p>
    <w:p>
      <w:pPr>
        <w:numPr>
          <w:ilvl w:val="0"/>
          <w:numId w:val="1011"/>
        </w:numPr>
        <w:pStyle w:val="Compact"/>
      </w:pPr>
      <w:r>
        <w:rPr>
          <w:bCs/>
          <w:b/>
        </w:rPr>
        <w:t xml:space="preserve">Exposición a IA</w:t>
      </w:r>
      <w:r>
        <w:t xml:space="preserve">: Alphabet se vende mañana y no cuenta. SailPoint añadiría IA por el lado de la seguridad de los agentes, pero en ese mismo sector ya van por delante dos suplentes, Zscaler y Rubrik, con más rentabilidad.</w:t>
      </w:r>
    </w:p>
    <w:p>
      <w:pPr>
        <w:numPr>
          <w:ilvl w:val="0"/>
          <w:numId w:val="1011"/>
        </w:numPr>
        <w:pStyle w:val="Compact"/>
      </w:pPr>
      <w:r>
        <w:rPr>
          <w:bCs/>
          <w:b/>
        </w:rPr>
        <w:t xml:space="preserve">Puesto de suplente: décima.</w:t>
      </w:r>
      <w:r>
        <w:t xml:space="preserve"> </w:t>
      </w:r>
      <w:r>
        <w:t xml:space="preserve">Orden: MongoDB, Toast, Zscaler, Rubrik, dLocal, Dexcom, argenx, Datadog, Reddit,</w:t>
      </w:r>
      <w:r>
        <w:t xml:space="preserve"> </w:t>
      </w:r>
      <w:r>
        <w:rPr>
          <w:bCs/>
          <w:b/>
        </w:rPr>
        <w:t xml:space="preserve">SailPoint</w:t>
      </w:r>
      <w:r>
        <w:t xml:space="preserve">, Saab, Natera e Ypsomed. Va detrás de Reddit (+12 %, misma convicción) por su puntuación más justa y el peso de Thoma Bravo. Va delante de Saab (+6 %), Natera (+8 %) e Ypsomed (+3 %) porque rinde más y no tiene la alerta de múltiplo caro.</w:t>
      </w:r>
    </w:p>
    <w:p>
      <w:pPr>
        <w:numPr>
          <w:ilvl w:val="0"/>
          <w:numId w:val="1011"/>
        </w:numPr>
        <w:pStyle w:val="Compact"/>
      </w:pPr>
      <w:r>
        <w:rPr>
          <w:bCs/>
          <w:b/>
        </w:rPr>
        <w:t xml:space="preserve">Si entra</w:t>
      </w:r>
      <w:r>
        <w:t xml:space="preserve">: 3,5 % en dos tramos, la mitad por debajo de 20,1 USD y la otra mitad tras los resultados del 3T, si el ARR crece al menos un 23 % y el ARR de IA sigue al alza. Mejor si coincide con una colocación de Thoma Bravo con descuento.</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11,7</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12,5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12</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6</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7</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63,8</w:t>
            </w:r>
          </w:p>
        </w:tc>
        <w:tc>
          <w:tcPr/>
          <w:p>
            <w:pPr>
              <w:pStyle w:val="Compact"/>
              <w:jc w:val="left"/>
            </w:pPr>
            <w:r>
              <w:rPr>
                <w:bCs/>
                <w:b/>
              </w:rPr>
              <w:t xml:space="preserve">100</w:t>
            </w:r>
          </w:p>
        </w:tc>
      </w:tr>
    </w:tbl>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w:t>
      </w:r>
      <w:r>
        <w:t xml:space="preserve">, Comprar robusta. Los tres avisos:</w:t>
      </w:r>
      <w:r>
        <w:t xml:space="preserve"> </w:t>
      </w:r>
      <w:r>
        <w:t xml:space="preserve">1. El objetivo se movería con el precio si se recalculara el motor; por eso se deja fijo en 21,1 USD y el límite es 20,1 USD.</w:t>
      </w:r>
      <w:r>
        <w:t xml:space="preserve"> </w:t>
      </w:r>
      <w:r>
        <w:t xml:space="preserve">2. El bajista es del −42 %: posición pequeña y en tramos.</w:t>
      </w:r>
      <w:r>
        <w:t xml:space="preserve"> </w:t>
      </w:r>
      <w:r>
        <w:t xml:space="preserve">3. La convicción es baja: peso del 3,5 % y en tramos.</w:t>
      </w:r>
    </w:p>
    <w:p>
      <w:pPr>
        <w:pStyle w:val="BodyText"/>
      </w:pPr>
      <w:r>
        <w:t xml:space="preserve">Con 35/50/15 pasa a Mantener; con la v7, con mis ventas o con el precio de hoy sigue en Comprar.</w:t>
      </w:r>
    </w:p>
    <w:p>
      <w:pPr>
        <w:pStyle w:val="BodyText"/>
      </w:pPr>
      <w:r>
        <w:rPr>
          <w:bCs/>
          <w:b/>
        </w:rPr>
        <w:t xml:space="preserve">Mejora de método propuesta</w:t>
      </w:r>
      <w:r>
        <w:t xml:space="preserve"> </w:t>
      </w:r>
      <w:r>
        <w:t xml:space="preserve">(sin probar en el backtest):</w:t>
      </w:r>
      <w:r>
        <w:t xml:space="preserve"> </w:t>
      </w:r>
      <w:r>
        <w:t xml:space="preserve">-</w:t>
      </w:r>
      <w:r>
        <w:t xml:space="preserve"> </w:t>
      </w:r>
      <w:r>
        <w:rPr>
          <w:bCs/>
          <w:b/>
        </w:rPr>
        <w:t xml:space="preserve">Alerta de transición a la nube</w:t>
      </w:r>
      <w:r>
        <w:t xml:space="preserve">: el ARR crece más de 5 puntos por encima de las ventas. Avisaría de que la proyección por ventas se queda corta, como aquí, con el ARR al 25 % y las ventas al 17 %.</w:t>
      </w:r>
      <w:r>
        <w:t xml:space="preserve"> </w:t>
      </w:r>
      <w:r>
        <w:t xml:space="preserve">-</w:t>
      </w:r>
      <w:r>
        <w:t xml:space="preserve"> </w:t>
      </w:r>
      <w:r>
        <w:rPr>
          <w:bCs/>
          <w:b/>
        </w:rPr>
        <w:t xml:space="preserve">Alerta de accionista de control</w:t>
      </w:r>
      <w:r>
        <w:t xml:space="preserve">: un dueño con más del 50 % que no ha vendido. Avisaría del riesgo de colocaciones.</w:t>
      </w:r>
    </w:p>
    <w:bookmarkEnd w:id="33"/>
    <w:bookmarkStart w:id="34" w:name="fuentes"/>
    <w:p>
      <w:pPr>
        <w:pStyle w:val="Heading2"/>
      </w:pPr>
      <w:r>
        <w:t xml:space="preserve">Fuentes</w:t>
      </w:r>
    </w:p>
    <w:p>
      <w:pPr>
        <w:numPr>
          <w:ilvl w:val="0"/>
          <w:numId w:val="1012"/>
        </w:numPr>
        <w:pStyle w:val="Compact"/>
      </w:pPr>
      <w:r>
        <w:t xml:space="preserve">SailPoint, nota de resultados del 2T del ejercicio 2027 (9-sep-2026), 8-K ex. 99.1, SEC.</w:t>
      </w:r>
    </w:p>
    <w:p>
      <w:pPr>
        <w:numPr>
          <w:ilvl w:val="0"/>
          <w:numId w:val="1012"/>
        </w:numPr>
        <w:pStyle w:val="Compact"/>
      </w:pPr>
      <w:r>
        <w:t xml:space="preserve">SailPoint, notas de resultados del 1T27 (9-jun-2026), 4T26 (18-mar-2026), 3T26 (9-dic-2025) y 2T26 (9-sep-2025), 8-K ex. 99.1, SEC.</w:t>
      </w:r>
    </w:p>
    <w:p>
      <w:pPr>
        <w:numPr>
          <w:ilvl w:val="0"/>
          <w:numId w:val="1012"/>
        </w:numPr>
        <w:pStyle w:val="Compact"/>
      </w:pPr>
      <w:r>
        <w:t xml:space="preserve">SailPoint, 10-Q del 2T27 (10-sep-2026), SEC: acciones, RSU, retención neta, clientes, línea de crédito y compra de Entro.</w:t>
      </w:r>
    </w:p>
    <w:p>
      <w:pPr>
        <w:numPr>
          <w:ilvl w:val="0"/>
          <w:numId w:val="1012"/>
        </w:numPr>
        <w:pStyle w:val="Compact"/>
      </w:pPr>
      <w:r>
        <w:t xml:space="preserve">SEC XBRL companyfacts (CIK 2030781) y folleto de salida a bolsa (424B4, 14-feb-2025).</w:t>
      </w:r>
    </w:p>
    <w:p>
      <w:pPr>
        <w:numPr>
          <w:ilvl w:val="0"/>
          <w:numId w:val="1012"/>
        </w:numPr>
        <w:pStyle w:val="Compact"/>
      </w:pPr>
      <w:r>
        <w:t xml:space="preserve">SailPoint, DEF 14A (24-abr-2026), SEC: participación de Thoma Bravo y acuerdo de nombramiento de consejeros.</w:t>
      </w:r>
    </w:p>
    <w:p>
      <w:pPr>
        <w:numPr>
          <w:ilvl w:val="0"/>
          <w:numId w:val="1012"/>
        </w:numPr>
        <w:pStyle w:val="Compact"/>
      </w:pPr>
      <w:r>
        <w:t xml:space="preserve">Yahoo Finance chart API (SAIL, QQQ e IGV), leída el 15-oct a las 08:09 UTC; segunda fuente del cierre: Nasdaq.com.</w:t>
      </w:r>
    </w:p>
    <w:p>
      <w:pPr>
        <w:numPr>
          <w:ilvl w:val="0"/>
          <w:numId w:val="1012"/>
        </w:numPr>
        <w:pStyle w:val="Compact"/>
      </w:pPr>
      <w:r>
        <w:t xml:space="preserve">SEC, formularios 4 de SAIL (oct-2025 a oct-2026).</w:t>
      </w:r>
    </w:p>
    <w:p>
      <w:pPr>
        <w:numPr>
          <w:ilvl w:val="0"/>
          <w:numId w:val="1012"/>
        </w:numPr>
        <w:pStyle w:val="Compact"/>
      </w:pPr>
      <w:r>
        <w:t xml:space="preserve">StockAnalysis (S&amp;P Global): precio objetivo, recomendaciones, consenso de ventas, acciones en circulación y posiciones cortas (14-oct-2026).</w:t>
      </w:r>
    </w:p>
    <w:p>
      <w:pPr>
        <w:numPr>
          <w:ilvl w:val="0"/>
          <w:numId w:val="1012"/>
        </w:numPr>
        <w:pStyle w:val="Compact"/>
      </w:pPr>
      <w:r>
        <w:t xml:space="preserve">TIKR (ago-2026) y Simply Wall St (14-ago-2026): subidas de agosto.</w:t>
      </w:r>
    </w:p>
    <w:p>
      <w:pPr>
        <w:numPr>
          <w:ilvl w:val="0"/>
          <w:numId w:val="1012"/>
        </w:numPr>
        <w:pStyle w:val="Compact"/>
      </w:pPr>
      <w:r>
        <w:t xml:space="preserve">TIKR (jun-2026): resultados del 1T27.</w:t>
      </w:r>
    </w:p>
    <w:p>
      <w:pPr>
        <w:numPr>
          <w:ilvl w:val="0"/>
          <w:numId w:val="1012"/>
        </w:numPr>
        <w:pStyle w:val="Compact"/>
      </w:pPr>
      <w:r>
        <w:t xml:space="preserve">StockTwits (API pública, 15-oct-2026).</w:t>
      </w:r>
    </w:p>
    <w:p>
      <w:pPr>
        <w:numPr>
          <w:ilvl w:val="0"/>
          <w:numId w:val="1012"/>
        </w:numPr>
        <w:pStyle w:val="Compact"/>
      </w:pPr>
      <w:r>
        <w:t xml:space="preserve">Cálculo propio del EV y del EV/ventas de los 12 meses siguientes, diario desde febrero de 2025.</w:t>
      </w:r>
    </w:p>
    <w:p>
      <w:pPr>
        <w:numPr>
          <w:ilvl w:val="0"/>
          <w:numId w:val="1012"/>
        </w:numPr>
        <w:pStyle w:val="Compact"/>
      </w:pPr>
      <w:r>
        <w:t xml:space="preserve">Comparables: StockAnalysis (cierre del 14-oct) e informes growth del repo.</w:t>
      </w:r>
    </w:p>
    <w:p>
      <w:pPr>
        <w:numPr>
          <w:ilvl w:val="0"/>
          <w:numId w:val="1012"/>
        </w:numPr>
        <w:pStyle w:val="Compact"/>
      </w:pPr>
      <w:r>
        <w:t xml:space="preserve">SailPoint, 8-K (8-may-2026): incidente en repositorios de GitHub.</w:t>
      </w:r>
    </w:p>
    <w:p>
      <w:pPr>
        <w:numPr>
          <w:ilvl w:val="0"/>
          <w:numId w:val="1012"/>
        </w:numPr>
        <w:pStyle w:val="Compact"/>
      </w:pPr>
      <w:r>
        <w:t xml:space="preserve">De memoria, sin verificar en esta sesión: mercado alcanzable, compra de CyberArk por Palo Alto, ventas siguientes de Okta y consenso de la ventana objetivo extrapolado.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2026-10-15T08:31:29Z</dcterms:created>
  <dcterms:modified xsi:type="dcterms:W3CDTF">2026-10-15T08:31:29Z</dcterms:modified>
</cp:coreProperties>
</file>

<file path=docProps/custom.xml><?xml version="1.0" encoding="utf-8"?>
<Properties xmlns="http://schemas.openxmlformats.org/officeDocument/2006/custom-properties" xmlns:vt="http://schemas.openxmlformats.org/officeDocument/2006/docPropsVTypes"/>
</file>