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dc4aeae410bdd8771d9a228282dc65a3b858a5"/>
    <w:p>
      <w:pPr>
        <w:pStyle w:val="Heading1"/>
      </w:pPr>
      <w:r>
        <w:t xml:space="preserve">Sanil Electric (062040, Bolsa de Corea): análisis growth, 15-oct-2026</w:t>
      </w:r>
    </w:p>
    <w:p>
      <w:pPr>
        <w:pStyle w:val="FirstParagraph"/>
      </w:pPr>
      <w:r>
        <w:rPr>
          <w:bCs/>
          <w:b/>
        </w:rPr>
        <w:t xml:space="preserve">Señal: Comprar (convicción baja)</w:t>
      </w:r>
      <w:r>
        <w:t xml:space="preserve"> </w:t>
      </w:r>
      <w:r>
        <w:t xml:space="preserve">· Puntuación 68,5/100 · Señales de cambio de tendencia 3/8</w:t>
      </w:r>
      <w:r>
        <w:t xml:space="preserve"> </w:t>
      </w:r>
      <w:r>
        <w:t xml:space="preserve">Precio 177.500 KRW (cierre del 15-oct) · Objetivo a 12 meses 191.543 KRW · Rentabilidad ponderada +8,7 % · Compra hasta 183.822 KRW</w:t>
      </w:r>
      <w:r>
        <w:t xml:space="preserve"> </w:t>
      </w:r>
      <w:r>
        <w:t xml:space="preserve">Peso orientativo: 3,5 %, pero no entra: el bolsillo growth está lleno y no supera a ninguna de las cinco (queda de suplente, puesto 10)</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Versión</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Alcista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rPr>
                <w:bCs/>
                <w:b/>
              </w:rPr>
              <w:t xml:space="preserve">v11 (vigente)</w:t>
            </w:r>
          </w:p>
        </w:tc>
        <w:tc>
          <w:tcPr/>
          <w:p>
            <w:pPr>
              <w:pStyle w:val="Compact"/>
              <w:jc w:val="left"/>
            </w:pPr>
            <w:r>
              <w:rPr>
                <w:bCs/>
                <w:b/>
              </w:rPr>
              <w:t xml:space="preserve">+8,7 %</w:t>
            </w:r>
          </w:p>
        </w:tc>
        <w:tc>
          <w:tcPr/>
          <w:p>
            <w:pPr>
              <w:pStyle w:val="Compact"/>
              <w:jc w:val="left"/>
            </w:pPr>
            <w:r>
              <w:rPr>
                <w:bCs/>
                <w:b/>
              </w:rPr>
              <w:t xml:space="preserve">+10,1 %</w:t>
            </w:r>
          </w:p>
        </w:tc>
        <w:tc>
          <w:tcPr/>
          <w:p>
            <w:pPr>
              <w:pStyle w:val="Compact"/>
              <w:jc w:val="left"/>
            </w:pPr>
            <w:r>
              <w:rPr>
                <w:bCs/>
                <w:b/>
              </w:rPr>
              <w:t xml:space="preserve">−43,2 %</w:t>
            </w:r>
          </w:p>
        </w:tc>
        <w:tc>
          <w:tcPr/>
          <w:p>
            <w:pPr>
              <w:pStyle w:val="Compact"/>
              <w:jc w:val="left"/>
            </w:pPr>
            <w:r>
              <w:rPr>
                <w:bCs/>
                <w:b/>
              </w:rPr>
              <w:t xml:space="preserve">+57,9 %</w:t>
            </w:r>
          </w:p>
        </w:tc>
        <w:tc>
          <w:tcPr/>
          <w:p>
            <w:pPr>
              <w:pStyle w:val="Compact"/>
              <w:jc w:val="left"/>
            </w:pPr>
            <w:r>
              <w:rPr>
                <w:bCs/>
                <w:b/>
              </w:rPr>
              <w:t xml:space="preserve">Comprar (baja)</w:t>
            </w:r>
          </w:p>
        </w:tc>
        <w:tc>
          <w:tcPr/>
          <w:p>
            <w:pPr>
              <w:pStyle w:val="Compact"/>
              <w:jc w:val="left"/>
            </w:pPr>
            <w:r>
              <w:rPr>
                <w:bCs/>
                <w:b/>
              </w:rPr>
              <w:t xml:space="preserve">183.822 KRW</w:t>
            </w:r>
          </w:p>
        </w:tc>
      </w:tr>
      <w:tr>
        <w:tc>
          <w:tcPr/>
          <w:p>
            <w:pPr>
              <w:pStyle w:val="Compact"/>
              <w:jc w:val="left"/>
            </w:pPr>
            <w:r>
              <w:t xml:space="preserve">v9 (referencia)</w:t>
            </w:r>
          </w:p>
        </w:tc>
        <w:tc>
          <w:tcPr/>
          <w:p>
            <w:pPr>
              <w:pStyle w:val="Compact"/>
              <w:jc w:val="left"/>
            </w:pPr>
            <w:r>
              <w:t xml:space="preserve">+23,6 %</w:t>
            </w:r>
          </w:p>
        </w:tc>
        <w:tc>
          <w:tcPr/>
          <w:p>
            <w:pPr>
              <w:pStyle w:val="Compact"/>
              <w:jc w:val="left"/>
            </w:pPr>
            <w:r>
              <w:t xml:space="preserve">+26,0 %</w:t>
            </w:r>
          </w:p>
        </w:tc>
        <w:tc>
          <w:tcPr/>
          <w:p>
            <w:pPr>
              <w:pStyle w:val="Compact"/>
              <w:jc w:val="left"/>
            </w:pPr>
            <w:r>
              <w:t xml:space="preserve">−41,5 %</w:t>
            </w:r>
          </w:p>
        </w:tc>
        <w:tc>
          <w:tcPr/>
          <w:p>
            <w:pPr>
              <w:pStyle w:val="Compact"/>
              <w:jc w:val="left"/>
            </w:pPr>
            <w:r>
              <w:t xml:space="preserve">—</w:t>
            </w:r>
          </w:p>
        </w:tc>
        <w:tc>
          <w:tcPr/>
          <w:p>
            <w:pPr>
              <w:pStyle w:val="Compact"/>
              <w:jc w:val="left"/>
            </w:pPr>
            <w:r>
              <w:t xml:space="preserve">Comprar (baja)</w:t>
            </w:r>
          </w:p>
        </w:tc>
        <w:tc>
          <w:tcPr/>
          <w:p>
            <w:pPr>
              <w:pStyle w:val="Compact"/>
              <w:jc w:val="left"/>
            </w:pPr>
            <w:r>
              <w:t xml:space="preserve">209.118 KRW</w:t>
            </w:r>
          </w:p>
        </w:tc>
      </w:tr>
      <w:tr>
        <w:tc>
          <w:tcPr/>
          <w:p>
            <w:pPr>
              <w:pStyle w:val="Compact"/>
              <w:jc w:val="left"/>
            </w:pPr>
            <w:r>
              <w:t xml:space="preserve">v14 (candidata)</w:t>
            </w:r>
          </w:p>
        </w:tc>
        <w:tc>
          <w:tcPr/>
          <w:p>
            <w:pPr>
              <w:pStyle w:val="Compact"/>
              <w:jc w:val="left"/>
            </w:pPr>
            <w:r>
              <w:t xml:space="preserve">+9,0 %</w:t>
            </w:r>
          </w:p>
        </w:tc>
        <w:tc>
          <w:tcPr/>
          <w:p>
            <w:pPr>
              <w:pStyle w:val="Compact"/>
              <w:jc w:val="left"/>
            </w:pPr>
            <w:r>
              <w:t xml:space="preserve">+10,4 %</w:t>
            </w:r>
          </w:p>
        </w:tc>
        <w:tc>
          <w:tcPr/>
          <w:p>
            <w:pPr>
              <w:pStyle w:val="Compact"/>
              <w:jc w:val="left"/>
            </w:pPr>
            <w:r>
              <w:t xml:space="preserve">−43,0 %</w:t>
            </w:r>
          </w:p>
        </w:tc>
        <w:tc>
          <w:tcPr/>
          <w:p>
            <w:pPr>
              <w:pStyle w:val="Compact"/>
              <w:jc w:val="left"/>
            </w:pPr>
            <w:r>
              <w:t xml:space="preserve">—</w:t>
            </w:r>
          </w:p>
        </w:tc>
        <w:tc>
          <w:tcPr/>
          <w:p>
            <w:pPr>
              <w:pStyle w:val="Compact"/>
              <w:jc w:val="left"/>
            </w:pPr>
            <w:r>
              <w:t xml:space="preserve">Comprar (baja)</w:t>
            </w:r>
          </w:p>
        </w:tc>
        <w:tc>
          <w:tcPr/>
          <w:p>
            <w:pPr>
              <w:pStyle w:val="Compact"/>
              <w:jc w:val="left"/>
            </w:pPr>
            <w:r>
              <w:t xml:space="preserve">184.372 KRW</w:t>
            </w:r>
          </w:p>
        </w:tc>
      </w:tr>
    </w:tbl>
    <w:p>
      <w:pPr>
        <w:pStyle w:val="BodyText"/>
      </w:pPr>
      <w:r>
        <w:t xml:space="preserve">Precio de ahora: 173.800 KRW a las 08:18 UTC del 15-oct (sesión de tarde del mercado alternativo NXT). Con el objetivo del informe fijo, la rentabilidad a ese precio es del +11 %.</w:t>
      </w:r>
    </w:p>
    <w:bookmarkStart w:id="20" w:name="la-tesis-en-cinco-líneas"/>
    <w:p>
      <w:pPr>
        <w:pStyle w:val="Heading2"/>
      </w:pPr>
      <w:r>
        <w:t xml:space="preserve">1. La tesis en cinco líneas</w:t>
      </w:r>
    </w:p>
    <w:p>
      <w:pPr>
        <w:numPr>
          <w:ilvl w:val="0"/>
          <w:numId w:val="1001"/>
        </w:numPr>
        <w:pStyle w:val="Compact"/>
      </w:pPr>
      <w:r>
        <w:t xml:space="preserve">Sanil fabrica transformadores especiales para los inversores de plantas solares, baterías (BESS) y, desde 2026, centros de datos con generación propia (Bloom Energy). El 85 % de lo que vende va a EE. UU.</w:t>
      </w:r>
    </w:p>
    <w:p>
      <w:pPr>
        <w:numPr>
          <w:ilvl w:val="0"/>
          <w:numId w:val="1001"/>
        </w:numPr>
        <w:pStyle w:val="Compact"/>
      </w:pPr>
      <w:r>
        <w:t xml:space="preserve">Crece mucho y gana mucho: ventas de 12 meses de 589.400 M KRW (+42 %), margen operativo del 36 % y flujo de caja libre del 29 % de las ventas, sin deuda.</w:t>
      </w:r>
    </w:p>
    <w:p>
      <w:pPr>
        <w:numPr>
          <w:ilvl w:val="0"/>
          <w:numId w:val="1001"/>
        </w:numPr>
        <w:pStyle w:val="Compact"/>
      </w:pPr>
      <w:r>
        <w:t xml:space="preserve">Cotiza a unas 17 veces el EBITDA de los próximos 12 meses y a unas 19 veces el beneficio de 2027, menos que los grandes del sector (HD Hyundai Electric, Hyosung, LS Electric, Eaton, GE Vernova).</w:t>
      </w:r>
    </w:p>
    <w:p>
      <w:pPr>
        <w:numPr>
          <w:ilvl w:val="0"/>
          <w:numId w:val="1001"/>
        </w:numPr>
        <w:pStyle w:val="Compact"/>
      </w:pPr>
      <w:r>
        <w:t xml:space="preserve">Pero el crecimiento frena (del +52 % del 1T26 al +28 % del 2T26), el won se ha fortalecido un 12 % frente al dólar en el 3T y cuatro clientes son casi el 90 % de las ventas del semestre.</w:t>
      </w:r>
    </w:p>
    <w:p>
      <w:pPr>
        <w:numPr>
          <w:ilvl w:val="0"/>
          <w:numId w:val="1001"/>
        </w:numPr>
        <w:pStyle w:val="Compact"/>
      </w:pPr>
      <w:r>
        <w:t xml:space="preserve">El motor da Comprar por poco: con las ventas del consenso, la rentabilidad ponderada es del +8,7 %, y si se pesa más el escenario malo por la concentración de clientes, pasa a Mantener.</w:t>
      </w:r>
    </w:p>
    <w:bookmarkEnd w:id="20"/>
    <w:bookmarkStart w:id="21" w:name="negocio-y-tecnología"/>
    <w:p>
      <w:pPr>
        <w:pStyle w:val="Heading2"/>
      </w:pPr>
      <w:r>
        <w:t xml:space="preserve">2. Negocio y tecnología</w:t>
      </w:r>
    </w:p>
    <w:p>
      <w:pPr>
        <w:pStyle w:val="FirstParagraph"/>
      </w:pPr>
      <w:r>
        <w:t xml:space="preserve">Fundada en 1994 en Ansan (Corea), salió a bolsa en julio de 2024. Vende transformadores de distribución en baño de aceite, secos y de poste, y reactores. Dos negocios [1][10]:</w:t>
      </w:r>
      <w:r>
        <w:t xml:space="preserve"> </w:t>
      </w:r>
      <w:r>
        <w:t xml:space="preserve">-</w:t>
      </w:r>
      <w:r>
        <w:t xml:space="preserve"> </w:t>
      </w:r>
      <w:r>
        <w:rPr>
          <w:bCs/>
          <w:b/>
        </w:rPr>
        <w:t xml:space="preserve">Transformadores especiales para renovables, baterías y centros de datos</w:t>
      </w:r>
      <w:r>
        <w:t xml:space="preserve"> </w:t>
      </w:r>
      <w:r>
        <w:t xml:space="preserve">(81 % de las ventas del 2T26): adaptan la tensión entre el inversor y la red. Clientes: los grandes fabricantes de inversores (GE Vernova, TMEIC, Power Electronics y otros) y, desde abril, Bloom Energy (pilas de combustible que dan electricidad en el propio centro de datos). Crecen un +52 % en el 2T26.</w:t>
      </w:r>
      <w:r>
        <w:t xml:space="preserve"> </w:t>
      </w:r>
      <w:r>
        <w:t xml:space="preserve">-</w:t>
      </w:r>
      <w:r>
        <w:t xml:space="preserve"> </w:t>
      </w:r>
      <w:r>
        <w:rPr>
          <w:bCs/>
          <w:b/>
        </w:rPr>
        <w:t xml:space="preserve">Red eléctrica</w:t>
      </w:r>
      <w:r>
        <w:t xml:space="preserve"> </w:t>
      </w:r>
      <w:r>
        <w:t xml:space="preserve">(16 %): transformadores de distribución para compañías eléctricas de EE. UU. Bajan un 31 % en el 2T26 porque las eléctricas están gastando el inventario que acumularon.</w:t>
      </w:r>
    </w:p>
    <w:p>
      <w:pPr>
        <w:pStyle w:val="BodyText"/>
      </w:pPr>
      <w:r>
        <w:t xml:space="preserve">Lo diferencial no es una patente: son plazos de entrega cortos (3 a 6 meses frente a más de un año de la competencia), diseño a medida y una calidad que le ha dado 30 años de relación con los fabricantes de inversores. Es buena tecnología, pero tiene alternativas (tecnología 3 de 5).</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w:t>
            </w:r>
          </w:p>
        </w:tc>
        <w:tc>
          <w:tcPr/>
          <w:p>
            <w:pPr>
              <w:pStyle w:val="Compact"/>
              <w:jc w:val="left"/>
            </w:pPr>
            <w:r>
              <w:t xml:space="preserve">Ventas (M KRW)</w:t>
            </w:r>
          </w:p>
        </w:tc>
        <w:tc>
          <w:tcPr/>
          <w:p>
            <w:pPr>
              <w:pStyle w:val="Compact"/>
              <w:jc w:val="left"/>
            </w:pPr>
            <w:r>
              <w:t xml:space="preserve">Crecimiento interanual</w:t>
            </w:r>
          </w:p>
        </w:tc>
        <w:tc>
          <w:tcPr/>
          <w:p>
            <w:pPr>
              <w:pStyle w:val="Compact"/>
              <w:jc w:val="left"/>
            </w:pPr>
            <w:r>
              <w:t xml:space="preserve">Margen operativo</w:t>
            </w:r>
          </w:p>
        </w:tc>
      </w:tr>
      <w:tr>
        <w:tc>
          <w:tcPr/>
          <w:p>
            <w:pPr>
              <w:pStyle w:val="Compact"/>
              <w:jc w:val="left"/>
            </w:pPr>
            <w:r>
              <w:t xml:space="preserve">3T24</w:t>
            </w:r>
          </w:p>
        </w:tc>
        <w:tc>
          <w:tcPr/>
          <w:p>
            <w:pPr>
              <w:pStyle w:val="Compact"/>
              <w:jc w:val="left"/>
            </w:pPr>
            <w:r>
              <w:t xml:space="preserve">79.736</w:t>
            </w:r>
          </w:p>
        </w:tc>
        <w:tc>
          <w:tcPr/>
          <w:p>
            <w:pPr>
              <w:pStyle w:val="Compact"/>
              <w:jc w:val="left"/>
            </w:pPr>
            <w:r>
              <w:t xml:space="preserve">—</w:t>
            </w:r>
          </w:p>
        </w:tc>
        <w:tc>
          <w:tcPr/>
          <w:p>
            <w:pPr>
              <w:pStyle w:val="Compact"/>
              <w:jc w:val="left"/>
            </w:pPr>
            <w:r>
              <w:t xml:space="preserve">34,9 %</w:t>
            </w:r>
          </w:p>
        </w:tc>
      </w:tr>
      <w:tr>
        <w:tc>
          <w:tcPr/>
          <w:p>
            <w:pPr>
              <w:pStyle w:val="Compact"/>
              <w:jc w:val="left"/>
            </w:pPr>
            <w:r>
              <w:t xml:space="preserve">4T24</w:t>
            </w:r>
          </w:p>
        </w:tc>
        <w:tc>
          <w:tcPr/>
          <w:p>
            <w:pPr>
              <w:pStyle w:val="Compact"/>
              <w:jc w:val="left"/>
            </w:pPr>
            <w:r>
              <w:t xml:space="preserve">108.385</w:t>
            </w:r>
          </w:p>
        </w:tc>
        <w:tc>
          <w:tcPr/>
          <w:p>
            <w:pPr>
              <w:pStyle w:val="Compact"/>
              <w:jc w:val="left"/>
            </w:pPr>
            <w:r>
              <w:t xml:space="preserve">—</w:t>
            </w:r>
          </w:p>
        </w:tc>
        <w:tc>
          <w:tcPr/>
          <w:p>
            <w:pPr>
              <w:pStyle w:val="Compact"/>
              <w:jc w:val="left"/>
            </w:pPr>
            <w:r>
              <w:t xml:space="preserve">31,1 %</w:t>
            </w:r>
          </w:p>
        </w:tc>
      </w:tr>
      <w:tr>
        <w:tc>
          <w:tcPr/>
          <w:p>
            <w:pPr>
              <w:pStyle w:val="Compact"/>
              <w:jc w:val="left"/>
            </w:pPr>
            <w:r>
              <w:t xml:space="preserve">1T25</w:t>
            </w:r>
          </w:p>
        </w:tc>
        <w:tc>
          <w:tcPr/>
          <w:p>
            <w:pPr>
              <w:pStyle w:val="Compact"/>
              <w:jc w:val="left"/>
            </w:pPr>
            <w:r>
              <w:t xml:space="preserve">98.829</w:t>
            </w:r>
          </w:p>
        </w:tc>
        <w:tc>
          <w:tcPr/>
          <w:p>
            <w:pPr>
              <w:pStyle w:val="Compact"/>
              <w:jc w:val="left"/>
            </w:pPr>
            <w:r>
              <w:t xml:space="preserve">+40 %</w:t>
            </w:r>
          </w:p>
        </w:tc>
        <w:tc>
          <w:tcPr/>
          <w:p>
            <w:pPr>
              <w:pStyle w:val="Compact"/>
              <w:jc w:val="left"/>
            </w:pPr>
            <w:r>
              <w:t xml:space="preserve">38,0 %</w:t>
            </w:r>
          </w:p>
        </w:tc>
      </w:tr>
      <w:tr>
        <w:tc>
          <w:tcPr/>
          <w:p>
            <w:pPr>
              <w:pStyle w:val="Compact"/>
              <w:jc w:val="left"/>
            </w:pPr>
            <w:r>
              <w:t xml:space="preserve">2T25</w:t>
            </w:r>
          </w:p>
        </w:tc>
        <w:tc>
          <w:tcPr/>
          <w:p>
            <w:pPr>
              <w:pStyle w:val="Compact"/>
              <w:jc w:val="left"/>
            </w:pPr>
            <w:r>
              <w:t xml:space="preserve">128.255</w:t>
            </w:r>
          </w:p>
        </w:tc>
        <w:tc>
          <w:tcPr/>
          <w:p>
            <w:pPr>
              <w:pStyle w:val="Compact"/>
              <w:jc w:val="left"/>
            </w:pPr>
            <w:r>
              <w:t xml:space="preserve">+71 %</w:t>
            </w:r>
          </w:p>
        </w:tc>
        <w:tc>
          <w:tcPr/>
          <w:p>
            <w:pPr>
              <w:pStyle w:val="Compact"/>
              <w:jc w:val="left"/>
            </w:pPr>
            <w:r>
              <w:t xml:space="preserve">36,0 %</w:t>
            </w:r>
          </w:p>
        </w:tc>
      </w:tr>
      <w:tr>
        <w:tc>
          <w:tcPr/>
          <w:p>
            <w:pPr>
              <w:pStyle w:val="Compact"/>
              <w:jc w:val="left"/>
            </w:pPr>
            <w:r>
              <w:t xml:space="preserve">3T25</w:t>
            </w:r>
          </w:p>
        </w:tc>
        <w:tc>
          <w:tcPr/>
          <w:p>
            <w:pPr>
              <w:pStyle w:val="Compact"/>
              <w:jc w:val="left"/>
            </w:pPr>
            <w:r>
              <w:t xml:space="preserve">132.735</w:t>
            </w:r>
          </w:p>
        </w:tc>
        <w:tc>
          <w:tcPr/>
          <w:p>
            <w:pPr>
              <w:pStyle w:val="Compact"/>
              <w:jc w:val="left"/>
            </w:pPr>
            <w:r>
              <w:t xml:space="preserve">+66 %</w:t>
            </w:r>
          </w:p>
        </w:tc>
        <w:tc>
          <w:tcPr/>
          <w:p>
            <w:pPr>
              <w:pStyle w:val="Compact"/>
              <w:jc w:val="left"/>
            </w:pPr>
            <w:r>
              <w:t xml:space="preserve">32,2 %</w:t>
            </w:r>
          </w:p>
        </w:tc>
      </w:tr>
      <w:tr>
        <w:tc>
          <w:tcPr/>
          <w:p>
            <w:pPr>
              <w:pStyle w:val="Compact"/>
              <w:jc w:val="left"/>
            </w:pPr>
            <w:r>
              <w:t xml:space="preserve">4T25</w:t>
            </w:r>
          </w:p>
        </w:tc>
        <w:tc>
          <w:tcPr/>
          <w:p>
            <w:pPr>
              <w:pStyle w:val="Compact"/>
              <w:jc w:val="left"/>
            </w:pPr>
            <w:r>
              <w:t xml:space="preserve">142.127</w:t>
            </w:r>
          </w:p>
        </w:tc>
        <w:tc>
          <w:tcPr/>
          <w:p>
            <w:pPr>
              <w:pStyle w:val="Compact"/>
              <w:jc w:val="left"/>
            </w:pPr>
            <w:r>
              <w:t xml:space="preserve">+31 %</w:t>
            </w:r>
          </w:p>
        </w:tc>
        <w:tc>
          <w:tcPr/>
          <w:p>
            <w:pPr>
              <w:pStyle w:val="Compact"/>
              <w:jc w:val="left"/>
            </w:pPr>
            <w:r>
              <w:t xml:space="preserve">38,7 %</w:t>
            </w:r>
          </w:p>
        </w:tc>
      </w:tr>
      <w:tr>
        <w:tc>
          <w:tcPr/>
          <w:p>
            <w:pPr>
              <w:pStyle w:val="Compact"/>
              <w:jc w:val="left"/>
            </w:pPr>
            <w:r>
              <w:t xml:space="preserve">1T26</w:t>
            </w:r>
          </w:p>
        </w:tc>
        <w:tc>
          <w:tcPr/>
          <w:p>
            <w:pPr>
              <w:pStyle w:val="Compact"/>
              <w:jc w:val="left"/>
            </w:pPr>
            <w:r>
              <w:t xml:space="preserve">150.323</w:t>
            </w:r>
          </w:p>
        </w:tc>
        <w:tc>
          <w:tcPr/>
          <w:p>
            <w:pPr>
              <w:pStyle w:val="Compact"/>
              <w:jc w:val="left"/>
            </w:pPr>
            <w:r>
              <w:t xml:space="preserve">+52 %</w:t>
            </w:r>
          </w:p>
        </w:tc>
        <w:tc>
          <w:tcPr/>
          <w:p>
            <w:pPr>
              <w:pStyle w:val="Compact"/>
              <w:jc w:val="left"/>
            </w:pPr>
            <w:r>
              <w:t xml:space="preserve">36,9 %</w:t>
            </w:r>
          </w:p>
        </w:tc>
      </w:tr>
      <w:tr>
        <w:tc>
          <w:tcPr/>
          <w:p>
            <w:pPr>
              <w:pStyle w:val="Compact"/>
              <w:jc w:val="left"/>
            </w:pPr>
            <w:r>
              <w:t xml:space="preserve">2T26</w:t>
            </w:r>
          </w:p>
        </w:tc>
        <w:tc>
          <w:tcPr/>
          <w:p>
            <w:pPr>
              <w:pStyle w:val="Compact"/>
              <w:jc w:val="left"/>
            </w:pPr>
            <w:r>
              <w:t xml:space="preserve">164.179</w:t>
            </w:r>
          </w:p>
        </w:tc>
        <w:tc>
          <w:tcPr/>
          <w:p>
            <w:pPr>
              <w:pStyle w:val="Compact"/>
              <w:jc w:val="left"/>
            </w:pPr>
            <w:r>
              <w:t xml:space="preserve">+28 %</w:t>
            </w:r>
          </w:p>
        </w:tc>
        <w:tc>
          <w:tcPr/>
          <w:p>
            <w:pPr>
              <w:pStyle w:val="Compact"/>
              <w:jc w:val="left"/>
            </w:pPr>
            <w:r>
              <w:t xml:space="preserve">37,8 %</w:t>
            </w:r>
          </w:p>
        </w:tc>
      </w:tr>
    </w:tbl>
    <w:p>
      <w:pPr>
        <w:pStyle w:val="BodyText"/>
      </w:pPr>
      <w:r>
        <w:t xml:space="preserve">Fuente: notas de resultados e informes de DART [1][2][8].</w:t>
      </w:r>
    </w:p>
    <w:p>
      <w:pPr>
        <w:numPr>
          <w:ilvl w:val="0"/>
          <w:numId w:val="1002"/>
        </w:numPr>
        <w:pStyle w:val="Compact"/>
      </w:pPr>
      <w:r>
        <w:t xml:space="preserve">Años: 214.538 M KRW en 2023, 333.997 en 2024 (+56 %) y 501.946 en 2025 (+50 %).</w:t>
      </w:r>
    </w:p>
    <w:p>
      <w:pPr>
        <w:numPr>
          <w:ilvl w:val="0"/>
          <w:numId w:val="1002"/>
        </w:numPr>
        <w:pStyle w:val="Compact"/>
      </w:pPr>
      <w:r>
        <w:t xml:space="preserve">Ventas de 12 meses: 589.400 M KRW (+42 %). Crecimiento compuesto de dos años: +51 %.</w:t>
      </w:r>
    </w:p>
    <w:p>
      <w:pPr>
        <w:numPr>
          <w:ilvl w:val="0"/>
          <w:numId w:val="1002"/>
        </w:numPr>
        <w:pStyle w:val="Compact"/>
      </w:pPr>
      <w:r>
        <w:rPr>
          <w:bCs/>
          <w:b/>
        </w:rPr>
        <w:t xml:space="preserve">Frena</w:t>
      </w:r>
      <w:r>
        <w:t xml:space="preserve">: el 2T26 crece 27 puntos menos que la media de los cuatro trimestres anteriores. El consenso espera +36 % en 2026 y +31 % en 2027 [10][11][12].</w:t>
      </w:r>
    </w:p>
    <w:p>
      <w:pPr>
        <w:numPr>
          <w:ilvl w:val="0"/>
          <w:numId w:val="1002"/>
        </w:numPr>
        <w:pStyle w:val="Compact"/>
      </w:pPr>
      <w:r>
        <w:rPr>
          <w:bCs/>
          <w:b/>
        </w:rPr>
        <w:t xml:space="preserve">Pedidos</w:t>
      </w:r>
      <w:r>
        <w:t xml:space="preserve">: 422.483 M KRW de pedidos nuevos en el primer semestre (+61 %) y una cartera de 556.788 M KRW, casi un año de ventas [1]. Los pedidos del 2T26 (243.500 M KRW, +163 %) son los mayores de su historia; alrededor del 30 % viene de Bloom Energy [11].</w:t>
      </w:r>
    </w:p>
    <w:p>
      <w:pPr>
        <w:numPr>
          <w:ilvl w:val="0"/>
          <w:numId w:val="1002"/>
        </w:numPr>
        <w:pStyle w:val="Compact"/>
      </w:pPr>
      <w:r>
        <w:rPr>
          <w:bCs/>
          <w:b/>
        </w:rPr>
        <w:t xml:space="preserve">Guía</w:t>
      </w:r>
      <w:r>
        <w:t xml:space="preserve">: no da guía de ventas. Solo de pedidos: unos 700.000 M KRW en 2026 [9].</w:t>
      </w:r>
    </w:p>
    <w:p>
      <w:pPr>
        <w:numPr>
          <w:ilvl w:val="0"/>
          <w:numId w:val="1002"/>
        </w:numPr>
        <w:pStyle w:val="Compact"/>
      </w:pPr>
      <w:r>
        <w:rPr>
          <w:bCs/>
          <w:b/>
        </w:rPr>
        <w:t xml:space="preserve">3T26</w:t>
      </w:r>
      <w:r>
        <w:t xml:space="preserve"> </w:t>
      </w:r>
      <w:r>
        <w:t xml:space="preserve">(resultados a principios de noviembre): Mirae espera ventas de 165.100 M KRW (+24 %), un 6,6 % por debajo del consenso, por envíos retrasados por los tifones (unos 10.000 M KRW) y por el won fuerte (el 90 % de las ventas es exportación) [6].</w:t>
      </w:r>
    </w:p>
    <w:p>
      <w:pPr>
        <w:numPr>
          <w:ilvl w:val="0"/>
          <w:numId w:val="1002"/>
        </w:numPr>
        <w:pStyle w:val="Compact"/>
      </w:pPr>
      <w:r>
        <w:rPr>
          <w:bCs/>
          <w:b/>
        </w:rPr>
        <w:t xml:space="preserve">Compras de empresas</w:t>
      </w:r>
      <w:r>
        <w:t xml:space="preserve">: ninguna. No hace falta el crecimiento orgánico (v12 da lo mismo que v11).</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15 billones de KRW (15.000.000 M). Sale del mercado de transformadores de distribución de EE. UU., que la empresa calcula en unos 10 billones, más los transformadores especiales para baterías e inversores de Europa y Japón (unos 5 billones, estimación propia). El mercado mundial de distribución es de unos 40 billones de KRW [2]. Cuota: el 3,9 % del alcanzable. En la distribución de EE. UU. tiene menos del 2 % [2].</w:t>
      </w:r>
    </w:p>
    <w:p>
      <w:pPr>
        <w:numPr>
          <w:ilvl w:val="0"/>
          <w:numId w:val="1003"/>
        </w:numPr>
        <w:pStyle w:val="Compact"/>
      </w:pPr>
      <w:r>
        <w:rPr>
          <w:bCs/>
          <w:b/>
        </w:rPr>
        <w:t xml:space="preserve">Rivales</w:t>
      </w:r>
      <w:r>
        <w:t xml:space="preserve">: en EE. UU., Eaton, Hubbell, ABB, Hitachi Energy, Siemens Energy y los coreanos HD Hyundai Electric, Hyosung Heavy, LS Electric y Jeryong. En transformadores para inversores compite sobre todo con fabricantes chinos, a los que EE. UU. y la UE están cerrando la puerta desde agosto: varios fabricantes de inversores le piden capacidad [6][7].</w:t>
      </w:r>
    </w:p>
    <w:p>
      <w:pPr>
        <w:numPr>
          <w:ilvl w:val="0"/>
          <w:numId w:val="1003"/>
        </w:numPr>
        <w:pStyle w:val="Compact"/>
      </w:pPr>
      <w:r>
        <w:rPr>
          <w:bCs/>
          <w:b/>
        </w:rPr>
        <w:t xml:space="preserve">Ojo</w:t>
      </w:r>
      <w:r>
        <w:t xml:space="preserve">: LS Electric ha firmado con Bloom Energy un contrato de 138 M USD (13-oct) en cuadros eléctricos y transformadores de distribución [14]. Bloom no compra en exclusiva a Sanil.</w:t>
      </w:r>
    </w:p>
    <w:p>
      <w:pPr>
        <w:numPr>
          <w:ilvl w:val="0"/>
          <w:numId w:val="1003"/>
        </w:numPr>
        <w:pStyle w:val="Compact"/>
      </w:pPr>
      <w:r>
        <w:rPr>
          <w:bCs/>
          <w:b/>
        </w:rPr>
        <w:t xml:space="preserve">Por qué gana</w:t>
      </w:r>
      <w:r>
        <w:t xml:space="preserve">: entrega rápida, diseño a medida y calidad. Posición 3 de 5: líder en su nicho, pequeña en el mercado total.</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Mixtas: Mirae (15-oct) y Korea Investment (6-oct) suben el precio objetivo; Shinhan y SK lo bajaron en agosto; Mirae espera un 3T26 por debajo del consenso [6][7][11].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177.500 frente a una media de unos 186.600 KRW, que sigue subiendo [3].</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 por poco</w:t>
            </w:r>
          </w:p>
        </w:tc>
        <w:tc>
          <w:tcPr/>
          <w:p>
            <w:pPr>
              <w:pStyle w:val="Compact"/>
              <w:jc w:val="left"/>
            </w:pPr>
            <w:r>
              <w:t xml:space="preserve">−8,6 % frente a −8,8 % del KOSPI. Hasta el día 14 la ventaja era de 10 puntos [3].</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EV/EBITDA de los próximos 12 meses de unas 17 veces frente a unas 11 veces en el mínimo de agosto (estimación propia) [10][11].</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muy rentable: el margen operativo mejora un punto, no cinco [1].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Salen los extranjeros (del 18,0 % al 16,4 %) y el fondo de pensiones coreano NPS (del 8,3 % al 7,3 %) [13].</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Un consejero vende 25.000 acciones en agosto; el NPS vende [13].</w:t>
            </w:r>
          </w:p>
        </w:tc>
      </w:tr>
      <w:tr>
        <w:tc>
          <w:tcPr/>
          <w:p>
            <w:pPr>
              <w:pStyle w:val="Compact"/>
              <w:jc w:val="left"/>
            </w:pPr>
            <w:r>
              <w:t xml:space="preserve">8</w:t>
            </w:r>
          </w:p>
        </w:tc>
        <w:tc>
          <w:tcPr/>
          <w:p>
            <w:pPr>
              <w:pStyle w:val="Compact"/>
              <w:jc w:val="left"/>
            </w:pPr>
            <w:r>
              <w:t xml:space="preserve">Catalizador en 6 meses</w:t>
            </w:r>
          </w:p>
        </w:tc>
        <w:tc>
          <w:tcPr/>
          <w:p>
            <w:pPr>
              <w:pStyle w:val="Compact"/>
              <w:jc w:val="left"/>
            </w:pPr>
            <w:r>
              <w:t xml:space="preserve">Sí</w:t>
            </w:r>
          </w:p>
        </w:tc>
        <w:tc>
          <w:tcPr/>
          <w:p>
            <w:pPr>
              <w:pStyle w:val="Compact"/>
              <w:jc w:val="left"/>
            </w:pPr>
            <w:r>
              <w:t xml:space="preserve">Resultados del 3T26, más pedidos de centros de datos (Bloom), el mayor pedido de su historia (TMEIC USA, 51.198 M KRW) y la norma de EE. UU. contra los inversores chinos [4][6][7].</w:t>
            </w:r>
          </w:p>
        </w:tc>
      </w:tr>
    </w:tbl>
    <w:p>
      <w:pPr>
        <w:pStyle w:val="BodyText"/>
      </w:pPr>
      <w:r>
        <w:rPr>
          <w:bCs/>
          <w:b/>
        </w:rPr>
        <w:t xml:space="preserve">Euforia: no.</w:t>
      </w:r>
      <w:r>
        <w:t xml:space="preserve"> </w:t>
      </w:r>
      <w:r>
        <w:t xml:space="preserve">Sube un 46,6 % en 12 meses, lejos del 150 % del veto. Ya pasó por una euforia en mayo (341.000 KRW de máximo, casi el doble que hoy) y la deshizo.</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t xml:space="preserve">Margen bruto de 12 meses: 46,5 %. Es alto para un fabricante de transformadores (los grandes están entre el 25 % y el 35 %).</w:t>
      </w:r>
    </w:p>
    <w:p>
      <w:pPr>
        <w:numPr>
          <w:ilvl w:val="0"/>
          <w:numId w:val="1004"/>
        </w:numPr>
        <w:pStyle w:val="Compact"/>
      </w:pPr>
      <w:r>
        <w:t xml:space="preserve">Margen operativo: 36,0 % en 12 meses y 37,8 % en el 2T26. Los gastos generales apenas crecen (apalancamiento operativo).</w:t>
      </w:r>
    </w:p>
    <w:p>
      <w:pPr>
        <w:numPr>
          <w:ilvl w:val="0"/>
          <w:numId w:val="1004"/>
        </w:numPr>
        <w:pStyle w:val="Compact"/>
      </w:pPr>
      <w:r>
        <w:t xml:space="preserve">Flujo de caja libre de 12 meses: unos 171.000 M KRW, el 29 % de las ventas (el flujo de las operaciones fue de 187.700 M KRW y la inversión de 16.600 M) [1][2]. Regla del 40: 42 + 29 = 71.</w:t>
      </w:r>
    </w:p>
    <w:p>
      <w:pPr>
        <w:numPr>
          <w:ilvl w:val="0"/>
          <w:numId w:val="1004"/>
        </w:numPr>
        <w:pStyle w:val="Compact"/>
      </w:pPr>
      <w:r>
        <w:t xml:space="preserve">La inversión sube: 69.250 M KRW por el terreno y la nave para los transformadores de muy alta tensión (pagos de agosto de 2026 a febrero de 2027), con producción desde 2028 y un objetivo de 150.000 a 200.000 M KRW de ventas al año [5][11].</w:t>
      </w:r>
    </w:p>
    <w:bookmarkEnd w:id="25"/>
    <w:bookmarkStart w:id="26" w:name="caja-deuda-y-dilución"/>
    <w:p>
      <w:pPr>
        <w:pStyle w:val="Heading2"/>
      </w:pPr>
      <w:r>
        <w:t xml:space="preserve">7. Caja, deuda y dilución</w:t>
      </w:r>
    </w:p>
    <w:p>
      <w:pPr>
        <w:numPr>
          <w:ilvl w:val="0"/>
          <w:numId w:val="1005"/>
        </w:numPr>
        <w:pStyle w:val="Compact"/>
      </w:pPr>
      <w:r>
        <w:t xml:space="preserve">Caja e inversiones líquidas a 30-jun: unos 245.000 M KRW (95.109 M de efectivo, 17.471 M de depósitos a corto plazo, 99.170 M de fondos monetarios y similares, y 33.189 M de bonos). No cuento los 40.242 M en fondos de capital riesgo, como el de 29.500 M en el que entró en enero como socio [1].</w:t>
      </w:r>
    </w:p>
    <w:p>
      <w:pPr>
        <w:numPr>
          <w:ilvl w:val="0"/>
          <w:numId w:val="1005"/>
        </w:numPr>
        <w:pStyle w:val="Compact"/>
      </w:pPr>
      <w:r>
        <w:t xml:space="preserve">Deuda: cero (la de 520 M KRW se devolvió).</w:t>
      </w:r>
    </w:p>
    <w:p>
      <w:pPr>
        <w:numPr>
          <w:ilvl w:val="0"/>
          <w:numId w:val="1005"/>
        </w:numPr>
        <w:pStyle w:val="Compact"/>
      </w:pPr>
      <w:r>
        <w:t xml:space="preserve">Dilución: un 0,6 % en 12 meses por las opciones. Quedan 554.600 opciones a 3.344 KRW, ya incluidas en las 31,1 M acciones diluidas. Los pagos en acciones son el 0,3 % de las ventas.</w:t>
      </w:r>
    </w:p>
    <w:p>
      <w:pPr>
        <w:numPr>
          <w:ilvl w:val="0"/>
          <w:numId w:val="1005"/>
        </w:numPr>
        <w:pStyle w:val="Compact"/>
      </w:pPr>
      <w:r>
        <w:t xml:space="preserve">Dividendo: 1.250 KRW por acción de 2025 (0,7 %). El consenso espera 1.573 KRW por 2026.</w:t>
      </w:r>
    </w:p>
    <w:bookmarkEnd w:id="26"/>
    <w:bookmarkStart w:id="27" w:name="dirección-y-ejecución"/>
    <w:p>
      <w:pPr>
        <w:pStyle w:val="Heading2"/>
      </w:pPr>
      <w:r>
        <w:t xml:space="preserve">8. Dirección y ejecución</w:t>
      </w:r>
    </w:p>
    <w:p>
      <w:pPr>
        <w:numPr>
          <w:ilvl w:val="0"/>
          <w:numId w:val="1006"/>
        </w:numPr>
        <w:pStyle w:val="Compact"/>
      </w:pPr>
      <w:r>
        <w:t xml:space="preserve">Fundador y consejero delegado: Park Dong-seok, con el 35,8 % (el 45,0 % con su grupo) [13]. Asignación de capital sensata: sin deuda, dividendo creciente y una ampliación de planta pagada con caja propia.</w:t>
      </w:r>
    </w:p>
    <w:p>
      <w:pPr>
        <w:numPr>
          <w:ilvl w:val="0"/>
          <w:numId w:val="1006"/>
        </w:numPr>
        <w:pStyle w:val="Compact"/>
      </w:pPr>
      <w:r>
        <w:t xml:space="preserve">Dos cosas que no gustan: (1) metió 29.500 M KRW como socio en un fondo de capital riesgo (enero de 2026), algo ajeno al negocio; (2) un consejero vendió en agosto casi todas las acciones que acababa de recibir con sus opciones.</w:t>
      </w:r>
    </w:p>
    <w:p>
      <w:pPr>
        <w:numPr>
          <w:ilvl w:val="0"/>
          <w:numId w:val="1006"/>
        </w:numPr>
        <w:pStyle w:val="Compact"/>
      </w:pPr>
      <w:r>
        <w:t xml:space="preserve">Historial: ha cumplido o batido al consenso en la mayoría de trimestres desde la salida a bolsa (2T26 un poco por encima; 3T25 por debajo en margen). Nota 4 de 5 en historial y 4 de 5 en dirección.</w:t>
      </w:r>
    </w:p>
    <w:bookmarkEnd w:id="27"/>
    <w:bookmarkStart w:id="28" w:name="valoración"/>
    <w:p>
      <w:pPr>
        <w:pStyle w:val="Heading2"/>
      </w:pPr>
      <w:r>
        <w:t xml:space="preserve">9. Valoración</w:t>
      </w:r>
    </w:p>
    <w:p>
      <w:pPr>
        <w:pStyle w:val="FirstParagraph"/>
      </w:pPr>
      <w:r>
        <w:t xml:space="preserve">Se valora por</w:t>
      </w:r>
      <w:r>
        <w:t xml:space="preserve"> </w:t>
      </w:r>
      <w:r>
        <w:rPr>
          <w:bCs/>
          <w:b/>
        </w:rPr>
        <w:t xml:space="preserve">EV/EBITDA de los próximos 12 meses</w:t>
      </w:r>
      <w:r>
        <w:t xml:space="preserve">, porque la empresa ya es muy rentable de forma estable (margen operativo superior al 30 % desde 2024). El EV/ventas (6,6 veces) castigaría injustamente a un negocio que convierte en caja casi un tercio de lo que vende.</w:t>
      </w:r>
    </w:p>
    <w:p>
      <w:pPr>
        <w:numPr>
          <w:ilvl w:val="0"/>
          <w:numId w:val="1007"/>
        </w:numPr>
        <w:pStyle w:val="Compact"/>
      </w:pPr>
      <w:r>
        <w:t xml:space="preserve">Valor de empresa: 177.500 × 31,1 M acciones − 245.000 M de caja = 5,28 billones de KRW.</w:t>
      </w:r>
    </w:p>
    <w:p>
      <w:pPr>
        <w:numPr>
          <w:ilvl w:val="0"/>
          <w:numId w:val="1007"/>
        </w:numPr>
        <w:pStyle w:val="Compact"/>
      </w:pPr>
      <w:r>
        <w:t xml:space="preserve">EBITDA de los próximos 12 meses: 306.000 M KRW. Sale de unas ventas un 35 % mayores que las de los últimos 12 meses y de un margen del 38,5 % (las casas de análisis esperan entre el 38,7 % y el 40,5 %; lo rebajo un poco por el won) [10][11]. EV/EBITDA: 17,2 veces.</w:t>
      </w:r>
    </w:p>
    <w:p>
      <w:pPr>
        <w:numPr>
          <w:ilvl w:val="0"/>
          <w:numId w:val="1007"/>
        </w:numPr>
        <w:pStyle w:val="Compact"/>
      </w:pPr>
      <w:r>
        <w:t xml:space="preserve">Su historia: mediana de unas 15 veces y mínimo de unas 6 desde la salida a bolsa (dos años y tres meses; estimación propia con el EBITDA que luego se dio). Los comparables, unas 20 veces (estimación).</w:t>
      </w:r>
    </w:p>
    <w:p>
      <w:pPr>
        <w:numPr>
          <w:ilvl w:val="0"/>
          <w:numId w:val="1007"/>
        </w:numPr>
        <w:pStyle w:val="Compact"/>
      </w:pPr>
      <w:r>
        <w:t xml:space="preserve">EV/beneficio bruto de los próximos 12 meses: 14,3 (el listón es 35).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 (12 meses a jun-2028)</w:t>
            </w:r>
          </w:p>
        </w:tc>
        <w:tc>
          <w:tcPr/>
          <w:p>
            <w:pPr>
              <w:pStyle w:val="Compact"/>
              <w:jc w:val="left"/>
            </w:pPr>
            <w:r>
              <w:t xml:space="preserve">Ventas (M KRW)</w:t>
            </w:r>
          </w:p>
        </w:tc>
        <w:tc>
          <w:tcPr/>
          <w:p>
            <w:pPr>
              <w:pStyle w:val="Compact"/>
              <w:jc w:val="left"/>
            </w:pPr>
            <w:r>
              <w:t xml:space="preserve">EV/EBITDA</w:t>
            </w:r>
          </w:p>
        </w:tc>
        <w:tc>
          <w:tcPr/>
          <w:p>
            <w:pPr>
              <w:pStyle w:val="Compact"/>
              <w:jc w:val="left"/>
            </w:pPr>
            <w:r>
              <w:t xml:space="preserve">Precio (KRW)</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820.000</w:t>
            </w:r>
          </w:p>
        </w:tc>
        <w:tc>
          <w:tcPr/>
          <w:p>
            <w:pPr>
              <w:pStyle w:val="Compact"/>
              <w:jc w:val="left"/>
            </w:pPr>
            <w:r>
              <w:t xml:space="preserve">9,1</w:t>
            </w:r>
          </w:p>
        </w:tc>
        <w:tc>
          <w:tcPr/>
          <w:p>
            <w:pPr>
              <w:pStyle w:val="Compact"/>
              <w:jc w:val="left"/>
            </w:pPr>
            <w:r>
              <w:t xml:space="preserve">99.401</w:t>
            </w:r>
          </w:p>
        </w:tc>
        <w:tc>
          <w:tcPr/>
          <w:p>
            <w:pPr>
              <w:pStyle w:val="Compact"/>
              <w:jc w:val="left"/>
            </w:pPr>
            <w:r>
              <w:t xml:space="preserve">−43,2 %</w:t>
            </w:r>
          </w:p>
        </w:tc>
      </w:tr>
      <w:tr>
        <w:tc>
          <w:tcPr/>
          <w:p>
            <w:pPr>
              <w:pStyle w:val="Compact"/>
              <w:jc w:val="left"/>
            </w:pPr>
            <w:r>
              <w:t xml:space="preserve">Base (50 %)</w:t>
            </w:r>
          </w:p>
        </w:tc>
        <w:tc>
          <w:tcPr/>
          <w:p>
            <w:pPr>
              <w:pStyle w:val="Compact"/>
              <w:jc w:val="left"/>
            </w:pPr>
            <w:r>
              <w:t xml:space="preserve">1.000.000</w:t>
            </w:r>
          </w:p>
        </w:tc>
        <w:tc>
          <w:tcPr/>
          <w:p>
            <w:pPr>
              <w:pStyle w:val="Compact"/>
              <w:jc w:val="left"/>
            </w:pPr>
            <w:r>
              <w:t xml:space="preserve">15,1</w:t>
            </w:r>
          </w:p>
        </w:tc>
        <w:tc>
          <w:tcPr/>
          <w:p>
            <w:pPr>
              <w:pStyle w:val="Compact"/>
              <w:jc w:val="left"/>
            </w:pPr>
            <w:r>
              <w:t xml:space="preserve">193.949</w:t>
            </w:r>
          </w:p>
        </w:tc>
        <w:tc>
          <w:tcPr/>
          <w:p>
            <w:pPr>
              <w:pStyle w:val="Compact"/>
              <w:jc w:val="left"/>
            </w:pPr>
            <w:r>
              <w:t xml:space="preserve">+10,1 %</w:t>
            </w:r>
          </w:p>
        </w:tc>
      </w:tr>
      <w:tr>
        <w:tc>
          <w:tcPr/>
          <w:p>
            <w:pPr>
              <w:pStyle w:val="Compact"/>
              <w:jc w:val="left"/>
            </w:pPr>
            <w:r>
              <w:t xml:space="preserve">Alcista (25 %)</w:t>
            </w:r>
          </w:p>
        </w:tc>
        <w:tc>
          <w:tcPr/>
          <w:p>
            <w:pPr>
              <w:pStyle w:val="Compact"/>
              <w:jc w:val="left"/>
            </w:pPr>
            <w:r>
              <w:t xml:space="preserve">1.100.000</w:t>
            </w:r>
          </w:p>
        </w:tc>
        <w:tc>
          <w:tcPr/>
          <w:p>
            <w:pPr>
              <w:pStyle w:val="Compact"/>
              <w:jc w:val="left"/>
            </w:pPr>
            <w:r>
              <w:t xml:space="preserve">20,0</w:t>
            </w:r>
          </w:p>
        </w:tc>
        <w:tc>
          <w:tcPr/>
          <w:p>
            <w:pPr>
              <w:pStyle w:val="Compact"/>
              <w:jc w:val="left"/>
            </w:pPr>
            <w:r>
              <w:t xml:space="preserve">278.872</w:t>
            </w:r>
          </w:p>
        </w:tc>
        <w:tc>
          <w:tcPr/>
          <w:p>
            <w:pPr>
              <w:pStyle w:val="Compact"/>
              <w:jc w:val="left"/>
            </w:pPr>
            <w:r>
              <w:t xml:space="preserve">+57,9 %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191.543</w:t>
            </w:r>
          </w:p>
        </w:tc>
        <w:tc>
          <w:tcPr/>
          <w:p>
            <w:pPr>
              <w:pStyle w:val="Compact"/>
              <w:jc w:val="left"/>
            </w:pPr>
            <w:r>
              <w:rPr>
                <w:bCs/>
                <w:b/>
              </w:rPr>
              <w:t xml:space="preserve">+8,7 %</w:t>
            </w:r>
          </w:p>
        </w:tc>
      </w:tr>
    </w:tbl>
    <w:p>
      <w:pPr>
        <w:numPr>
          <w:ilvl w:val="0"/>
          <w:numId w:val="1008"/>
        </w:numPr>
        <w:pStyle w:val="Compact"/>
      </w:pPr>
      <w:r>
        <w:rPr>
          <w:bCs/>
          <w:b/>
        </w:rPr>
        <w:t xml:space="preserve">Ventas</w:t>
      </w:r>
      <w:r>
        <w:t xml:space="preserve">: la regla mecánica proyecta 1.151.661 M KRW en el base. v11 toma la menor entre esa y la del informe, que es la del consenso: unos 1.005.000 M para los 12 meses a junio de 2028 (media de 2027 y 2028 de Yuanta, Shinhan, Kyobo y SK: unos 890.000 y 1.120.000 M) [10][11]. Por eso v9 da +23,6 % y v11 +8,7 %: la diferencia es solo cuánto se cree que venderá.</w:t>
      </w:r>
    </w:p>
    <w:p>
      <w:pPr>
        <w:numPr>
          <w:ilvl w:val="0"/>
          <w:numId w:val="1008"/>
        </w:numPr>
        <w:pStyle w:val="Compact"/>
      </w:pPr>
      <w:r>
        <w:rPr>
          <w:bCs/>
          <w:b/>
        </w:rPr>
        <w:t xml:space="preserve">Bajista</w:t>
      </w:r>
      <w:r>
        <w:t xml:space="preserve">: crece la mitad (820.000 M, un 18 % al año) por un parón en los centros de datos o la pérdida de un gran cliente, y el múltiplo baja a 9 veces.</w:t>
      </w:r>
    </w:p>
    <w:p>
      <w:pPr>
        <w:numPr>
          <w:ilvl w:val="0"/>
          <w:numId w:val="1008"/>
        </w:numPr>
        <w:pStyle w:val="Compact"/>
      </w:pPr>
      <w:r>
        <w:rPr>
          <w:bCs/>
          <w:b/>
        </w:rPr>
        <w:t xml:space="preserve">Consenso de precio objetivo</w:t>
      </w:r>
      <w:r>
        <w:t xml:space="preserve">: unos 300.000 KRW (Mirae 270.000, Korea Investment 300.000, Shinhan 310.000, SK 320.000, Yuanta 360.000, Kyobo 250.000). Muy por encima del objetivo del método.</w:t>
      </w:r>
    </w:p>
    <w:p>
      <w:pPr>
        <w:numPr>
          <w:ilvl w:val="0"/>
          <w:numId w:val="1008"/>
        </w:numPr>
        <w:pStyle w:val="Compact"/>
      </w:pPr>
      <w:r>
        <w:rPr>
          <w:bCs/>
          <w:b/>
        </w:rPr>
        <w:t xml:space="preserve">DCF inverso</w:t>
      </w:r>
      <w:r>
        <w:t xml:space="preserve">: con un margen de caja maduro del 20 %, un descuento del 10 % y un crecimiento perpetuo del 3 %, el precio descuenta un crecimiento de las ventas del 18 % al año durante 10 años, menos de la mitad del actual.</w:t>
      </w:r>
    </w:p>
    <w:p>
      <w:pPr>
        <w:numPr>
          <w:ilvl w:val="0"/>
          <w:numId w:val="1008"/>
        </w:numPr>
        <w:pStyle w:val="Compact"/>
      </w:pPr>
      <w:r>
        <w:rPr>
          <w:bCs/>
          <w:b/>
        </w:rPr>
        <w:t xml:space="preserve">Con el precio de ahora</w:t>
      </w:r>
      <w:r>
        <w:t xml:space="preserve"> </w:t>
      </w:r>
      <w:r>
        <w:t xml:space="preserve">(173.800 KRW), el objetivo fijo da +11 %.</w:t>
      </w:r>
    </w:p>
    <w:bookmarkEnd w:id="28"/>
    <w:bookmarkStart w:id="29" w:name="foros-y-sentimiento"/>
    <w:p>
      <w:pPr>
        <w:pStyle w:val="Heading2"/>
      </w:pPr>
      <w:r>
        <w:t xml:space="preserve">10. Foros y sentimiento</w:t>
      </w:r>
    </w:p>
    <w:p>
      <w:pPr>
        <w:numPr>
          <w:ilvl w:val="0"/>
          <w:numId w:val="1009"/>
        </w:numPr>
        <w:pStyle w:val="Compact"/>
      </w:pPr>
      <w:r>
        <w:rPr>
          <w:bCs/>
          <w:b/>
        </w:rPr>
        <w:t xml:space="preserve">Casas de análisis coreanas</w:t>
      </w:r>
      <w:r>
        <w:t xml:space="preserve">: todas en Comprar y con objetivos de 250.000 a 360.000 KRW. Dicen que está barata frente a sus pares por PER de 2027-2028 y que 2027 será el año de los centros de datos (Bloom) y de la vuelta de la red eléctrica [6][10][11].</w:t>
      </w:r>
    </w:p>
    <w:p>
      <w:pPr>
        <w:numPr>
          <w:ilvl w:val="0"/>
          <w:numId w:val="1009"/>
        </w:numPr>
        <w:pStyle w:val="Compact"/>
      </w:pPr>
      <w:r>
        <w:rPr>
          <w:bCs/>
          <w:b/>
        </w:rPr>
        <w:t xml:space="preserve">Inversores</w:t>
      </w:r>
      <w:r>
        <w:t xml:space="preserve">: venden. Los extranjeros han bajado del 18 % al 16,4 % desde abril y el fondo de pensiones coreano vendió un punto del capital en verano [3][13]. El 15-oct cae un 16 % en un día de pánico del KOSPI (−7,6 %, arrastrado por Samsung y SK Hynix), sin noticia propia [14].</w:t>
      </w:r>
    </w:p>
    <w:p>
      <w:pPr>
        <w:numPr>
          <w:ilvl w:val="0"/>
          <w:numId w:val="1009"/>
        </w:numPr>
        <w:pStyle w:val="Compact"/>
      </w:pPr>
      <w:r>
        <w:rPr>
          <w:bCs/>
          <w:b/>
        </w:rPr>
        <w:t xml:space="preserve">Foros en inglés</w:t>
      </w:r>
      <w:r>
        <w:t xml:space="preserve"> </w:t>
      </w:r>
      <w:r>
        <w:t xml:space="preserve">(Reddit, Seeking Alpha, StockTwits): casi no existe; no hay hilos relevantes. El foro coreano de Naver (종목토론방) no se pudo leer. La prensa coreana habla de «sobrevaloración» en los picos y de la dependencia de Bloom. No hay euforia: la hubo en mayo (de 133.600 a 341.000 KRW en un mes) y se deshizo.</w:t>
      </w:r>
    </w:p>
    <w:p>
      <w:pPr>
        <w:numPr>
          <w:ilvl w:val="0"/>
          <w:numId w:val="1009"/>
        </w:numPr>
        <w:pStyle w:val="Compact"/>
      </w:pPr>
      <w:r>
        <w:rPr>
          <w:bCs/>
          <w:b/>
        </w:rPr>
        <w:t xml:space="preserve">Contraste</w:t>
      </w:r>
      <w:r>
        <w:t xml:space="preserve">: el negocio va mejor que la acción. Los pedidos baten récords, mientras el precio está un 48 % por debajo del máximo de mayo.</w:t>
      </w:r>
    </w:p>
    <w:bookmarkEnd w:id="29"/>
    <w:bookmarkStart w:id="30" w:name="riesgos-y-qué-rompería-la-tesis"/>
    <w:p>
      <w:pPr>
        <w:pStyle w:val="Heading2"/>
      </w:pPr>
      <w:r>
        <w:t xml:space="preserve">11. Riesgos y qué rompería la tesis</w:t>
      </w:r>
    </w:p>
    <w:p>
      <w:pPr>
        <w:pStyle w:val="FirstParagraph"/>
      </w:pPr>
      <w:r>
        <w:rPr>
          <w:bCs/>
          <w:b/>
        </w:rPr>
        <w:t xml:space="preserve">Alertas del motor (calc.alertas, v11) y si debilitan la señal:</w:t>
      </w:r>
      <w:r>
        <w:t xml:space="preserve"> </w:t>
      </w:r>
      <w:r>
        <w:t xml:space="preserve">1.</w:t>
      </w:r>
      <w:r>
        <w:t xml:space="preserve"> </w:t>
      </w:r>
      <w:r>
        <w:rPr>
          <w:bCs/>
          <w:b/>
        </w:rPr>
        <w:t xml:space="preserve">«Dos clientes suman el 52 % de las ventas (&gt; 40 %)».</w:t>
      </w:r>
      <w:r>
        <w:t xml:space="preserve"> </w:t>
      </w:r>
      <w:r>
        <w:t xml:space="preserve">Es la alerta que más pesa. En el primer semestre de 2026, cuatro clientes son el 89,5 % de las ventas (32,1 %, 19,9 %, 19,0 % y 18,5 %), frente al 43 % de los tres mayores en 2025 [1][2]. Sí debilita la señal. Si por esto se pesara más el escenario malo (35/50/15), la ponderada pasa a −1,4 % y la señal a Mantener. Lo atenúa que son clientes de distintos sectores (inversores solares, baterías, centros de datos) y que la cartera de pedidos cubre casi un año.</w:t>
      </w:r>
      <w:r>
        <w:t xml:space="preserve"> </w:t>
      </w:r>
      <w:r>
        <w:t xml:space="preserve">2.</w:t>
      </w:r>
      <w:r>
        <w:t xml:space="preserve"> </w:t>
      </w:r>
      <w:r>
        <w:rPr>
          <w:bCs/>
          <w:b/>
        </w:rPr>
        <w:t xml:space="preserve">«Sin guía anual de 12 meses».</w:t>
      </w:r>
      <w:r>
        <w:t xml:space="preserve"> </w:t>
      </w:r>
      <w:r>
        <w:t xml:space="preserve">La empresa solo da guía de pedidos. No debilita la señal: v11 ya recorta con las ventas del consenso, que quedan un 13 % por debajo de la proyección mecánica.</w:t>
      </w:r>
    </w:p>
    <w:p>
      <w:pPr>
        <w:pStyle w:val="BodyText"/>
      </w:pPr>
      <w:r>
        <w:rPr>
          <w:bCs/>
          <w:b/>
        </w:rPr>
        <w:t xml:space="preserve">La prueba de robustez</w:t>
      </w:r>
      <w:r>
        <w:t xml:space="preserve"> </w:t>
      </w:r>
      <w:r>
        <w:t xml:space="preserve">(</w:t>
      </w:r>
      <w:r>
        <w:rPr>
          <w:rStyle w:val="VerbatimChar"/>
        </w:rPr>
        <w:t xml:space="preserve">robustez-growth.mjs --precios</w:t>
      </w:r>
      <w:r>
        <w:t xml:space="preserve">) da</w:t>
      </w:r>
      <w:r>
        <w:t xml:space="preserve"> </w:t>
      </w:r>
      <w:r>
        <w:rPr>
          <w:bCs/>
          <w:b/>
        </w:rPr>
        <w:t xml:space="preserve">SÓLIDA: Comprar</w:t>
      </w:r>
      <w:r>
        <w:t xml:space="preserve">. Avisos: el objetivo se mueve con el precio en las valoradas por EBITDA (por eso se deja fijo); falta guía; bajista del −43 %, así que posición pequeña y en tramos; convicción baja. La única variante que cambia la señal es la de 35/50/15 (Mantener). Mi lectura: es un Comprar de borde, no sólido.</w:t>
      </w:r>
    </w:p>
    <w:p>
      <w:pPr>
        <w:pStyle w:val="BodyText"/>
      </w:pPr>
      <w:r>
        <w:rPr>
          <w:bCs/>
          <w:b/>
        </w:rPr>
        <w:t xml:space="preserve">Otros riesgos:</w:t>
      </w:r>
      <w:r>
        <w:t xml:space="preserve"> </w:t>
      </w:r>
      <w:r>
        <w:t xml:space="preserve">-</w:t>
      </w:r>
      <w:r>
        <w:t xml:space="preserve"> </w:t>
      </w:r>
      <w:r>
        <w:rPr>
          <w:bCs/>
          <w:b/>
        </w:rPr>
        <w:t xml:space="preserve">Won fuerte</w:t>
      </w:r>
      <w:r>
        <w:t xml:space="preserve">: el 90 % de las ventas se cobra en dólares o euros y los costes van en won. El 3T26 ya lo nota (Mirae: dólar −12 % frente al won en el trimestre) [6].</w:t>
      </w:r>
      <w:r>
        <w:t xml:space="preserve"> </w:t>
      </w:r>
      <w:r>
        <w:t xml:space="preserve">-</w:t>
      </w:r>
      <w:r>
        <w:t xml:space="preserve"> </w:t>
      </w:r>
      <w:r>
        <w:rPr>
          <w:bCs/>
          <w:b/>
        </w:rPr>
        <w:t xml:space="preserve">Ciclo de los centros de datos</w:t>
      </w:r>
      <w:r>
        <w:t xml:space="preserve">: los pedidos nuevos dependen de la inversión en IA. Si los grandes frenan su inversión, frenan Bloom y los pedidos.</w:t>
      </w:r>
      <w:r>
        <w:t xml:space="preserve"> </w:t>
      </w:r>
      <w:r>
        <w:t xml:space="preserve">-</w:t>
      </w:r>
      <w:r>
        <w:t xml:space="preserve"> </w:t>
      </w:r>
      <w:r>
        <w:rPr>
          <w:bCs/>
          <w:b/>
        </w:rPr>
        <w:t xml:space="preserve">Aranceles</w:t>
      </w:r>
      <w:r>
        <w:t xml:space="preserve">: EE. UU. cobra aranceles a los transformadores por su contenido de acero y aluminio. Para Corea, el acuerdo de 2025 los limita (tope del 15 % desde junio de 2026, según la prensa; no lo he confirmado en el registro oficial). De momento, Sanil mantiene márgenes del 37 %: está repercutiendo el coste.</w:t>
      </w:r>
      <w:r>
        <w:t xml:space="preserve"> </w:t>
      </w:r>
      <w:r>
        <w:t xml:space="preserve">-</w:t>
      </w:r>
      <w:r>
        <w:t xml:space="preserve"> </w:t>
      </w:r>
      <w:r>
        <w:rPr>
          <w:bCs/>
          <w:b/>
        </w:rPr>
        <w:t xml:space="preserve">Red eléctrica</w:t>
      </w:r>
      <w:r>
        <w:t xml:space="preserve">: lleva cuatro trimestres cayendo (−31 % en el 2T26). Si no vuelve en 2027, el crecimiento depende solo de los especiales.</w:t>
      </w:r>
      <w:r>
        <w:t xml:space="preserve"> </w:t>
      </w:r>
      <w:r>
        <w:t xml:space="preserve">-</w:t>
      </w:r>
      <w:r>
        <w:t xml:space="preserve"> </w:t>
      </w:r>
      <w:r>
        <w:rPr>
          <w:bCs/>
          <w:b/>
        </w:rPr>
        <w:t xml:space="preserve">Competencia</w:t>
      </w:r>
      <w:r>
        <w:t xml:space="preserve">: los grandes coreanos (LS Electric ya vende a Bloom) y las fábricas nuevas en EE. UU.</w:t>
      </w:r>
      <w:r>
        <w:t xml:space="preserve"> </w:t>
      </w:r>
      <w:r>
        <w:t xml:space="preserve">-</w:t>
      </w:r>
      <w:r>
        <w:t xml:space="preserve"> </w:t>
      </w:r>
      <w:r>
        <w:rPr>
          <w:bCs/>
          <w:b/>
        </w:rPr>
        <w:t xml:space="preserve">Riesgo de IA</w:t>
      </w:r>
      <w:r>
        <w:t xml:space="preserve">: bajo como sustituto (es un producto físico que la IA no reemplaza). Es más bien una apuesta por el ciclo de inversión en IA, con su riesgo de parón.</w:t>
      </w:r>
      <w:r>
        <w:t xml:space="preserve"> </w:t>
      </w:r>
      <w:r>
        <w:t xml:space="preserve">-</w:t>
      </w:r>
      <w:r>
        <w:t xml:space="preserve"> </w:t>
      </w:r>
      <w:r>
        <w:rPr>
          <w:bCs/>
          <w:b/>
        </w:rPr>
        <w:t xml:space="preserve">Industria física tras una gran subida</w:t>
      </w:r>
      <w:r>
        <w:t xml:space="preserve">: es justo el perfil que el filtro previo señala como fuente de errores (16 de las 24 Vender). Aquí el múltiplo no está muy por encima de su historia, pero tampoco por debajo.</w:t>
      </w:r>
    </w:p>
    <w:p>
      <w:pPr>
        <w:pStyle w:val="BodyText"/>
      </w:pPr>
      <w:r>
        <w:rPr>
          <w:bCs/>
          <w:b/>
        </w:rPr>
        <w:t xml:space="preserve">Señales de venta concretas:</w:t>
      </w:r>
      <w:r>
        <w:t xml:space="preserve"> </w:t>
      </w:r>
      <w:r>
        <w:t xml:space="preserve">dos trimestres seguidos con crecimiento por debajo del 15 %; pérdida de Bloom Energy o de uno de los cuatro grandes clientes; pedidos nuevos del semestre por debajo de las ventas (cartera menguante); margen operativo por debajo del 30 % durante dos trimestres.</w:t>
      </w:r>
    </w:p>
    <w:bookmarkEnd w:id="30"/>
    <w:bookmarkStart w:id="31" w:name="catalizadores-con-fecha"/>
    <w:p>
      <w:pPr>
        <w:pStyle w:val="Heading2"/>
      </w:pPr>
      <w:r>
        <w:t xml:space="preserve">12. Catalizadores con fecha</w:t>
      </w:r>
    </w:p>
    <w:p>
      <w:pPr>
        <w:numPr>
          <w:ilvl w:val="0"/>
          <w:numId w:val="1010"/>
        </w:numPr>
        <w:pStyle w:val="Compact"/>
      </w:pPr>
      <w:r>
        <w:t xml:space="preserve">Principios de noviembre de 2026: resultados del 3T26 (ventas esperadas de 165.100 a 176.800 M KRW según la fuente) [6][12].</w:t>
      </w:r>
    </w:p>
    <w:p>
      <w:pPr>
        <w:numPr>
          <w:ilvl w:val="0"/>
          <w:numId w:val="1010"/>
        </w:numPr>
        <w:pStyle w:val="Compact"/>
      </w:pPr>
      <w:r>
        <w:t xml:space="preserve">20-oct-2026 y 19-feb-2027: pagos de la planta nueva [5].</w:t>
      </w:r>
    </w:p>
    <w:p>
      <w:pPr>
        <w:numPr>
          <w:ilvl w:val="0"/>
          <w:numId w:val="1010"/>
        </w:numPr>
        <w:pStyle w:val="Compact"/>
      </w:pPr>
      <w:r>
        <w:t xml:space="preserve">4T26 y 1S27: nuevos pedidos de Bloom y de otros centros de datos que están en pruebas; posible nuevo cliente eléctrico en EE. UU. [11].</w:t>
      </w:r>
    </w:p>
    <w:p>
      <w:pPr>
        <w:numPr>
          <w:ilvl w:val="0"/>
          <w:numId w:val="1010"/>
        </w:numPr>
        <w:pStyle w:val="Compact"/>
      </w:pPr>
      <w:r>
        <w:t xml:space="preserve">2027: aplicación de las normas de la UE contra los inversores chinos [7].</w:t>
      </w:r>
    </w:p>
    <w:p>
      <w:pPr>
        <w:numPr>
          <w:ilvl w:val="0"/>
          <w:numId w:val="1010"/>
        </w:numPr>
        <w:pStyle w:val="Compact"/>
      </w:pPr>
      <w:r>
        <w:t xml:space="preserve">2028: arranque de los transformadores de muy alta tensión (154 kV) [11].</w:t>
      </w:r>
    </w:p>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(unos 20 %): Nu (+22 %), Axon (+35 %), Shopify (+19 %), Snowflake (+16 %) y Samsara (+17 %), al precio actual con v11. No hay liquidez libre: solo cabe sustituir.</w:t>
      </w:r>
    </w:p>
    <w:p>
      <w:pPr>
        <w:numPr>
          <w:ilvl w:val="0"/>
          <w:numId w:val="1011"/>
        </w:numPr>
        <w:pStyle w:val="Compact"/>
      </w:pPr>
      <w:r>
        <w:rPr>
          <w:bCs/>
          <w:b/>
        </w:rPr>
        <w:t xml:space="preserve">¿Sustituye a alguna? No.</w:t>
      </w:r>
      <w:r>
        <w:t xml:space="preserve"> </w:t>
      </w:r>
      <w:r>
        <w:t xml:space="preserve">La más floja es Snowflake (+16 %, convicción media). Sanil da +8,7 % al cierre (+11 % al precio de ahora) y con convicción baja. No rinde claramente más ni tiene más convicción.</w:t>
      </w:r>
    </w:p>
    <w:p>
      <w:pPr>
        <w:numPr>
          <w:ilvl w:val="0"/>
          <w:numId w:val="1011"/>
        </w:numPr>
        <w:pStyle w:val="Compact"/>
      </w:pPr>
      <w:r>
        <w:rPr>
          <w:bCs/>
          <w:b/>
        </w:rPr>
        <w:t xml:space="preserve">Puesto de suplente: 10</w:t>
      </w:r>
      <w:r>
        <w:t xml:space="preserve">, detrás de Reddit y delante de Saab. Orden: MongoDB, Toast, Zscaler, Rubrik, dLocal, Dexcom, argenx, Datadog, Reddit,</w:t>
      </w:r>
      <w:r>
        <w:t xml:space="preserve"> </w:t>
      </w:r>
      <w:r>
        <w:rPr>
          <w:bCs/>
          <w:b/>
        </w:rPr>
        <w:t xml:space="preserve">Sanil Electric</w:t>
      </w:r>
      <w:r>
        <w:t xml:space="preserve">, Saab, Natera, Ypsomed. No la pongo más arriba por la concentración de clientes (con 35/50/15 sería Mantener) y porque el filtro previo no se confirma.</w:t>
      </w:r>
    </w:p>
    <w:p>
      <w:pPr>
        <w:numPr>
          <w:ilvl w:val="0"/>
          <w:numId w:val="1011"/>
        </w:numPr>
        <w:pStyle w:val="Compact"/>
      </w:pPr>
      <w:r>
        <w:rPr>
          <w:bCs/>
          <w:b/>
        </w:rPr>
        <w:t xml:space="preserve">Qué aportaría</w:t>
      </w:r>
      <w:r>
        <w:t xml:space="preserve">: Corea y la parte física de la inversión en IA (la electricidad de los centros de datos). Alphabet sale mañana y no cuenta como exposición a IA; Snowflake es la única con tema de IA en el bolsillo. Sanil no la sustituye, pero diversificaría el tema.</w:t>
      </w:r>
    </w:p>
    <w:p>
      <w:pPr>
        <w:numPr>
          <w:ilvl w:val="0"/>
          <w:numId w:val="1011"/>
        </w:numPr>
        <w:pStyle w:val="Compact"/>
      </w:pPr>
      <w:r>
        <w:rPr>
          <w:bCs/>
          <w:b/>
        </w:rPr>
        <w:t xml:space="preserve">Si un día entra</w:t>
      </w:r>
      <w:r>
        <w:t xml:space="preserve">: 3,5 % en dos tramos, la mitad tras los resultados del 3T26 si las ventas crecen al menos un 20 % y los pedidos siguen por encima de las ventas, y siempre por debajo de 183.822 KRW.</w:t>
      </w:r>
    </w:p>
    <w:p>
      <w:pPr>
        <w:numPr>
          <w:ilvl w:val="0"/>
          <w:numId w:val="1011"/>
        </w:numPr>
        <w:pStyle w:val="Compact"/>
      </w:pPr>
      <w:r>
        <w:t xml:space="preserve">Se ajusta a las preferencias de</w:t>
      </w:r>
      <w:r>
        <w:t xml:space="preserve"> </w:t>
      </w:r>
      <w:r>
        <w:rPr>
          <w:rStyle w:val="VerbatimChar"/>
        </w:rPr>
        <w:t xml:space="preserve">MEMORIA.md</w:t>
      </w:r>
      <w:r>
        <w:t xml:space="preserve">: no es juego ni comercio minorista.</w:t>
      </w:r>
    </w:p>
    <w:p>
      <w:pPr>
        <w:pStyle w:val="FirstParagraph"/>
      </w:pPr>
      <w:r>
        <w:rPr>
          <w:bCs/>
          <w:b/>
        </w:rPr>
        <w:t xml:space="preserve">Filtro previo</w:t>
      </w:r>
      <w:r>
        <w:t xml:space="preserve"> </w:t>
      </w:r>
      <w:r>
        <w:t xml:space="preserve">(A +28 %, B 0,74, C sin datos de clientes, D 0,46), comprobado con los datos completos:</w:t>
      </w:r>
      <w:r>
        <w:t xml:space="preserve"> </w:t>
      </w:r>
      <w:r>
        <w:t xml:space="preserve">-</w:t>
      </w:r>
      <w:r>
        <w:t xml:space="preserve"> </w:t>
      </w:r>
      <w:r>
        <w:rPr>
          <w:bCs/>
          <w:b/>
        </w:rPr>
        <w:t xml:space="preserve">A, crecimiento ≥ 15 %</w:t>
      </w:r>
      <w:r>
        <w:t xml:space="preserve">: se confirma. +42 % en 12 meses y +28 % en el 2T.</w:t>
      </w:r>
      <w:r>
        <w:t xml:space="preserve"> </w:t>
      </w:r>
      <w:r>
        <w:t xml:space="preserve">-</w:t>
      </w:r>
      <w:r>
        <w:t xml:space="preserve"> </w:t>
      </w:r>
      <w:r>
        <w:rPr>
          <w:bCs/>
          <w:b/>
        </w:rPr>
        <w:t xml:space="preserve">B, EV/EBITDA ≤ 1,1 veces su mediana</w:t>
      </w:r>
      <w:r>
        <w:t xml:space="preserve">: no se confirma. Mi cálculo da unas 1,15 veces (17,2 frente a unas 15), no 0,74. Con solo dos años de cotización la mediana depende mucho del método: con el EBITDA que luego se dio sale 14,3 veces; con el que esperaba el consenso en cada momento saldría más alta. Queda en el borde.</w:t>
      </w:r>
      <w:r>
        <w:t xml:space="preserve"> </w:t>
      </w:r>
      <w:r>
        <w:t xml:space="preserve">-</w:t>
      </w:r>
      <w:r>
        <w:t xml:space="preserve"> </w:t>
      </w:r>
      <w:r>
        <w:rPr>
          <w:bCs/>
          <w:b/>
        </w:rPr>
        <w:t xml:space="preserve">C, mayor cliente ≤ 40 %</w:t>
      </w:r>
      <w:r>
        <w:t xml:space="preserve">: el mayor pesa el 32 %, así que pasa con la regla original. Con la corrección de la tanda 18 (sumar los dos mayores) son el 52 %:</w:t>
      </w:r>
      <w:r>
        <w:t xml:space="preserve"> </w:t>
      </w:r>
      <w:r>
        <w:rPr>
          <w:bCs/>
          <w:b/>
        </w:rPr>
        <w:t xml:space="preserve">no pasa</w:t>
      </w:r>
      <w:r>
        <w:t xml:space="preserve">. «No publica clientes» era falso: el informe de DART los da sin nombre.</w:t>
      </w:r>
      <w:r>
        <w:t xml:space="preserve"> </w:t>
      </w:r>
      <w:r>
        <w:t xml:space="preserve">-</w:t>
      </w:r>
      <w:r>
        <w:t xml:space="preserve"> </w:t>
      </w:r>
      <w:r>
        <w:rPr>
          <w:bCs/>
          <w:b/>
        </w:rPr>
        <w:t xml:space="preserve">D, crecimiento descontado ÷ crecimiento ≤ 0,8</w:t>
      </w:r>
      <w:r>
        <w:t xml:space="preserve">: se confirma. 18 % entre 42 % = 0,43 (0,64 con el +28 % del 2T).</w:t>
      </w:r>
    </w:p>
    <w:p>
      <w:pPr>
        <w:pStyle w:val="BodyText"/>
      </w:pPr>
      <w:r>
        <w:t xml:space="preserve">Con el dato bueno de clientes, el filtro la habría descartado, igual que a Credo en la tanda 18.</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42 % en 12 meses y 51 % a dos años, pero frena 27 puntos</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3,9 %; tecnología 3 y posición 3</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 de 8 señales</w:t>
            </w:r>
          </w:p>
        </w:tc>
      </w:tr>
      <w:tr>
        <w:tc>
          <w:tcPr/>
          <w:p>
            <w:pPr>
              <w:pStyle w:val="Compact"/>
              <w:jc w:val="left"/>
            </w:pPr>
            <w:r>
              <w:t xml:space="preserve">D. Economía unitaria</w:t>
            </w:r>
          </w:p>
        </w:tc>
        <w:tc>
          <w:tcPr/>
          <w:p>
            <w:pPr>
              <w:pStyle w:val="Compact"/>
              <w:jc w:val="left"/>
            </w:pPr>
            <w:r>
              <w:t xml:space="preserve">13,0</w:t>
            </w:r>
          </w:p>
        </w:tc>
        <w:tc>
          <w:tcPr/>
          <w:p>
            <w:pPr>
              <w:pStyle w:val="Compact"/>
              <w:jc w:val="left"/>
            </w:pPr>
            <w:r>
              <w:t xml:space="preserve">15</w:t>
            </w:r>
          </w:p>
        </w:tc>
        <w:tc>
          <w:tcPr/>
          <w:p>
            <w:pPr>
              <w:pStyle w:val="Compact"/>
              <w:jc w:val="left"/>
            </w:pPr>
            <w:r>
              <w:t xml:space="preserve">Margen bruto del 46,5 %, regla del 40 de 71, caja libre creciente</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Caja neta y dilución del 0,6 %</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Fundador con el 36 %; dos pegas menores</w:t>
            </w:r>
          </w:p>
        </w:tc>
      </w:tr>
      <w:tr>
        <w:tc>
          <w:tcPr/>
          <w:p>
            <w:pPr>
              <w:pStyle w:val="Compact"/>
              <w:jc w:val="left"/>
            </w:pPr>
            <w:r>
              <w:rPr>
                <w:bCs/>
                <w:b/>
              </w:rPr>
              <w:t xml:space="preserve">Total</w:t>
            </w:r>
          </w:p>
        </w:tc>
        <w:tc>
          <w:tcPr/>
          <w:p>
            <w:pPr>
              <w:pStyle w:val="Compact"/>
              <w:jc w:val="left"/>
            </w:pPr>
            <w:r>
              <w:rPr>
                <w:bCs/>
                <w:b/>
              </w:rPr>
              <w:t xml:space="preserve">68,5</w:t>
            </w:r>
          </w:p>
        </w:tc>
        <w:tc>
          <w:tcPr/>
          <w:p>
            <w:pPr>
              <w:pStyle w:val="Compact"/>
              <w:jc w:val="left"/>
            </w:pPr>
            <w:r>
              <w:rPr>
                <w:bCs/>
                <w:b/>
              </w:rPr>
              <w:t xml:space="preserve">100</w:t>
            </w:r>
          </w:p>
        </w:tc>
        <w:tc>
          <w:tcPr/>
          <w:p>
            <w:pPr>
              <w:pStyle w:val="Compact"/>
              <w:jc w:val="left"/>
            </w:pPr>
            <w:r>
              <w:t xml:space="preserve">Comprar (baja)</w:t>
            </w:r>
          </w:p>
        </w:tc>
      </w:tr>
    </w:tbl>
    <w:p>
      <w:pPr>
        <w:pStyle w:val="BodyText"/>
      </w:pPr>
      <w:r>
        <w:rPr>
          <w:bCs/>
          <w:b/>
        </w:rPr>
        <w:t xml:space="preserve">Mejoras de método que propone este caso</w:t>
      </w:r>
      <w:r>
        <w:t xml:space="preserve"> </w:t>
      </w:r>
      <w:r>
        <w:t xml:space="preserve">(no aplicadas):</w:t>
      </w:r>
      <w:r>
        <w:t xml:space="preserve"> </w:t>
      </w:r>
      <w:r>
        <w:t xml:space="preserve">- Que la concentración de clientes (dos &gt; 50 % o cuatro &gt; 80 %) lleve también a 35/50/15, como un producto que pesa más del 70 %. Aquí cambiaría la señal.</w:t>
      </w:r>
      <w:r>
        <w:t xml:space="preserve"> </w:t>
      </w:r>
      <w:r>
        <w:t xml:space="preserve">- En el filtro C de empresas coreanas, leer la tabla de «principales clientes» (주요 매출처) del último informe de DART, que da los pesos sin nombres.</w:t>
      </w:r>
      <w:r>
        <w:t xml:space="preserve"> </w:t>
      </w:r>
      <w:r>
        <w:t xml:space="preserve">- En el filtro B, para empresas con menos de tres años en bolsa, avisar de que la mediana es poco fiable.</w:t>
      </w:r>
      <w:r>
        <w:t xml:space="preserve"> </w:t>
      </w:r>
      <w:r>
        <w:t xml:space="preserve">- Para precios de Corea: Naver da desde septiembre un cierre que incluye la sesión de tarde del NXT (174.700 frente a 177.500 del KRX el 15-oct). El cierre oficial es el del KRX (Yahoo).</w:t>
      </w:r>
    </w:p>
    <w:bookmarkEnd w:id="33"/>
    <w:bookmarkStart w:id="34" w:name="fuentes"/>
    <w:p>
      <w:pPr>
        <w:pStyle w:val="Heading2"/>
      </w:pPr>
      <w:r>
        <w:t xml:space="preserve">Fuentes</w:t>
      </w:r>
    </w:p>
    <w:p>
      <w:pPr>
        <w:numPr>
          <w:ilvl w:val="0"/>
          <w:numId w:val="1012"/>
        </w:numPr>
        <w:pStyle w:val="Compact"/>
      </w:pPr>
      <w:r>
        <w:t xml:space="preserve">[1] Sanil Electric, informe semestral de 2026 (반기보고서), DART, 14-ago-2026 (rcpNo 20260814003544).</w:t>
      </w:r>
    </w:p>
    <w:p>
      <w:pPr>
        <w:numPr>
          <w:ilvl w:val="0"/>
          <w:numId w:val="1012"/>
        </w:numPr>
        <w:pStyle w:val="Compact"/>
      </w:pPr>
      <w:r>
        <w:t xml:space="preserve">[2] Sanil Electric, informe anual de 2025 (사업보고서, corregido), DART, 3-abr-2026 (rcpNo 20260403003697).</w:t>
      </w:r>
    </w:p>
    <w:p>
      <w:pPr>
        <w:numPr>
          <w:ilvl w:val="0"/>
          <w:numId w:val="1012"/>
        </w:numPr>
        <w:pStyle w:val="Compact"/>
      </w:pPr>
      <w:r>
        <w:t xml:space="preserve">[3] Precios: Yahoo Finance (chart API, 062040.KS; cierres del KRX; sin desdoblamientos ni acciones gratuitas, solo dividendos de 420 y 1.250 KRW) y Naver (m.stock.naver.com; cierres diarios, que coinciden con Yahoo hasta septiembre; precio del NXT a las 17:18 KST). KOSPI (^KS11) de Yahoo.</w:t>
      </w:r>
    </w:p>
    <w:p>
      <w:pPr>
        <w:numPr>
          <w:ilvl w:val="0"/>
          <w:numId w:val="1012"/>
        </w:numPr>
        <w:pStyle w:val="Compact"/>
      </w:pPr>
      <w:r>
        <w:t xml:space="preserve">[4] DART, contratos de suministro: Bloom Energy, 50.277 M KRW (30-abr-2026); BESS en Europa, 42.595 M KRW (22-jun-2026); TMEIC USA, 51.198 M KRW (20-ago-2026); BESS en EE. UU., 35.067 M KRW (6-oct-2026).</w:t>
      </w:r>
    </w:p>
    <w:p>
      <w:pPr>
        <w:numPr>
          <w:ilvl w:val="0"/>
          <w:numId w:val="1012"/>
        </w:numPr>
        <w:pStyle w:val="Compact"/>
      </w:pPr>
      <w:r>
        <w:t xml:space="preserve">[5] DART, compra de terreno y nave en Ansan por 69.250 M KRW (26-ago-2026).</w:t>
      </w:r>
    </w:p>
    <w:p>
      <w:pPr>
        <w:numPr>
          <w:ilvl w:val="0"/>
          <w:numId w:val="1012"/>
        </w:numPr>
        <w:pStyle w:val="Compact"/>
      </w:pPr>
      <w:r>
        <w:t xml:space="preserve">[6] Mirae Asset Securities, «멀리 볼수록 저평가», 15-oct-2026 (resumen de Noticias1 y Naver).</w:t>
      </w:r>
    </w:p>
    <w:p>
      <w:pPr>
        <w:numPr>
          <w:ilvl w:val="0"/>
          <w:numId w:val="1012"/>
        </w:numPr>
        <w:pStyle w:val="Compact"/>
      </w:pPr>
      <w:r>
        <w:t xml:space="preserve">[7] Korea Investment &amp; Securities vía Yonhap, 6-oct-2026.</w:t>
      </w:r>
    </w:p>
    <w:p>
      <w:pPr>
        <w:numPr>
          <w:ilvl w:val="0"/>
          <w:numId w:val="1012"/>
        </w:numPr>
        <w:pStyle w:val="Compact"/>
      </w:pPr>
      <w:r>
        <w:t xml:space="preserve">[8] Notas de resultados (영업(잠정)실적), DART: 3T25 (5-nov-2025), 4T25 (5-feb-2026) y 2T26 (7-ago-2026); informe del 3T24 y semestral de 2025 para los trimestres de 2023 y 2024.</w:t>
      </w:r>
    </w:p>
    <w:p>
      <w:pPr>
        <w:numPr>
          <w:ilvl w:val="0"/>
          <w:numId w:val="1012"/>
        </w:numPr>
        <w:pStyle w:val="Compact"/>
      </w:pPr>
      <w:r>
        <w:t xml:space="preserve">[9] Prensa coreana (Hankyung y Asiae, sep-2026): guía de pedidos de 2026 y PER de 2027 según LS Securities.</w:t>
      </w:r>
    </w:p>
    <w:p>
      <w:pPr>
        <w:numPr>
          <w:ilvl w:val="0"/>
          <w:numId w:val="1012"/>
        </w:numPr>
        <w:pStyle w:val="Compact"/>
      </w:pPr>
      <w:r>
        <w:t xml:space="preserve">[10] Yuanta Securities, «실적은 부합, 수주는 더 강하다», 7-oct-2026.</w:t>
      </w:r>
    </w:p>
    <w:p>
      <w:pPr>
        <w:numPr>
          <w:ilvl w:val="0"/>
          <w:numId w:val="1012"/>
        </w:numPr>
        <w:pStyle w:val="Compact"/>
      </w:pPr>
      <w:r>
        <w:t xml:space="preserve">[11] Shinhan Investment (11-ago-2026), Kyobo Securities (10-ago-2026) y SK Securities (10-ago-2026).</w:t>
      </w:r>
    </w:p>
    <w:p>
      <w:pPr>
        <w:numPr>
          <w:ilvl w:val="0"/>
          <w:numId w:val="1012"/>
        </w:numPr>
        <w:pStyle w:val="Compact"/>
      </w:pPr>
      <w:r>
        <w:t xml:space="preserve">[12] Naver Finance, consenso de ventas y BPA (m.stock.naver.com), 15-oct-2026.</w:t>
      </w:r>
    </w:p>
    <w:p>
      <w:pPr>
        <w:numPr>
          <w:ilvl w:val="0"/>
          <w:numId w:val="1012"/>
        </w:numPr>
        <w:pStyle w:val="Compact"/>
      </w:pPr>
      <w:r>
        <w:t xml:space="preserve">[13] DART, declaraciones de accionistas: Han Ik-hee (29-jul y 13-ago-2026) y NPS (2-oct-2026).</w:t>
      </w:r>
    </w:p>
    <w:p>
      <w:pPr>
        <w:numPr>
          <w:ilvl w:val="0"/>
          <w:numId w:val="1012"/>
        </w:numPr>
        <w:pStyle w:val="Compact"/>
      </w:pPr>
      <w:r>
        <w:t xml:space="preserve">[14] Búsqueda de foros y prensa, 15-oct-2026: Reddit y Seeking Alpha sin hilos relevantes; Seoul Shinmun y Noticias1 (caída del KOSPI); Evertiq, 13-oct-2026 (LS Electric y Bloom Energy).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2026-10-15T08:31:28Z</dcterms:created>
  <dcterms:modified xsi:type="dcterms:W3CDTF">2026-10-15T08:31:28Z</dcterms:modified>
</cp:coreProperties>
</file>

<file path=docProps/custom.xml><?xml version="1.0" encoding="utf-8"?>
<Properties xmlns="http://schemas.openxmlformats.org/officeDocument/2006/custom-properties" xmlns:vt="http://schemas.openxmlformats.org/officeDocument/2006/docPropsVTypes"/>
</file>