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b7d4ba1d5e434201a04ca61a18bd3c11899265b"/>
    <w:p>
      <w:pPr>
        <w:pStyle w:val="Heading1"/>
      </w:pPr>
      <w:r>
        <w:t xml:space="preserve">ServiceTitan (TTAN): análisis growth, 15-oct-2026</w:t>
      </w:r>
    </w:p>
    <w:p>
      <w:pPr>
        <w:pStyle w:val="FirstParagraph"/>
      </w:pPr>
      <w:r>
        <w:rPr>
          <w:bCs/>
          <w:b/>
        </w:rPr>
        <w:t xml:space="preserve">Señal (método vigente v11): Comprar (convicción baja)</w:t>
      </w:r>
      <w:r>
        <w:t xml:space="preserve"> </w:t>
      </w:r>
      <w:r>
        <w:t xml:space="preserve">· Puntuación 65,5/100 · Señales de cambio de tendencia 5/8 · EV/beneficio bruto 8,6 veces</w:t>
      </w:r>
      <w:r>
        <w:t xml:space="preserve"> </w:t>
      </w:r>
      <w:r>
        <w:t xml:space="preserve">Precio 72,69 USD (cierre del 14-oct) · Objetivo 12 m 82,4 USD · Ponderada +13,4 % · Base +9,5 % · Bajista −38,6 % · Alcista +73 % · Compra hasta 78,5 USD</w:t>
      </w:r>
      <w:r>
        <w:t xml:space="preserve"> </w:t>
      </w:r>
      <w:r>
        <w:t xml:space="preserve">Con la v9 (referencia): Comprar (baja), ponderada +18,9 %, base +16,7 %, bajista −37,6 %, compra hasta 82,3 USD</w:t>
      </w:r>
      <w:r>
        <w:t xml:space="preserve"> </w:t>
      </w:r>
      <w:r>
        <w:t xml:space="preserve">Precio actual: 72,25 USD (fuera de hora, 14-oct a las 20:50 UTC; a las 08:23 UTC del 15-oct aún no hay cruces antes de la apertura). Con el objetivo fijo, ponderada +14,0 %</w:t>
      </w:r>
      <w:r>
        <w:t xml:space="preserve"> </w:t>
      </w:r>
      <w:r>
        <w:t xml:space="preserve">Peso orientativo: 3,5 % por la regla, pero</w:t>
      </w:r>
      <w:r>
        <w:t xml:space="preserve"> </w:t>
      </w:r>
      <w:r>
        <w:rPr>
          <w:bCs/>
          <w:b/>
        </w:rPr>
        <w:t xml:space="preserve">hoy no entra</w:t>
      </w:r>
      <w:r>
        <w:t xml:space="preserve">: el bolsillo growth está lleno y no supera a ninguna de las cinco (sección 13). Queda como</w:t>
      </w:r>
      <w:r>
        <w:t xml:space="preserve"> </w:t>
      </w:r>
      <w:r>
        <w:rPr>
          <w:bCs/>
          <w:b/>
        </w:rPr>
        <w:t xml:space="preserve">sexta suplente</w:t>
      </w:r>
      <w:r>
        <w:t xml:space="preserve">.</w:t>
      </w:r>
      <w:r>
        <w:t xml:space="preserve"> </w:t>
      </w:r>
      <w:r>
        <w:t xml:space="preserve">Prueba de robustez:</w:t>
      </w:r>
      <w:r>
        <w:t xml:space="preserve"> </w:t>
      </w:r>
      <w:r>
        <w:rPr>
          <w:bCs/>
          <w:b/>
        </w:rPr>
        <w:t xml:space="preserve">SÓLIDA</w:t>
      </w:r>
      <w:r>
        <w:t xml:space="preserve">, Comprar con convicción baja y en tramos.</w:t>
      </w:r>
      <w:r>
        <w:t xml:space="preserve"> </w:t>
      </w:r>
      <w:r>
        <w:t xml:space="preserve">Filtro previo: las cuatro pruebas se confirman con los datos completos (sección 9).</w:t>
      </w:r>
    </w:p>
    <w:bookmarkStart w:id="20" w:name="la-tesis-en-cinco-líneas"/>
    <w:p>
      <w:pPr>
        <w:pStyle w:val="Heading2"/>
      </w:pPr>
      <w:r>
        <w:t xml:space="preserve">1. La tesis en cinco líneas</w:t>
      </w:r>
    </w:p>
    <w:p>
      <w:pPr>
        <w:numPr>
          <w:ilvl w:val="0"/>
          <w:numId w:val="1001"/>
        </w:numPr>
        <w:pStyle w:val="Compact"/>
      </w:pPr>
      <w:r>
        <w:t xml:space="preserve">ServiceTitan es el programa de gestión de las empresas de oficios (climatización, fontanería, electricidad, tejados, jardinería): agenda, presupuestos, cobros, marketing y ahora agentes de IA. Factura 1.065 M USD en 12 meses, crece un 23 % y ya genera caja: FCF del 11 % de las ventas.</w:t>
      </w:r>
    </w:p>
    <w:p>
      <w:pPr>
        <w:numPr>
          <w:ilvl w:val="0"/>
          <w:numId w:val="1001"/>
        </w:numPr>
        <w:pStyle w:val="Compact"/>
      </w:pPr>
      <w:r>
        <w:t xml:space="preserve">El 9 de septiembre cayó un 30 % en un día. Batió las previsiones del trimestre, pero guió el segundo semestre al 15 % porque sus clientes de climatización recibieron menos avisos en mayo y junio, y porque Max, su paquete de IA, no factura el primer trimestre de cada contrato.</w:t>
      </w:r>
    </w:p>
    <w:p>
      <w:pPr>
        <w:numPr>
          <w:ilvl w:val="0"/>
          <w:numId w:val="1001"/>
        </w:numPr>
        <w:pStyle w:val="Compact"/>
      </w:pPr>
      <w:r>
        <w:t xml:space="preserve">Tras la caída cotiza a 6,1 veces las ventas de los próximos 12 meses, un tercio por debajo de su mediana desde la salida a bolsa (9,0 veces). El precio solo exige crecer un 10 % al año durante 10 años, menos de la mitad de lo que crece hoy.</w:t>
      </w:r>
    </w:p>
    <w:p>
      <w:pPr>
        <w:numPr>
          <w:ilvl w:val="0"/>
          <w:numId w:val="1001"/>
        </w:numPr>
        <w:pStyle w:val="Compact"/>
      </w:pPr>
      <w:r>
        <w:t xml:space="preserve">La empresa ha batido su propia guía cada trimestre desde que cotiza (por unos 5 puntos de crecimiento de media) y ha subido la guía del año dos veces. Si vuelve a pasar, la guía del 15 % es prudente.</w:t>
      </w:r>
    </w:p>
    <w:p>
      <w:pPr>
        <w:numPr>
          <w:ilvl w:val="0"/>
          <w:numId w:val="1001"/>
        </w:numPr>
        <w:pStyle w:val="Compact"/>
      </w:pPr>
      <w:r>
        <w:t xml:space="preserve">La regla da Comprar con convicción baja: +13,4 %. No mejora a Snowflake, la más floja de las cinco growth de la cartera (+16 %, convicción media), así que queda de suplente, con entrada en dos tramos por debajo de 78,5 USD.</w:t>
      </w:r>
    </w:p>
    <w:bookmarkEnd w:id="20"/>
    <w:bookmarkStart w:id="21" w:name="negocio-y-tecnología"/>
    <w:p>
      <w:pPr>
        <w:pStyle w:val="Heading2"/>
      </w:pPr>
      <w:r>
        <w:t xml:space="preserve">2. Negocio y tecnología</w:t>
      </w:r>
    </w:p>
    <w:p>
      <w:pPr>
        <w:pStyle w:val="FirstParagraph"/>
      </w:pPr>
      <w:r>
        <w:t xml:space="preserve">ServiceTitan vende un sistema operativo en la nube para empresas de oficios de EE. UU. y Canadá. El contratista lo usa para recibir avisos, mandar al técnico, presupuestar en casa del cliente, cobrar, financiar la obra y hacer marketing. Sus clientes facturaron a través de la plataforma 82.100 M USD en el ejercicio 2026 (el GTV) [2].</w:t>
      </w:r>
    </w:p>
    <w:p>
      <w:pPr>
        <w:pStyle w:val="BodyText"/>
      </w:pPr>
      <w:r>
        <w:rPr>
          <w:bCs/>
          <w:b/>
        </w:rPr>
        <w:t xml:space="preserve">Cómo cobra</w:t>
      </w:r>
      <w:r>
        <w:t xml:space="preserve">, que es la clave del riesgo de IA:</w:t>
      </w:r>
      <w:r>
        <w:t xml:space="preserve"> </w:t>
      </w:r>
      <w:r>
        <w:t xml:space="preserve">-</w:t>
      </w:r>
      <w:r>
        <w:t xml:space="preserve"> </w:t>
      </w:r>
      <w:r>
        <w:rPr>
          <w:bCs/>
          <w:b/>
        </w:rPr>
        <w:t xml:space="preserve">Suscripción</w:t>
      </w:r>
      <w:r>
        <w:t xml:space="preserve"> </w:t>
      </w:r>
      <w:r>
        <w:t xml:space="preserve">(212,4 M en el trimestre, el 73 % de las ventas): el precio depende de los paquetes y del tamaño del cliente, «en general según el número de técnicos de campo» y a veces según sus clientes o sus ventas [1][3].</w:t>
      </w:r>
      <w:r>
        <w:t xml:space="preserve"> </w:t>
      </w:r>
      <w:r>
        <w:t xml:space="preserve">-</w:t>
      </w:r>
      <w:r>
        <w:t xml:space="preserve"> </w:t>
      </w:r>
      <w:r>
        <w:rPr>
          <w:bCs/>
          <w:b/>
        </w:rPr>
        <w:t xml:space="preserve">Uso</w:t>
      </w:r>
      <w:r>
        <w:t xml:space="preserve"> </w:t>
      </w:r>
      <w:r>
        <w:t xml:space="preserve">(72,1 M, el 25 %): sobre todo comisiones por los pagos con tarjeta y la financiación que cobran los contratistas a sus clientes a través de procesadores externos, más productos que se pagan por consumo (marketing, agentes virtuales). Un solo procesador externo aporta el 13 % de las ventas [1][3].</w:t>
      </w:r>
      <w:r>
        <w:t xml:space="preserve"> </w:t>
      </w:r>
      <w:r>
        <w:t xml:space="preserve">-</w:t>
      </w:r>
      <w:r>
        <w:t xml:space="preserve"> </w:t>
      </w:r>
      <w:r>
        <w:rPr>
          <w:bCs/>
          <w:b/>
        </w:rPr>
        <w:t xml:space="preserve">Servicios profesionales</w:t>
      </w:r>
      <w:r>
        <w:t xml:space="preserve"> </w:t>
      </w:r>
      <w:r>
        <w:t xml:space="preserve">(8,3 M, el 3 %): la puesta en marcha, con pérdidas.</w:t>
      </w:r>
    </w:p>
    <w:p>
      <w:pPr>
        <w:pStyle w:val="BodyText"/>
      </w:pPr>
      <w:r>
        <w:rPr>
          <w:bCs/>
          <w:b/>
        </w:rPr>
        <w:t xml:space="preserve">Lo nuevo</w:t>
      </w:r>
      <w:r>
        <w:t xml:space="preserve">:</w:t>
      </w:r>
      <w:r>
        <w:t xml:space="preserve"> </w:t>
      </w:r>
      <w:r>
        <w:rPr>
          <w:bCs/>
          <w:b/>
        </w:rPr>
        <w:t xml:space="preserve">Max</w:t>
      </w:r>
      <w:r>
        <w:t xml:space="preserve">, un paquete de agentes de IA que contesta llamadas, reserva trabajos, despacha técnicos y hace seguimiento de presupuestos. Pasó de unos 100 locales al cierre del 1T a más del doble en el 2T, y la empresa espera más de 700 al cierre del ejercicio. A la vez, ha frenado la entrada en oficios comerciales nuevos para centrar la inversión en Max [1][3][9].</w:t>
      </w:r>
    </w:p>
    <w:p>
      <w:pPr>
        <w:pStyle w:val="BodyText"/>
      </w:pPr>
      <w:r>
        <w:rPr>
          <w:bCs/>
          <w:b/>
        </w:rPr>
        <w:t xml:space="preserve">Tecnología 3/5</w:t>
      </w:r>
      <w:r>
        <w:t xml:space="preserve">: plataforma muy completa y con muchos datos (el GTV de miles de contratistas), pero hay alternativas reales (Housecall Pro, Jobber, programas de cada distribuidor).</w:t>
      </w:r>
      <w:r>
        <w:t xml:space="preserve"> </w:t>
      </w:r>
      <w:r>
        <w:rPr>
          <w:bCs/>
          <w:b/>
        </w:rPr>
        <w:t xml:space="preserve">Posición 5/5</w:t>
      </w:r>
      <w:r>
        <w:t xml:space="preserve">: líder claro entre los contratistas medianos y grandes de oficios residenciales, con clientes activos al alza (de ~9.500 a ~10.800 en un año) y retención bruta por encima del 95 % [2].</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Trimestre (ejercicio, cierre)</w:t>
            </w:r>
          </w:p>
        </w:tc>
        <w:tc>
          <w:tcPr/>
          <w:p>
            <w:pPr>
              <w:pStyle w:val="Compact"/>
              <w:jc w:val="left"/>
            </w:pPr>
            <w:r>
              <w:t xml:space="preserve">Ventas (M USD)</w:t>
            </w:r>
          </w:p>
        </w:tc>
        <w:tc>
          <w:tcPr/>
          <w:p>
            <w:pPr>
              <w:pStyle w:val="Compact"/>
              <w:jc w:val="left"/>
            </w:pPr>
            <w:r>
              <w:t xml:space="preserve">Crecimiento interanual</w:t>
            </w:r>
          </w:p>
        </w:tc>
      </w:tr>
      <w:tr>
        <w:tc>
          <w:tcPr/>
          <w:p>
            <w:pPr>
              <w:pStyle w:val="Compact"/>
              <w:jc w:val="left"/>
            </w:pPr>
            <w:r>
              <w:t xml:space="preserve">2T26 (jul-25)</w:t>
            </w:r>
          </w:p>
        </w:tc>
        <w:tc>
          <w:tcPr/>
          <w:p>
            <w:pPr>
              <w:pStyle w:val="Compact"/>
              <w:jc w:val="left"/>
            </w:pPr>
            <w:r>
              <w:t xml:space="preserve">242,1</w:t>
            </w:r>
          </w:p>
        </w:tc>
        <w:tc>
          <w:tcPr/>
          <w:p>
            <w:pPr>
              <w:pStyle w:val="Compact"/>
              <w:jc w:val="left"/>
            </w:pPr>
            <w:r>
              <w:t xml:space="preserve">25,4 %</w:t>
            </w:r>
          </w:p>
        </w:tc>
      </w:tr>
      <w:tr>
        <w:tc>
          <w:tcPr/>
          <w:p>
            <w:pPr>
              <w:pStyle w:val="Compact"/>
              <w:jc w:val="left"/>
            </w:pPr>
            <w:r>
              <w:t xml:space="preserve">3T26 (oct-25)</w:t>
            </w:r>
          </w:p>
        </w:tc>
        <w:tc>
          <w:tcPr/>
          <w:p>
            <w:pPr>
              <w:pStyle w:val="Compact"/>
              <w:jc w:val="left"/>
            </w:pPr>
            <w:r>
              <w:t xml:space="preserve">249,2</w:t>
            </w:r>
          </w:p>
        </w:tc>
        <w:tc>
          <w:tcPr/>
          <w:p>
            <w:pPr>
              <w:pStyle w:val="Compact"/>
              <w:jc w:val="left"/>
            </w:pPr>
            <w:r>
              <w:t xml:space="preserve">25,0 %</w:t>
            </w:r>
          </w:p>
        </w:tc>
      </w:tr>
      <w:tr>
        <w:tc>
          <w:tcPr/>
          <w:p>
            <w:pPr>
              <w:pStyle w:val="Compact"/>
              <w:jc w:val="left"/>
            </w:pPr>
            <w:r>
              <w:t xml:space="preserve">4T26 (ene-26)</w:t>
            </w:r>
          </w:p>
        </w:tc>
        <w:tc>
          <w:tcPr/>
          <w:p>
            <w:pPr>
              <w:pStyle w:val="Compact"/>
              <w:jc w:val="left"/>
            </w:pPr>
            <w:r>
              <w:t xml:space="preserve">254,0</w:t>
            </w:r>
          </w:p>
        </w:tc>
        <w:tc>
          <w:tcPr/>
          <w:p>
            <w:pPr>
              <w:pStyle w:val="Compact"/>
              <w:jc w:val="left"/>
            </w:pPr>
            <w:r>
              <w:t xml:space="preserve">21,4 %</w:t>
            </w:r>
          </w:p>
        </w:tc>
      </w:tr>
      <w:tr>
        <w:tc>
          <w:tcPr/>
          <w:p>
            <w:pPr>
              <w:pStyle w:val="Compact"/>
              <w:jc w:val="left"/>
            </w:pPr>
            <w:r>
              <w:t xml:space="preserve">1T27 (abr-26)</w:t>
            </w:r>
          </w:p>
        </w:tc>
        <w:tc>
          <w:tcPr/>
          <w:p>
            <w:pPr>
              <w:pStyle w:val="Compact"/>
              <w:jc w:val="left"/>
            </w:pPr>
            <w:r>
              <w:t xml:space="preserve">268,8</w:t>
            </w:r>
          </w:p>
        </w:tc>
        <w:tc>
          <w:tcPr/>
          <w:p>
            <w:pPr>
              <w:pStyle w:val="Compact"/>
              <w:jc w:val="left"/>
            </w:pPr>
            <w:r>
              <w:t xml:space="preserve">24,6 %</w:t>
            </w:r>
          </w:p>
        </w:tc>
      </w:tr>
      <w:tr>
        <w:tc>
          <w:tcPr/>
          <w:p>
            <w:pPr>
              <w:pStyle w:val="Compact"/>
              <w:jc w:val="left"/>
            </w:pPr>
            <w:r>
              <w:t xml:space="preserve">2T27 (jul-26)</w:t>
            </w:r>
          </w:p>
        </w:tc>
        <w:tc>
          <w:tcPr/>
          <w:p>
            <w:pPr>
              <w:pStyle w:val="Compact"/>
              <w:jc w:val="left"/>
            </w:pPr>
            <w:r>
              <w:t xml:space="preserve">292,8</w:t>
            </w:r>
          </w:p>
        </w:tc>
        <w:tc>
          <w:tcPr/>
          <w:p>
            <w:pPr>
              <w:pStyle w:val="Compact"/>
              <w:jc w:val="left"/>
            </w:pPr>
            <w:r>
              <w:t xml:space="preserve">20,9 %</w:t>
            </w:r>
          </w:p>
        </w:tc>
      </w:tr>
      <w:tr>
        <w:tc>
          <w:tcPr/>
          <w:p>
            <w:pPr>
              <w:pStyle w:val="Compact"/>
              <w:jc w:val="left"/>
            </w:pPr>
            <w:r>
              <w:t xml:space="preserve">Guía 3T27 (oct-26)</w:t>
            </w:r>
          </w:p>
        </w:tc>
        <w:tc>
          <w:tcPr/>
          <w:p>
            <w:pPr>
              <w:pStyle w:val="Compact"/>
              <w:jc w:val="left"/>
            </w:pPr>
            <w:r>
              <w:t xml:space="preserve">285-287</w:t>
            </w:r>
          </w:p>
        </w:tc>
        <w:tc>
          <w:tcPr/>
          <w:p>
            <w:pPr>
              <w:pStyle w:val="Compact"/>
              <w:jc w:val="left"/>
            </w:pPr>
            <w:r>
              <w:t xml:space="preserve">14,8 %</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 (cierre en enero)</w:t>
            </w:r>
          </w:p>
        </w:tc>
        <w:tc>
          <w:tcPr/>
          <w:p>
            <w:pPr>
              <w:pStyle w:val="Compact"/>
              <w:jc w:val="left"/>
            </w:pPr>
            <w:r>
              <w:t xml:space="preserve">Ventas (M USD)</w:t>
            </w:r>
          </w:p>
        </w:tc>
        <w:tc>
          <w:tcPr/>
          <w:p>
            <w:pPr>
              <w:pStyle w:val="Compact"/>
              <w:jc w:val="left"/>
            </w:pPr>
            <w:r>
              <w:t xml:space="preserve">Crecimiento</w:t>
            </w:r>
          </w:p>
        </w:tc>
      </w:tr>
      <w:tr>
        <w:tc>
          <w:tcPr/>
          <w:p>
            <w:pPr>
              <w:pStyle w:val="Compact"/>
              <w:jc w:val="left"/>
            </w:pPr>
            <w:r>
              <w:t xml:space="preserve">2024</w:t>
            </w:r>
          </w:p>
        </w:tc>
        <w:tc>
          <w:tcPr/>
          <w:p>
            <w:pPr>
              <w:pStyle w:val="Compact"/>
              <w:jc w:val="left"/>
            </w:pPr>
            <w:r>
              <w:t xml:space="preserve">614,3</w:t>
            </w:r>
          </w:p>
        </w:tc>
        <w:tc>
          <w:tcPr/>
          <w:p>
            <w:pPr>
              <w:pStyle w:val="Compact"/>
              <w:jc w:val="left"/>
            </w:pPr>
            <w:r>
              <w:t xml:space="preserve">31 %</w:t>
            </w:r>
          </w:p>
        </w:tc>
      </w:tr>
      <w:tr>
        <w:tc>
          <w:tcPr/>
          <w:p>
            <w:pPr>
              <w:pStyle w:val="Compact"/>
              <w:jc w:val="left"/>
            </w:pPr>
            <w:r>
              <w:t xml:space="preserve">2025</w:t>
            </w:r>
          </w:p>
        </w:tc>
        <w:tc>
          <w:tcPr/>
          <w:p>
            <w:pPr>
              <w:pStyle w:val="Compact"/>
              <w:jc w:val="left"/>
            </w:pPr>
            <w:r>
              <w:t xml:space="preserve">771,9</w:t>
            </w:r>
          </w:p>
        </w:tc>
        <w:tc>
          <w:tcPr/>
          <w:p>
            <w:pPr>
              <w:pStyle w:val="Compact"/>
              <w:jc w:val="left"/>
            </w:pPr>
            <w:r>
              <w:t xml:space="preserve">26 %</w:t>
            </w:r>
          </w:p>
        </w:tc>
      </w:tr>
      <w:tr>
        <w:tc>
          <w:tcPr/>
          <w:p>
            <w:pPr>
              <w:pStyle w:val="Compact"/>
              <w:jc w:val="left"/>
            </w:pPr>
            <w:r>
              <w:t xml:space="preserve">2026</w:t>
            </w:r>
          </w:p>
        </w:tc>
        <w:tc>
          <w:tcPr/>
          <w:p>
            <w:pPr>
              <w:pStyle w:val="Compact"/>
              <w:jc w:val="left"/>
            </w:pPr>
            <w:r>
              <w:t xml:space="preserve">961,0</w:t>
            </w:r>
          </w:p>
        </w:tc>
        <w:tc>
          <w:tcPr/>
          <w:p>
            <w:pPr>
              <w:pStyle w:val="Compact"/>
              <w:jc w:val="left"/>
            </w:pPr>
            <w:r>
              <w:t xml:space="preserve">24 %</w:t>
            </w:r>
          </w:p>
        </w:tc>
      </w:tr>
      <w:tr>
        <w:tc>
          <w:tcPr/>
          <w:p>
            <w:pPr>
              <w:pStyle w:val="Compact"/>
              <w:jc w:val="left"/>
            </w:pPr>
            <w:r>
              <w:t xml:space="preserve">2027, guía</w:t>
            </w:r>
          </w:p>
        </w:tc>
        <w:tc>
          <w:tcPr/>
          <w:p>
            <w:pPr>
              <w:pStyle w:val="Compact"/>
              <w:jc w:val="left"/>
            </w:pPr>
            <w:r>
              <w:t xml:space="preserve">1.141,5</w:t>
            </w:r>
          </w:p>
        </w:tc>
        <w:tc>
          <w:tcPr/>
          <w:p>
            <w:pPr>
              <w:pStyle w:val="Compact"/>
              <w:jc w:val="left"/>
            </w:pPr>
            <w:r>
              <w:t xml:space="preserve">19 %</w:t>
            </w:r>
          </w:p>
        </w:tc>
      </w:tr>
    </w:tbl>
    <w:p>
      <w:pPr>
        <w:pStyle w:val="BodyText"/>
      </w:pPr>
      <w:r>
        <w:t xml:space="preserve">Fuentes: [1][2][4].</w:t>
      </w:r>
    </w:p>
    <w:p>
      <w:pPr>
        <w:numPr>
          <w:ilvl w:val="0"/>
          <w:numId w:val="1002"/>
        </w:numPr>
        <w:pStyle w:val="Compact"/>
      </w:pPr>
      <w:r>
        <w:rPr>
          <w:bCs/>
          <w:b/>
        </w:rPr>
        <w:t xml:space="preserve">12 meses</w:t>
      </w:r>
      <w:r>
        <w:t xml:space="preserve">: +22,9 %.</w:t>
      </w:r>
      <w:r>
        <w:t xml:space="preserve"> </w:t>
      </w:r>
      <w:r>
        <w:rPr>
          <w:bCs/>
          <w:b/>
        </w:rPr>
        <w:t xml:space="preserve">CAGR a 2 años</w:t>
      </w:r>
      <w:r>
        <w:t xml:space="preserve">: +24,7 %.</w:t>
      </w:r>
      <w:r>
        <w:t xml:space="preserve"> </w:t>
      </w:r>
      <w:r>
        <w:rPr>
          <w:bCs/>
          <w:b/>
        </w:rPr>
        <w:t xml:space="preserve">Aceleración</w:t>
      </w:r>
      <w:r>
        <w:t xml:space="preserve">: −3,2 puntos (20,9 % frente a una media del 24,1 % en los cuatro trimestres anteriores).</w:t>
      </w:r>
    </w:p>
    <w:p>
      <w:pPr>
        <w:numPr>
          <w:ilvl w:val="0"/>
          <w:numId w:val="1002"/>
        </w:numPr>
        <w:pStyle w:val="Compact"/>
      </w:pPr>
      <w:r>
        <w:rPr>
          <w:bCs/>
          <w:b/>
        </w:rPr>
        <w:t xml:space="preserve">Volumen de los clientes (GTV)</w:t>
      </w:r>
      <w:r>
        <w:t xml:space="preserve">: +17 % en el 2T, frente a +23 % en el 1T. ServiceTitan cobra cada vez un poco más por cada dólar que pasa por la plataforma (1,09 % frente a 1,06 % un año antes) [9].</w:t>
      </w:r>
    </w:p>
    <w:p>
      <w:pPr>
        <w:numPr>
          <w:ilvl w:val="0"/>
          <w:numId w:val="1002"/>
        </w:numPr>
        <w:pStyle w:val="Compact"/>
      </w:pPr>
      <w:r>
        <w:rPr>
          <w:bCs/>
          <w:b/>
        </w:rPr>
        <w:t xml:space="preserve">Retención neta</w:t>
      </w:r>
      <w:r>
        <w:t xml:space="preserve">: más del 110 %, ocho trimestres seguidos (la empresa solo da el tramo) [1].</w:t>
      </w:r>
    </w:p>
    <w:p>
      <w:pPr>
        <w:numPr>
          <w:ilvl w:val="0"/>
          <w:numId w:val="1002"/>
        </w:numPr>
        <w:pStyle w:val="Compact"/>
      </w:pPr>
      <w:r>
        <w:rPr>
          <w:bCs/>
          <w:b/>
        </w:rPr>
        <w:t xml:space="preserve">Guía</w:t>
      </w:r>
      <w:r>
        <w:t xml:space="preserve">: ventas del ejercicio 1.139-1.144 M, subida dos veces este año. El segundo semestre implícito crece un 15,3 %. ServiceTitan bate su guía trimestral por 4,8 puntos de media (5,6, 4,3, 5,9 y 3,2 en los últimos cuatro trimestres). Con ese historial, el semestre acabaría cerca del 20 % [1][2].</w:t>
      </w:r>
    </w:p>
    <w:p>
      <w:pPr>
        <w:numPr>
          <w:ilvl w:val="0"/>
          <w:numId w:val="1002"/>
        </w:numPr>
        <w:pStyle w:val="Compact"/>
      </w:pPr>
      <w:r>
        <w:rPr>
          <w:bCs/>
          <w:b/>
        </w:rPr>
        <w:t xml:space="preserve">Por qué frena la guía</w:t>
      </w:r>
      <w:r>
        <w:t xml:space="preserve">: menos avisos de servicio en mayo y junio, sobre todo en climatización (una temporada de frío y calor adelantada se comió parte de la demanda), y Max, que retrasa unos 4-5 M de ingresos porque no se factura el primer trimestre del contrato [9].</w:t>
      </w:r>
    </w:p>
    <w:p>
      <w:pPr>
        <w:numPr>
          <w:ilvl w:val="0"/>
          <w:numId w:val="1002"/>
        </w:numPr>
        <w:pStyle w:val="Compact"/>
      </w:pPr>
      <w:r>
        <w:rPr>
          <w:bCs/>
          <w:b/>
        </w:rPr>
        <w:t xml:space="preserve">Compras</w:t>
      </w:r>
      <w:r>
        <w:t xml:space="preserve">: Conduit Tech (oct-2025) por 19,8 M USD, que no mueve el crecimiento 2 puntos. No hace falta separar el crecimiento orgánico; la v12 da lo mismo que la v11 [3].</w:t>
      </w:r>
    </w:p>
    <w:bookmarkEnd w:id="22"/>
    <w:bookmarkStart w:id="23" w:name="mercado-y-competencia"/>
    <w:p>
      <w:pPr>
        <w:pStyle w:val="Heading2"/>
      </w:pPr>
      <w:r>
        <w:t xml:space="preserve">4. Mercado y competencia</w:t>
      </w:r>
    </w:p>
    <w:p>
      <w:pPr>
        <w:numPr>
          <w:ilvl w:val="0"/>
          <w:numId w:val="1003"/>
        </w:numPr>
        <w:pStyle w:val="Compact"/>
      </w:pPr>
      <w:r>
        <w:rPr>
          <w:bCs/>
          <w:b/>
        </w:rPr>
        <w:t xml:space="preserve">Mercado alcanzable</w:t>
      </w:r>
      <w:r>
        <w:t xml:space="preserve">: unos 14.000 M USD en 2028. El folleto de salida a bolsa calcula 13.000 M (el 2 % de los 650.000 M que facturan los oficios que sirve hoy) y le sumo un 3 % al año [14].</w:t>
      </w:r>
      <w:r>
        <w:t xml:space="preserve"> </w:t>
      </w:r>
      <w:r>
        <w:rPr>
          <w:bCs/>
          <w:b/>
        </w:rPr>
        <w:t xml:space="preserve">Penetración</w:t>
      </w:r>
      <w:r>
        <w:t xml:space="preserve">: 7,6 %.</w:t>
      </w:r>
    </w:p>
    <w:p>
      <w:pPr>
        <w:numPr>
          <w:ilvl w:val="0"/>
          <w:numId w:val="1003"/>
        </w:numPr>
        <w:pStyle w:val="Compact"/>
      </w:pPr>
      <w:r>
        <w:rPr>
          <w:bCs/>
          <w:b/>
        </w:rPr>
        <w:t xml:space="preserve">Rivales</w:t>
      </w:r>
      <w:r>
        <w:t xml:space="preserve">: Housecall Pro y Jobber en pequeños contratistas; programas de distribuidores y fabricantes; Procore en obra comercial; y empresas nuevas de agentes de IA para atender llamadas.</w:t>
      </w:r>
    </w:p>
    <w:p>
      <w:pPr>
        <w:numPr>
          <w:ilvl w:val="0"/>
          <w:numId w:val="1003"/>
        </w:numPr>
        <w:pStyle w:val="Compact"/>
      </w:pPr>
      <w:r>
        <w:rPr>
          <w:bCs/>
          <w:b/>
        </w:rPr>
        <w:t xml:space="preserve">Por qué gana</w:t>
      </w:r>
      <w:r>
        <w:t xml:space="preserve">: es el sistema central del contratista (todo pasa por ahí, desde la llamada hasta el cobro), lo que hace caro cambiar. La retención bruta por encima del 95 % lo confirma [2].</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 Revisiones al alza</w:t>
            </w:r>
          </w:p>
        </w:tc>
        <w:tc>
          <w:tcPr/>
          <w:p>
            <w:pPr>
              <w:pStyle w:val="Compact"/>
              <w:jc w:val="left"/>
            </w:pPr>
            <w:r>
              <w:t xml:space="preserve">No</w:t>
            </w:r>
          </w:p>
        </w:tc>
        <w:tc>
          <w:tcPr/>
          <w:p>
            <w:pPr>
              <w:pStyle w:val="Compact"/>
              <w:jc w:val="left"/>
            </w:pPr>
            <w:r>
              <w:t xml:space="preserve">La guía del año sube, pero los analistas bajan el precio objetivo medio de unos 110 a 97,5 USD tras el 8-sep</w:t>
            </w:r>
          </w:p>
        </w:tc>
        <w:tc>
          <w:tcPr/>
          <w:p>
            <w:pPr>
              <w:pStyle w:val="Compact"/>
              <w:jc w:val="left"/>
            </w:pPr>
            <w:r>
              <w:t xml:space="preserve">[1][8][9][15]</w:t>
            </w:r>
          </w:p>
        </w:tc>
      </w:tr>
      <w:tr>
        <w:tc>
          <w:tcPr/>
          <w:p>
            <w:pPr>
              <w:pStyle w:val="Compact"/>
              <w:jc w:val="left"/>
            </w:pPr>
            <w:r>
              <w:t xml:space="preserve">2. Precio sobre la media de 200 sesiones</w:t>
            </w:r>
          </w:p>
        </w:tc>
        <w:tc>
          <w:tcPr/>
          <w:p>
            <w:pPr>
              <w:pStyle w:val="Compact"/>
              <w:jc w:val="left"/>
            </w:pPr>
            <w:r>
              <w:t xml:space="preserve">No</w:t>
            </w:r>
          </w:p>
        </w:tc>
        <w:tc>
          <w:tcPr/>
          <w:p>
            <w:pPr>
              <w:pStyle w:val="Compact"/>
              <w:jc w:val="left"/>
            </w:pPr>
            <w:r>
              <w:t xml:space="preserve">72,69 frente a 73,7 USD, y la media sigue bajando</w:t>
            </w:r>
          </w:p>
        </w:tc>
        <w:tc>
          <w:tcPr/>
          <w:p>
            <w:pPr>
              <w:pStyle w:val="Compact"/>
              <w:jc w:val="left"/>
            </w:pPr>
            <w:r>
              <w:t xml:space="preserve">[6]</w:t>
            </w:r>
          </w:p>
        </w:tc>
      </w:tr>
      <w:tr>
        <w:tc>
          <w:tcPr/>
          <w:p>
            <w:pPr>
              <w:pStyle w:val="Compact"/>
              <w:jc w:val="left"/>
            </w:pPr>
            <w:r>
              <w:t xml:space="preserve">3. Fuerza relativa a 6 meses</w:t>
            </w:r>
          </w:p>
        </w:tc>
        <w:tc>
          <w:tcPr/>
          <w:p>
            <w:pPr>
              <w:pStyle w:val="Compact"/>
              <w:jc w:val="left"/>
            </w:pPr>
            <w:r>
              <w:t xml:space="preserve">Sí</w:t>
            </w:r>
          </w:p>
        </w:tc>
        <w:tc>
          <w:tcPr/>
          <w:p>
            <w:pPr>
              <w:pStyle w:val="Compact"/>
              <w:jc w:val="left"/>
            </w:pPr>
            <w:r>
              <w:t xml:space="preserve">+17,4 % frente a +14,4 % del Nasdaq-100; peor que el software (IGV +29,7 %)</w:t>
            </w:r>
          </w:p>
        </w:tc>
        <w:tc>
          <w:tcPr/>
          <w:p>
            <w:pPr>
              <w:pStyle w:val="Compact"/>
              <w:jc w:val="left"/>
            </w:pPr>
            <w:r>
              <w:t xml:space="preserve">[6]</w:t>
            </w:r>
          </w:p>
        </w:tc>
      </w:tr>
      <w:tr>
        <w:tc>
          <w:tcPr/>
          <w:p>
            <w:pPr>
              <w:pStyle w:val="Compact"/>
              <w:jc w:val="left"/>
            </w:pPr>
            <w:r>
              <w:t xml:space="preserve">4. Mejora del múltiplo</w:t>
            </w:r>
          </w:p>
        </w:tc>
        <w:tc>
          <w:tcPr/>
          <w:p>
            <w:pPr>
              <w:pStyle w:val="Compact"/>
              <w:jc w:val="left"/>
            </w:pPr>
            <w:r>
              <w:t xml:space="preserve">Sí</w:t>
            </w:r>
          </w:p>
        </w:tc>
        <w:tc>
          <w:tcPr/>
          <w:p>
            <w:pPr>
              <w:pStyle w:val="Compact"/>
              <w:jc w:val="left"/>
            </w:pPr>
            <w:r>
              <w:t xml:space="preserve">De 4,4 veces (17-sep) a 6,1 veces las ventas siguientes</w:t>
            </w:r>
          </w:p>
        </w:tc>
        <w:tc>
          <w:tcPr/>
          <w:p>
            <w:pPr>
              <w:pStyle w:val="Compact"/>
              <w:jc w:val="left"/>
            </w:pPr>
            <w:r>
              <w:t xml:space="preserve">[6][12]</w:t>
            </w:r>
          </w:p>
        </w:tc>
      </w:tr>
      <w:tr>
        <w:tc>
          <w:tcPr/>
          <w:p>
            <w:pPr>
              <w:pStyle w:val="Compact"/>
              <w:jc w:val="left"/>
            </w:pPr>
            <w:r>
              <w:t xml:space="preserve">5. Inflexión operativa</w:t>
            </w:r>
          </w:p>
        </w:tc>
        <w:tc>
          <w:tcPr/>
          <w:p>
            <w:pPr>
              <w:pStyle w:val="Compact"/>
              <w:jc w:val="left"/>
            </w:pPr>
            <w:r>
              <w:t xml:space="preserve">Sí</w:t>
            </w:r>
          </w:p>
        </w:tc>
        <w:tc>
          <w:tcPr/>
          <w:p>
            <w:pPr>
              <w:pStyle w:val="Compact"/>
              <w:jc w:val="left"/>
            </w:pPr>
            <w:r>
              <w:t xml:space="preserve">Margen operativo GAAP 5 puntos mejor (−9,4 % frente a −14,4 %); FCF +47 %</w:t>
            </w:r>
          </w:p>
        </w:tc>
        <w:tc>
          <w:tcPr/>
          <w:p>
            <w:pPr>
              <w:pStyle w:val="Compact"/>
              <w:jc w:val="left"/>
            </w:pPr>
            <w:r>
              <w:t xml:space="preserve">[1]</w:t>
            </w:r>
          </w:p>
        </w:tc>
      </w:tr>
      <w:tr>
        <w:tc>
          <w:tcPr/>
          <w:p>
            <w:pPr>
              <w:pStyle w:val="Compact"/>
              <w:jc w:val="left"/>
            </w:pPr>
            <w:r>
              <w:t xml:space="preserve">6. Sentimiento mejorando</w:t>
            </w:r>
          </w:p>
        </w:tc>
        <w:tc>
          <w:tcPr/>
          <w:p>
            <w:pPr>
              <w:pStyle w:val="Compact"/>
              <w:jc w:val="left"/>
            </w:pPr>
            <w:r>
              <w:t xml:space="preserve">Sí</w:t>
            </w:r>
          </w:p>
        </w:tc>
        <w:tc>
          <w:tcPr/>
          <w:p>
            <w:pPr>
              <w:pStyle w:val="Compact"/>
              <w:jc w:val="left"/>
            </w:pPr>
            <w:r>
              <w:t xml:space="preserve">Rebota un 34 % desde el mínimo; en StockTwits 12 mensajes alcistas por 1 bajista; sin euforia (−44 % desde el máximo)</w:t>
            </w:r>
          </w:p>
        </w:tc>
        <w:tc>
          <w:tcPr/>
          <w:p>
            <w:pPr>
              <w:pStyle w:val="Compact"/>
              <w:jc w:val="left"/>
            </w:pPr>
            <w:r>
              <w:t xml:space="preserve">[10][11]</w:t>
            </w:r>
          </w:p>
        </w:tc>
      </w:tr>
      <w:tr>
        <w:tc>
          <w:tcPr/>
          <w:p>
            <w:pPr>
              <w:pStyle w:val="Compact"/>
              <w:jc w:val="left"/>
            </w:pPr>
            <w:r>
              <w:t xml:space="preserve">7. Compras de directivos o inversores de referencia</w:t>
            </w:r>
          </w:p>
        </w:tc>
        <w:tc>
          <w:tcPr/>
          <w:p>
            <w:pPr>
              <w:pStyle w:val="Compact"/>
              <w:jc w:val="left"/>
            </w:pPr>
            <w:r>
              <w:t xml:space="preserve">No</w:t>
            </w:r>
          </w:p>
        </w:tc>
        <w:tc>
          <w:tcPr/>
          <w:p>
            <w:pPr>
              <w:pStyle w:val="Compact"/>
              <w:jc w:val="left"/>
            </w:pPr>
            <w:r>
              <w:t xml:space="preserve">Ninguna compra en los Form 4 desde abril; solo ventas de cofundadores, directivos y fondos de capital riesgo</w:t>
            </w:r>
          </w:p>
        </w:tc>
        <w:tc>
          <w:tcPr/>
          <w:p>
            <w:pPr>
              <w:pStyle w:val="Compact"/>
              <w:jc w:val="left"/>
            </w:pPr>
            <w:r>
              <w:t xml:space="preserve">[5][7]</w:t>
            </w:r>
          </w:p>
        </w:tc>
      </w:tr>
      <w:tr>
        <w:tc>
          <w:tcPr/>
          <w:p>
            <w:pPr>
              <w:pStyle w:val="Compact"/>
              <w:jc w:val="left"/>
            </w:pPr>
            <w:r>
              <w:t xml:space="preserve">8. Catalizador nuevo</w:t>
            </w:r>
          </w:p>
        </w:tc>
        <w:tc>
          <w:tcPr/>
          <w:p>
            <w:pPr>
              <w:pStyle w:val="Compact"/>
              <w:jc w:val="left"/>
            </w:pPr>
            <w:r>
              <w:t xml:space="preserve">Sí</w:t>
            </w:r>
          </w:p>
        </w:tc>
        <w:tc>
          <w:tcPr/>
          <w:p>
            <w:pPr>
              <w:pStyle w:val="Compact"/>
              <w:jc w:val="left"/>
            </w:pPr>
            <w:r>
              <w:t xml:space="preserve">Resultados del 3T a principios de diciembre; Max a más de 700 locales</w:t>
            </w:r>
          </w:p>
        </w:tc>
        <w:tc>
          <w:tcPr/>
          <w:p>
            <w:pPr>
              <w:pStyle w:val="Compact"/>
              <w:jc w:val="left"/>
            </w:pPr>
            <w:r>
              <w:t xml:space="preserve">[1][9]</w:t>
            </w:r>
          </w:p>
        </w:tc>
      </w:tr>
    </w:tbl>
    <w:p>
      <w:pPr>
        <w:pStyle w:val="BodyText"/>
      </w:pPr>
      <w:r>
        <w:rPr>
          <w:bCs/>
          <w:b/>
        </w:rPr>
        <w:t xml:space="preserve">Euforia: no.</w:t>
      </w:r>
      <w:r>
        <w:t xml:space="preserve"> </w:t>
      </w:r>
      <w:r>
        <w:t xml:space="preserve">La acción ha bajado un 25 % en 12 meses y ha subido un 17 % en 6, lejos de cualquier umbral.</w:t>
      </w:r>
    </w:p>
    <w:bookmarkEnd w:id="24"/>
    <w:bookmarkStart w:id="25" w:name="X6a3ced9ea5ed5bb9ac58f5e7c1bb09ad4718b77"/>
    <w:p>
      <w:pPr>
        <w:pStyle w:val="Heading2"/>
      </w:pPr>
      <w:r>
        <w:t xml:space="preserve">6. Economía unitaria y camino a la rentabilidad</w:t>
      </w:r>
    </w:p>
    <w:p>
      <w:pPr>
        <w:numPr>
          <w:ilvl w:val="0"/>
          <w:numId w:val="1004"/>
        </w:numPr>
        <w:pStyle w:val="Compact"/>
      </w:pPr>
      <w:r>
        <w:rPr>
          <w:bCs/>
          <w:b/>
        </w:rPr>
        <w:t xml:space="preserve">Margen bruto</w:t>
      </w:r>
      <w:r>
        <w:t xml:space="preserve">: 71,1 % GAAP en 12 meses. La plataforma deja un 79 %; los servicios de puesta en marcha pierden dinero [1].</w:t>
      </w:r>
    </w:p>
    <w:p>
      <w:pPr>
        <w:numPr>
          <w:ilvl w:val="0"/>
          <w:numId w:val="1004"/>
        </w:numPr>
        <w:pStyle w:val="Compact"/>
      </w:pPr>
      <w:r>
        <w:rPr>
          <w:bCs/>
          <w:b/>
        </w:rPr>
        <w:t xml:space="preserve">Regla del 40</w:t>
      </w:r>
      <w:r>
        <w:t xml:space="preserve">: 33,6 (crecimiento del 22,9 % más margen FCF del 10,7 %). Restando los pagos en acciones, 13.</w:t>
      </w:r>
    </w:p>
    <w:p>
      <w:pPr>
        <w:numPr>
          <w:ilvl w:val="0"/>
          <w:numId w:val="1004"/>
        </w:numPr>
        <w:pStyle w:val="Compact"/>
      </w:pPr>
      <w:r>
        <w:rPr>
          <w:bCs/>
          <w:b/>
        </w:rPr>
        <w:t xml:space="preserve">FCF</w:t>
      </w:r>
      <w:r>
        <w:t xml:space="preserve">: 114 M USD en 12 meses, frente a 85 M en el ejercicio 2026 y 15 M en el 2025 [1][2].</w:t>
      </w:r>
    </w:p>
    <w:p>
      <w:pPr>
        <w:numPr>
          <w:ilvl w:val="0"/>
          <w:numId w:val="1004"/>
        </w:numPr>
        <w:pStyle w:val="Compact"/>
      </w:pPr>
      <w:r>
        <w:rPr>
          <w:bCs/>
          <w:b/>
        </w:rPr>
        <w:t xml:space="preserve">Rentabilidad contable</w:t>
      </w:r>
      <w:r>
        <w:t xml:space="preserve">: todavía pierde dinero en GAAP (−27,6 M de pérdida operativa en el 2T27) por los pagos en acciones. El beneficio operativo no GAAP es del 15 % de las ventas. Como no gana dinero de forma estable, se valora por EV/ventas.</w:t>
      </w:r>
    </w:p>
    <w:bookmarkEnd w:id="25"/>
    <w:bookmarkStart w:id="26" w:name="caja-deuda-y-dilución"/>
    <w:p>
      <w:pPr>
        <w:pStyle w:val="Heading2"/>
      </w:pPr>
      <w:r>
        <w:t xml:space="preserve">7. Caja, deuda y dilución</w:t>
      </w:r>
    </w:p>
    <w:p>
      <w:pPr>
        <w:numPr>
          <w:ilvl w:val="0"/>
          <w:numId w:val="1005"/>
        </w:numPr>
        <w:pStyle w:val="Compact"/>
      </w:pPr>
      <w:r>
        <w:rPr>
          <w:bCs/>
          <w:b/>
        </w:rPr>
        <w:t xml:space="preserve">Caja</w:t>
      </w:r>
      <w:r>
        <w:t xml:space="preserve">: 479,5 M USD.</w:t>
      </w:r>
      <w:r>
        <w:t xml:space="preserve"> </w:t>
      </w:r>
      <w:r>
        <w:rPr>
          <w:bCs/>
          <w:b/>
        </w:rPr>
        <w:t xml:space="preserve">Deuda financiera</w:t>
      </w:r>
      <w:r>
        <w:t xml:space="preserve">: ninguna; devolvió 107 M en enero y tiene una línea de crédito de 250 M sin usar [3].</w:t>
      </w:r>
    </w:p>
    <w:p>
      <w:pPr>
        <w:numPr>
          <w:ilvl w:val="0"/>
          <w:numId w:val="1005"/>
        </w:numPr>
        <w:pStyle w:val="Compact"/>
      </w:pPr>
      <w:r>
        <w:rPr>
          <w:bCs/>
          <w:b/>
        </w:rPr>
        <w:t xml:space="preserve">Pista de caja</w:t>
      </w:r>
      <w:r>
        <w:t xml:space="preserve">: no aplica, genera caja.</w:t>
      </w:r>
    </w:p>
    <w:p>
      <w:pPr>
        <w:numPr>
          <w:ilvl w:val="0"/>
          <w:numId w:val="1005"/>
        </w:numPr>
        <w:pStyle w:val="Compact"/>
      </w:pPr>
      <w:r>
        <w:rPr>
          <w:bCs/>
          <w:b/>
        </w:rPr>
        <w:t xml:space="preserve">Acciones</w:t>
      </w:r>
      <w:r>
        <w:t xml:space="preserve">: 96,5 M en circulación más 11,9 M de opciones y RSU = 108,3 M. No cuento las RSU de los cofundadores, que solo se consolidan si la acción supera entre 140 y 440 USD [3].</w:t>
      </w:r>
    </w:p>
    <w:p>
      <w:pPr>
        <w:numPr>
          <w:ilvl w:val="0"/>
          <w:numId w:val="1005"/>
        </w:numPr>
        <w:pStyle w:val="Compact"/>
      </w:pPr>
      <w:r>
        <w:rPr>
          <w:bCs/>
          <w:b/>
        </w:rPr>
        <w:t xml:space="preserve">Dilución</w:t>
      </w:r>
      <w:r>
        <w:t xml:space="preserve">: +4,6 % en un año (acciones medias del 2T27 frente al 2T26).</w:t>
      </w:r>
    </w:p>
    <w:p>
      <w:pPr>
        <w:numPr>
          <w:ilvl w:val="0"/>
          <w:numId w:val="1005"/>
        </w:numPr>
        <w:pStyle w:val="Compact"/>
      </w:pPr>
      <w:r>
        <w:rPr>
          <w:bCs/>
          <w:b/>
        </w:rPr>
        <w:t xml:space="preserve">Pagos en acciones: 20,6 % de las ventas, en rojo.</w:t>
      </w:r>
      <w:r>
        <w:t xml:space="preserve"> </w:t>
      </w:r>
      <w:r>
        <w:t xml:space="preserve">Son 219 M USD en 12 meses, casi el doble del FCF.</w:t>
      </w:r>
    </w:p>
    <w:bookmarkEnd w:id="26"/>
    <w:bookmarkStart w:id="27" w:name="dirección-y-ejecución"/>
    <w:p>
      <w:pPr>
        <w:pStyle w:val="Heading2"/>
      </w:pPr>
      <w:r>
        <w:t xml:space="preserve">8. Dirección y ejecución</w:t>
      </w:r>
    </w:p>
    <w:p>
      <w:pPr>
        <w:numPr>
          <w:ilvl w:val="0"/>
          <w:numId w:val="1006"/>
        </w:numPr>
        <w:pStyle w:val="Compact"/>
      </w:pPr>
      <w:r>
        <w:rPr>
          <w:bCs/>
          <w:b/>
        </w:rPr>
        <w:t xml:space="preserve">Historial 5/5</w:t>
      </w:r>
      <w:r>
        <w:t xml:space="preserve">: ha batido la guía de ventas en los siete trimestres que lleva en bolsa y ha subido la guía del año en cada informe.</w:t>
      </w:r>
    </w:p>
    <w:p>
      <w:pPr>
        <w:numPr>
          <w:ilvl w:val="0"/>
          <w:numId w:val="1006"/>
        </w:numPr>
        <w:pStyle w:val="Compact"/>
      </w:pPr>
      <w:r>
        <w:rPr>
          <w:bCs/>
          <w:b/>
        </w:rPr>
        <w:t xml:space="preserve">Dirección 3/5</w:t>
      </w:r>
      <w:r>
        <w:t xml:space="preserve">: los cofundadores Ara Mahdessian (consejero delegado) y Vahe Kuzoyan (presidente) la fundaron y la dirigen y controlan el voto con acciones clase B. En contra: venden con regularidad (unos 24 M USD entre los dos en julio y agosto), los pagos en acciones son altos, el plan de acciones de los cofundadores es enorme y cambió el director comercial el mismo día de la mala guía [3][5][9].</w:t>
      </w:r>
    </w:p>
    <w:bookmarkEnd w:id="27"/>
    <w:bookmarkStart w:id="28" w:name="valoración"/>
    <w:p>
      <w:pPr>
        <w:pStyle w:val="Heading2"/>
      </w:pPr>
      <w:r>
        <w:t xml:space="preserve">9. Valoración</w:t>
      </w:r>
    </w:p>
    <w:p>
      <w:pPr>
        <w:pStyle w:val="FirstParagraph"/>
      </w:pPr>
      <w:r>
        <w:rPr>
          <w:bCs/>
          <w:b/>
        </w:rPr>
        <w:t xml:space="preserve">Múltiplo</w:t>
      </w:r>
      <w:r>
        <w:t xml:space="preserve">: EV de 7.393 M USD sobre unas ventas de los próximos 12 meses de 1.216 M (guía del 3T, el 4T implícito y el consenso para el 1S del ejercicio 2028) =</w:t>
      </w:r>
      <w:r>
        <w:t xml:space="preserve"> </w:t>
      </w:r>
      <w:r>
        <w:rPr>
          <w:bCs/>
          <w:b/>
        </w:rPr>
        <w:t xml:space="preserve">6,1 veces</w:t>
      </w:r>
      <w:r>
        <w:t xml:space="preserve">.</w:t>
      </w:r>
      <w:r>
        <w:t xml:space="preserve"> </w:t>
      </w:r>
      <w:r>
        <w:rPr>
          <w:bCs/>
          <w:b/>
        </w:rPr>
        <w:t xml:space="preserve">Frente a su historia</w:t>
      </w:r>
      <w:r>
        <w:t xml:space="preserve">: la mediana desde la salida a bolsa (dic-2024) es de 9,0 veces, así que hoy cotiza un tercio por debajo; el mínimo fue de 4,4 veces el 17 de septiembre. Comparables: unas 5,8 veces de mediana (Procore 5,0; AppFolio 5,8; Samsara 10,6) [12][13].</w:t>
      </w:r>
    </w:p>
    <w:p>
      <w:pPr>
        <w:pStyle w:val="BodyText"/>
      </w:pPr>
      <w:r>
        <w:rPr>
          <w:bCs/>
          <w:b/>
        </w:rPr>
        <w:t xml:space="preserve">Ventas del año objetivo</w:t>
      </w:r>
      <w:r>
        <w:t xml:space="preserve"> </w:t>
      </w:r>
      <w:r>
        <w:t xml:space="preserve">(ago-2027 a jul-2028): la regla mecánica parte del 20,1 % (guía más lo que suele batirla) y llega a 1.497 M en el base. Mi proyección está en línea con el consenso: 1.250 M en el bajista, 1.400 M en el base y 1.530 M en el alcista. El consenso de esa ventana ronda los 1.400 M (extrapolado del consenso del ejercicio 2028, 1.310 M) [8][15]. La v11 toma la menor en cada escenario, que es la mía.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Ventas (M USD)</w:t>
            </w:r>
          </w:p>
        </w:tc>
        <w:tc>
          <w:tcPr/>
          <w:p>
            <w:pPr>
              <w:pStyle w:val="Compact"/>
              <w:jc w:val="left"/>
            </w:pPr>
            <w:r>
              <w:t xml:space="preserve">Múltiplo</w:t>
            </w:r>
          </w:p>
        </w:tc>
        <w:tc>
          <w:tcPr/>
          <w:p>
            <w:pPr>
              <w:pStyle w:val="Compact"/>
              <w:jc w:val="left"/>
            </w:pPr>
            <w:r>
              <w:t xml:space="preserve">Precio (USD)</w:t>
            </w:r>
          </w:p>
        </w:tc>
        <w:tc>
          <w:tcPr/>
          <w:p>
            <w:pPr>
              <w:pStyle w:val="Compact"/>
              <w:jc w:val="left"/>
            </w:pPr>
            <w:r>
              <w:t xml:space="preserve">Rentabilidad</w:t>
            </w:r>
          </w:p>
        </w:tc>
        <w:tc>
          <w:tcPr/>
          <w:p>
            <w:pPr>
              <w:pStyle w:val="Compact"/>
              <w:jc w:val="left"/>
            </w:pPr>
            <w:r>
              <w:t xml:space="preserve">Probabilidad</w:t>
            </w:r>
          </w:p>
        </w:tc>
      </w:tr>
      <w:tr>
        <w:tc>
          <w:tcPr/>
          <w:p>
            <w:pPr>
              <w:pStyle w:val="Compact"/>
              <w:jc w:val="left"/>
            </w:pPr>
            <w:r>
              <w:t xml:space="preserve">Bajista</w:t>
            </w:r>
          </w:p>
        </w:tc>
        <w:tc>
          <w:tcPr/>
          <w:p>
            <w:pPr>
              <w:pStyle w:val="Compact"/>
              <w:jc w:val="left"/>
            </w:pPr>
            <w:r>
              <w:t xml:space="preserve">1.250</w:t>
            </w:r>
          </w:p>
        </w:tc>
        <w:tc>
          <w:tcPr/>
          <w:p>
            <w:pPr>
              <w:pStyle w:val="Compact"/>
              <w:jc w:val="left"/>
            </w:pPr>
            <w:r>
              <w:t xml:space="preserve">3,7</w:t>
            </w:r>
          </w:p>
        </w:tc>
        <w:tc>
          <w:tcPr/>
          <w:p>
            <w:pPr>
              <w:pStyle w:val="Compact"/>
              <w:jc w:val="left"/>
            </w:pPr>
            <w:r>
              <w:t xml:space="preserve">44,6</w:t>
            </w:r>
          </w:p>
        </w:tc>
        <w:tc>
          <w:tcPr/>
          <w:p>
            <w:pPr>
              <w:pStyle w:val="Compact"/>
              <w:jc w:val="left"/>
            </w:pPr>
            <w:r>
              <w:t xml:space="preserve">−38,6 %</w:t>
            </w:r>
          </w:p>
        </w:tc>
        <w:tc>
          <w:tcPr/>
          <w:p>
            <w:pPr>
              <w:pStyle w:val="Compact"/>
              <w:jc w:val="left"/>
            </w:pPr>
            <w:r>
              <w:t xml:space="preserve">25 %</w:t>
            </w:r>
          </w:p>
        </w:tc>
      </w:tr>
      <w:tr>
        <w:tc>
          <w:tcPr/>
          <w:p>
            <w:pPr>
              <w:pStyle w:val="Compact"/>
              <w:jc w:val="left"/>
            </w:pPr>
            <w:r>
              <w:t xml:space="preserve">Base</w:t>
            </w:r>
          </w:p>
        </w:tc>
        <w:tc>
          <w:tcPr/>
          <w:p>
            <w:pPr>
              <w:pStyle w:val="Compact"/>
              <w:jc w:val="left"/>
            </w:pPr>
            <w:r>
              <w:t xml:space="preserve">1.400</w:t>
            </w:r>
          </w:p>
        </w:tc>
        <w:tc>
          <w:tcPr/>
          <w:p>
            <w:pPr>
              <w:pStyle w:val="Compact"/>
              <w:jc w:val="left"/>
            </w:pPr>
            <w:r>
              <w:t xml:space="preserve">6,1</w:t>
            </w:r>
          </w:p>
        </w:tc>
        <w:tc>
          <w:tcPr/>
          <w:p>
            <w:pPr>
              <w:pStyle w:val="Compact"/>
              <w:jc w:val="left"/>
            </w:pPr>
            <w:r>
              <w:t xml:space="preserve">79,6</w:t>
            </w:r>
          </w:p>
        </w:tc>
        <w:tc>
          <w:tcPr/>
          <w:p>
            <w:pPr>
              <w:pStyle w:val="Compact"/>
              <w:jc w:val="left"/>
            </w:pPr>
            <w:r>
              <w:t xml:space="preserve">+9,5 %</w:t>
            </w:r>
          </w:p>
        </w:tc>
        <w:tc>
          <w:tcPr/>
          <w:p>
            <w:pPr>
              <w:pStyle w:val="Compact"/>
              <w:jc w:val="left"/>
            </w:pPr>
            <w:r>
              <w:t xml:space="preserve">50 %</w:t>
            </w:r>
          </w:p>
        </w:tc>
      </w:tr>
      <w:tr>
        <w:tc>
          <w:tcPr/>
          <w:p>
            <w:pPr>
              <w:pStyle w:val="Compact"/>
              <w:jc w:val="left"/>
            </w:pPr>
            <w:r>
              <w:t xml:space="preserve">Alcista</w:t>
            </w:r>
          </w:p>
        </w:tc>
        <w:tc>
          <w:tcPr/>
          <w:p>
            <w:pPr>
              <w:pStyle w:val="Compact"/>
              <w:jc w:val="left"/>
            </w:pPr>
            <w:r>
              <w:t xml:space="preserve">1.530</w:t>
            </w:r>
          </w:p>
        </w:tc>
        <w:tc>
          <w:tcPr/>
          <w:p>
            <w:pPr>
              <w:pStyle w:val="Compact"/>
              <w:jc w:val="left"/>
            </w:pPr>
            <w:r>
              <w:t xml:space="preserve">9,0</w:t>
            </w:r>
          </w:p>
        </w:tc>
        <w:tc>
          <w:tcPr/>
          <w:p>
            <w:pPr>
              <w:pStyle w:val="Compact"/>
              <w:jc w:val="left"/>
            </w:pPr>
            <w:r>
              <w:t xml:space="preserve">125,8</w:t>
            </w:r>
          </w:p>
        </w:tc>
        <w:tc>
          <w:tcPr/>
          <w:p>
            <w:pPr>
              <w:pStyle w:val="Compact"/>
              <w:jc w:val="left"/>
            </w:pPr>
            <w:r>
              <w:t xml:space="preserve">+73 %</w:t>
            </w:r>
          </w:p>
        </w:tc>
        <w:tc>
          <w:tcPr/>
          <w:p>
            <w:pPr>
              <w:pStyle w:val="Compact"/>
              <w:jc w:val="left"/>
            </w:pPr>
            <w:r>
              <w:t xml:space="preserve">25 %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82,4</w:t>
            </w:r>
          </w:p>
        </w:tc>
        <w:tc>
          <w:tcPr/>
          <w:p>
            <w:pPr>
              <w:pStyle w:val="Compact"/>
              <w:jc w:val="left"/>
            </w:pPr>
            <w:r>
              <w:rPr>
                <w:bCs/>
                <w:b/>
              </w:rPr>
              <w:t xml:space="preserve">+13,4 %</w:t>
            </w:r>
          </w:p>
        </w:tc>
        <w:tc>
          <w:tcPr/>
          <w:p>
            <w:pPr>
              <w:pStyle w:val="Compact"/>
            </w:pPr>
          </w:p>
        </w:tc>
      </w:tr>
    </w:tbl>
    <w:p>
      <w:pPr>
        <w:numPr>
          <w:ilvl w:val="0"/>
          <w:numId w:val="1007"/>
        </w:numPr>
        <w:pStyle w:val="Compact"/>
      </w:pPr>
      <w:r>
        <w:rPr>
          <w:bCs/>
          <w:b/>
        </w:rPr>
        <w:t xml:space="preserve">Asimetría</w:t>
      </w:r>
      <w:r>
        <w:t xml:space="preserve">: 1,9.</w:t>
      </w:r>
      <w:r>
        <w:t xml:space="preserve"> </w:t>
      </w:r>
      <w:r>
        <w:rPr>
          <w:bCs/>
          <w:b/>
        </w:rPr>
        <w:t xml:space="preserve">Compra hasta</w:t>
      </w:r>
      <w:r>
        <w:t xml:space="preserve">: 78,5 USD.</w:t>
      </w:r>
    </w:p>
    <w:p>
      <w:pPr>
        <w:numPr>
          <w:ilvl w:val="0"/>
          <w:numId w:val="1007"/>
        </w:numPr>
        <w:pStyle w:val="Compact"/>
      </w:pPr>
      <w:r>
        <w:rPr>
          <w:bCs/>
          <w:b/>
        </w:rPr>
        <w:t xml:space="preserve">Con la v9</w:t>
      </w:r>
      <w:r>
        <w:t xml:space="preserve"> </w:t>
      </w:r>
      <w:r>
        <w:t xml:space="preserve">(sin el tope de mi proyección): ponderada +18,9 %, base +16,7 % y compra hasta 82,3 USD. La diferencia sale de que la v9 proyecta 1.497 M en el base, un 7 % por encima del consenso.</w:t>
      </w:r>
    </w:p>
    <w:p>
      <w:pPr>
        <w:numPr>
          <w:ilvl w:val="0"/>
          <w:numId w:val="1007"/>
        </w:numPr>
        <w:pStyle w:val="Compact"/>
      </w:pPr>
      <w:r>
        <w:rPr>
          <w:bCs/>
          <w:b/>
        </w:rPr>
        <w:t xml:space="preserve">Consenso</w:t>
      </w:r>
      <w:r>
        <w:t xml:space="preserve">: precio objetivo medio de 97,5 USD (17 analistas, S&amp;P Global), por encima de mi objetivo.</w:t>
      </w:r>
    </w:p>
    <w:p>
      <w:pPr>
        <w:numPr>
          <w:ilvl w:val="0"/>
          <w:numId w:val="1007"/>
        </w:numPr>
        <w:pStyle w:val="Compact"/>
      </w:pPr>
      <w:r>
        <w:rPr>
          <w:bCs/>
          <w:b/>
        </w:rPr>
        <w:t xml:space="preserve">DCF inverso</w:t>
      </w:r>
      <w:r>
        <w:t xml:space="preserve">: el precio descuenta crecer un 10 % al año durante 10 años, con un margen FCF maduro del 28 %, descuento del 10 % y crecimiento perpetuo del 3 %.</w:t>
      </w:r>
    </w:p>
    <w:p>
      <w:pPr>
        <w:numPr>
          <w:ilvl w:val="0"/>
          <w:numId w:val="1007"/>
        </w:numPr>
        <w:pStyle w:val="Compact"/>
      </w:pPr>
      <w:r>
        <w:rPr>
          <w:bCs/>
          <w:b/>
        </w:rPr>
        <w:t xml:space="preserve">Filtro previo, confirmado con los datos completos</w:t>
      </w:r>
      <w:r>
        <w:t xml:space="preserve">: A) crecimiento del 22,9 %, pasa (≥ 15 %); B) no aplica, no es rentable de forma estable; C) el mayor peso es el de un procesador de pagos, el 13 % de las ventas, y no es un cliente final; ningún cliente supera el 10 %, pasa (≤ 40 %); D) el crecimiento descontado es 0,44 veces el actual, pasa (≤ 0,8).</w:t>
      </w:r>
    </w:p>
    <w:bookmarkEnd w:id="28"/>
    <w:bookmarkStart w:id="29" w:name="foros-y-sentimiento"/>
    <w:p>
      <w:pPr>
        <w:pStyle w:val="Heading2"/>
      </w:pPr>
      <w:r>
        <w:t xml:space="preserve">10. Foros y sentimiento</w:t>
      </w:r>
    </w:p>
    <w:p>
      <w:pPr>
        <w:numPr>
          <w:ilvl w:val="0"/>
          <w:numId w:val="1008"/>
        </w:numPr>
        <w:pStyle w:val="Compact"/>
      </w:pPr>
      <w:r>
        <w:rPr>
          <w:bCs/>
          <w:b/>
        </w:rPr>
        <w:t xml:space="preserve">StockTwits</w:t>
      </w:r>
      <w:r>
        <w:t xml:space="preserve"> </w:t>
      </w:r>
      <w:r>
        <w:t xml:space="preserve">(15-oct): 12 mensajes alcistas y 1 bajista de 30. Mucho operador de corto plazo («80 la próxima parada», «compré a 55»), bromas sobre la comunidad armenia (los cofundadores son de origen armenio y la empresa tiene un gran centro en Ereván) y poco análisis [10].</w:t>
      </w:r>
    </w:p>
    <w:p>
      <w:pPr>
        <w:numPr>
          <w:ilvl w:val="0"/>
          <w:numId w:val="1008"/>
        </w:numPr>
        <w:pStyle w:val="Compact"/>
      </w:pPr>
      <w:r>
        <w:rPr>
          <w:bCs/>
          <w:b/>
        </w:rPr>
        <w:t xml:space="preserve">Prensa y análisis</w:t>
      </w:r>
      <w:r>
        <w:t xml:space="preserve"> </w:t>
      </w:r>
      <w:r>
        <w:t xml:space="preserve">(sep-oct): la caída se explicó por la guía del semestre, el menor volumen en climatización y el cambio de director comercial. SaaStr destaca que el modelo por uso absorbió la caída de volumen y que Max crea un «valle» de ingresos temporal. Josh Brown (CNBC) sigue largo [9][11].</w:t>
      </w:r>
    </w:p>
    <w:p>
      <w:pPr>
        <w:numPr>
          <w:ilvl w:val="0"/>
          <w:numId w:val="1008"/>
        </w:numPr>
        <w:pStyle w:val="Compact"/>
      </w:pPr>
      <w:r>
        <w:rPr>
          <w:bCs/>
          <w:b/>
        </w:rPr>
        <w:t xml:space="preserve">Reddit</w:t>
      </w:r>
      <w:r>
        <w:t xml:space="preserve">: no accesible desde aquí (laguna).</w:t>
      </w:r>
      <w:r>
        <w:t xml:space="preserve"> </w:t>
      </w:r>
      <w:r>
        <w:rPr>
          <w:bCs/>
          <w:b/>
        </w:rPr>
        <w:t xml:space="preserve">En castellano</w:t>
      </w:r>
      <w:r>
        <w:t xml:space="preserve">: nada relevante en Rankia; Investing.com solo recoge la caída.</w:t>
      </w:r>
    </w:p>
    <w:p>
      <w:pPr>
        <w:numPr>
          <w:ilvl w:val="0"/>
          <w:numId w:val="1008"/>
        </w:numPr>
        <w:pStyle w:val="Compact"/>
      </w:pPr>
      <w:r>
        <w:rPr>
          <w:bCs/>
          <w:b/>
        </w:rPr>
        <w:t xml:space="preserve">Lectura</w:t>
      </w:r>
      <w:r>
        <w:t xml:space="preserve">: el sentimiento tocó fondo a mediados de septiembre y mejora sin euforia: la acción sigue un 44 % por debajo de su máximo y los analistas han bajado objetivos. Los datos acompañan solo en parte: la guía del año sube, pero el semestre frena.</w:t>
      </w:r>
    </w:p>
    <w:bookmarkEnd w:id="29"/>
    <w:bookmarkStart w:id="30" w:name="riesgos-y-qué-rompería-la-tesis"/>
    <w:p>
      <w:pPr>
        <w:pStyle w:val="Heading2"/>
      </w:pPr>
      <w:r>
        <w:t xml:space="preserve">11. Riesgos y qué rompería la tesis</w:t>
      </w:r>
    </w:p>
    <w:p>
      <w:pPr>
        <w:pStyle w:val="FirstParagraph"/>
      </w:pPr>
      <w:r>
        <w:rPr>
          <w:bCs/>
          <w:b/>
        </w:rPr>
        <w:t xml:space="preserve">Alertas del método (v11)</w:t>
      </w:r>
      <w:r>
        <w:t xml:space="preserve">:</w:t>
      </w:r>
      <w:r>
        <w:t xml:space="preserve"> </w:t>
      </w:r>
      <w:r>
        <w:t xml:space="preserve">1.</w:t>
      </w:r>
      <w:r>
        <w:t xml:space="preserve"> </w:t>
      </w:r>
      <w:r>
        <w:rPr>
          <w:bCs/>
          <w:b/>
        </w:rPr>
        <w:t xml:space="preserve">Pagos en acciones del 20,6 % de las ventas</w:t>
      </w:r>
      <w:r>
        <w:t xml:space="preserve">: restándolos, la regla del 40 baja a 13 y la puntuación a 63,5, todavía por encima del listón de 60; la señal no cambia. Debilita la calidad del FCF: buena parte de la caja se paga con acciones nuevas. Es la única alerta.</w:t>
      </w:r>
    </w:p>
    <w:p>
      <w:pPr>
        <w:pStyle w:val="BodyText"/>
      </w:pPr>
      <w:r>
        <w:rPr>
          <w:bCs/>
          <w:b/>
        </w:rPr>
        <w:t xml:space="preserve">Lo que más pesa en contra de la señal</w:t>
      </w:r>
      <w:r>
        <w:t xml:space="preserve">:</w:t>
      </w:r>
      <w:r>
        <w:t xml:space="preserve"> </w:t>
      </w:r>
      <w:r>
        <w:t xml:space="preserve">-</w:t>
      </w:r>
      <w:r>
        <w:t xml:space="preserve"> </w:t>
      </w:r>
      <w:r>
        <w:rPr>
          <w:bCs/>
          <w:b/>
        </w:rPr>
        <w:t xml:space="preserve">Con probabilidades 35/50/15</w:t>
      </w:r>
      <w:r>
        <w:t xml:space="preserve"> </w:t>
      </w:r>
      <w:r>
        <w:t xml:space="preserve">(prueba de robustez), la ponderada baja al 2,2 % y pasa a Mantener. No le toca por el método (no depende de un producto ni de una decisión regulatoria), pero el ciclo de la vivienda hace el bajista más probable de lo normal. El margen es estrecho.</w:t>
      </w:r>
      <w:r>
        <w:t xml:space="preserve"> </w:t>
      </w:r>
      <w:r>
        <w:t xml:space="preserve">-</w:t>
      </w:r>
      <w:r>
        <w:t xml:space="preserve"> </w:t>
      </w:r>
      <w:r>
        <w:rPr>
          <w:bCs/>
          <w:b/>
        </w:rPr>
        <w:t xml:space="preserve">Puntuación justa</w:t>
      </w:r>
      <w:r>
        <w:t xml:space="preserve">: 65,5, a 5,5 puntos del listón de compra.</w:t>
      </w:r>
    </w:p>
    <w:p>
      <w:pPr>
        <w:pStyle w:val="BodyText"/>
      </w:pPr>
      <w:r>
        <w:rPr>
          <w:bCs/>
          <w:b/>
        </w:rPr>
        <w:t xml:space="preserve">Riesgo de IA: medio, con datos.</w:t>
      </w:r>
      <w:r>
        <w:t xml:space="preserve"> </w:t>
      </w:r>
      <w:r>
        <w:t xml:space="preserve">-</w:t>
      </w:r>
      <w:r>
        <w:t xml:space="preserve"> </w:t>
      </w:r>
      <w:r>
        <w:rPr>
          <w:bCs/>
          <w:b/>
        </w:rPr>
        <w:t xml:space="preserve">A favor</w:t>
      </w:r>
      <w:r>
        <w:t xml:space="preserve">: cobra sobre todo por técnico de campo, y la IA no sustituye al fontanero ni al técnico de climatización, que hacen trabajo físico y escasean. Lo que la IA reduce es personal de oficina (recepción y despacho), que pesa menos en su precio. Además, una cuarta parte de las ventas (uso) va ligada al volumen facturado, no a puestos, y Max se cuenta por local, no por usuario (su precio no es público) [1][3][9].</w:t>
      </w:r>
      <w:r>
        <w:t xml:space="preserve"> </w:t>
      </w:r>
      <w:r>
        <w:t xml:space="preserve">-</w:t>
      </w:r>
      <w:r>
        <w:t xml:space="preserve"> </w:t>
      </w:r>
      <w:r>
        <w:rPr>
          <w:bCs/>
          <w:b/>
        </w:rPr>
        <w:t xml:space="preserve">En contra</w:t>
      </w:r>
      <w:r>
        <w:t xml:space="preserve">: si los agentes de IA permiten a un contratista crecer con menos personal de oficina, ServiceTitan pierde algunas licencias de oficina; empresas nuevas de agentes de IA atacan la parte más visible (atender llamadas y reservar) con precios más bajos; y Max aún factura poco y retrasa ingresos. La empresa gasta un 38 % más en I+D para defenderse [1][9].</w:t>
      </w:r>
      <w:r>
        <w:t xml:space="preserve"> </w:t>
      </w:r>
      <w:r>
        <w:t xml:space="preserve">-</w:t>
      </w:r>
      <w:r>
        <w:t xml:space="preserve"> </w:t>
      </w:r>
      <w:r>
        <w:rPr>
          <w:bCs/>
          <w:b/>
        </w:rPr>
        <w:t xml:space="preserve">Lectura</w:t>
      </w:r>
      <w:r>
        <w:t xml:space="preserve">: el riesgo de que la IA vacíe su modelo es bajo; el de que la transición le cueste crecimiento uno o dos años es real, y ya está en la guía.</w:t>
      </w:r>
    </w:p>
    <w:p>
      <w:pPr>
        <w:pStyle w:val="BodyText"/>
      </w:pPr>
      <w:r>
        <w:rPr>
          <w:bCs/>
          <w:b/>
        </w:rPr>
        <w:t xml:space="preserve">Dependencia del ciclo de vivienda y reformas en EE. UU.</w:t>
      </w:r>
      <w:r>
        <w:t xml:space="preserve">: el volumen de sus clientes frenó del 23 % al 17 % en un trimestre, sobre todo en climatización. La mayor parte es reparación y sustitución (necesaria), pero las obras grandes dependen de los tipos de interés y de la confianza del consumidor. Una recesión en vivienda bajaría primero los ingresos por uso.</w:t>
      </w:r>
    </w:p>
    <w:p>
      <w:pPr>
        <w:pStyle w:val="BodyText"/>
      </w:pPr>
      <w:r>
        <w:rPr>
          <w:bCs/>
          <w:b/>
        </w:rPr>
        <w:t xml:space="preserve">Peso de los pagos</w:t>
      </w:r>
      <w:r>
        <w:t xml:space="preserve">: los ingresos por uso son el 25 % de las ventas y un solo procesador aporta el 13 %. Si ese socio cambia las condiciones o se va, habría que sustituirlo; los contratos no son exclusivos [3]. La comisión por cada dólar de volumen sube (1,09 % frente a 1,06 %), así que hoy no hay presión de precios.</w:t>
      </w:r>
    </w:p>
    <w:p>
      <w:pPr>
        <w:pStyle w:val="BodyText"/>
      </w:pPr>
      <w:r>
        <w:rPr>
          <w:bCs/>
          <w:b/>
        </w:rPr>
        <w:t xml:space="preserve">Señales de venta concretas</w:t>
      </w:r>
      <w:r>
        <w:t xml:space="preserve">: ventas del 3T por debajo de 285 M (sería la primera vez que no bate); guía del ejercicio 2028 por debajo del 12 %; dos trimestres seguidos con el GTV creciendo menos del 12 %; retención neta por debajo del 110 %; o una ponderada de −10 % o peor con el objetivo de este informe (precio por encima de unos 91,5 USD).</w:t>
      </w:r>
    </w:p>
    <w:bookmarkEnd w:id="30"/>
    <w:bookmarkStart w:id="31" w:name="catalizadores-con-fecha"/>
    <w:p>
      <w:pPr>
        <w:pStyle w:val="Heading2"/>
      </w:pPr>
      <w:r>
        <w:t xml:space="preserve">12. Catalizadores con fecha</w:t>
      </w:r>
    </w:p>
    <w:p>
      <w:pPr>
        <w:numPr>
          <w:ilvl w:val="0"/>
          <w:numId w:val="1009"/>
        </w:numPr>
        <w:pStyle w:val="Compact"/>
      </w:pPr>
      <w:r>
        <w:rPr>
          <w:bCs/>
          <w:b/>
        </w:rPr>
        <w:t xml:space="preserve">Principios de diciembre de 2026</w:t>
      </w:r>
      <w:r>
        <w:t xml:space="preserve"> </w:t>
      </w:r>
      <w:r>
        <w:t xml:space="preserve">(estimada; el año pasado, 4-dic): resultados del 3T27. Lo que hay que mirar: si bate la guía del 15 %, el GTV y los locales con Max.</w:t>
      </w:r>
    </w:p>
    <w:p>
      <w:pPr>
        <w:numPr>
          <w:ilvl w:val="0"/>
          <w:numId w:val="1009"/>
        </w:numPr>
        <w:pStyle w:val="Compact"/>
      </w:pPr>
      <w:r>
        <w:rPr>
          <w:bCs/>
          <w:b/>
        </w:rPr>
        <w:t xml:space="preserve">Marzo de 2027</w:t>
      </w:r>
      <w:r>
        <w:t xml:space="preserve">: resultados del año y primera guía del ejercicio 2028.</w:t>
      </w:r>
    </w:p>
    <w:p>
      <w:pPr>
        <w:numPr>
          <w:ilvl w:val="0"/>
          <w:numId w:val="1009"/>
        </w:numPr>
        <w:pStyle w:val="Compact"/>
      </w:pPr>
      <w:r>
        <w:rPr>
          <w:bCs/>
          <w:b/>
        </w:rPr>
        <w:t xml:space="preserve">Sin fecha</w:t>
      </w:r>
      <w:r>
        <w:t xml:space="preserve">: más de 700 locales con Max al cierre del ejercicio; vuelta del crecimiento en climatización con la temporada.</w:t>
      </w:r>
    </w:p>
    <w:bookmarkEnd w:id="31"/>
    <w:bookmarkStart w:id="32" w:name="encaje-en-cartera"/>
    <w:p>
      <w:pPr>
        <w:pStyle w:val="Heading2"/>
      </w:pPr>
      <w:r>
        <w:t xml:space="preserve">13. Encaje en cartera</w:t>
      </w:r>
    </w:p>
    <w:p>
      <w:pPr>
        <w:numPr>
          <w:ilvl w:val="0"/>
          <w:numId w:val="1010"/>
        </w:numPr>
        <w:pStyle w:val="Compact"/>
      </w:pPr>
      <w:r>
        <w:rPr>
          <w:bCs/>
          <w:b/>
        </w:rPr>
        <w:t xml:space="preserve">Bolsillo growth lleno</w:t>
      </w:r>
      <w:r>
        <w:t xml:space="preserve"> </w:t>
      </w:r>
      <w:r>
        <w:t xml:space="preserve">(~20 %): Nu +22 %, Axon +35 %, Shopify +19 %, Snowflake +16 % y Samsara +17 % (ponderada al precio actual con la v11). Sin liquidez libre: solo cabe sustituir.</w:t>
      </w:r>
    </w:p>
    <w:p>
      <w:pPr>
        <w:numPr>
          <w:ilvl w:val="0"/>
          <w:numId w:val="1010"/>
        </w:numPr>
        <w:pStyle w:val="Compact"/>
      </w:pPr>
      <w:r>
        <w:rPr>
          <w:bCs/>
          <w:b/>
        </w:rPr>
        <w:t xml:space="preserve">¿Sustituye a alguna?</w:t>
      </w:r>
      <w:r>
        <w:t xml:space="preserve"> </w:t>
      </w:r>
      <w:r>
        <w:t xml:space="preserve">No. ServiceTitan da +13,4 % al cierre y +14,0 % al precio de fuera de hora, con convicción baja. La más floja de la cartera, Snowflake, da +16 % con convicción media. Rinde menos y con menos convicción.</w:t>
      </w:r>
    </w:p>
    <w:p>
      <w:pPr>
        <w:numPr>
          <w:ilvl w:val="0"/>
          <w:numId w:val="1010"/>
        </w:numPr>
        <w:pStyle w:val="Compact"/>
      </w:pPr>
      <w:r>
        <w:rPr>
          <w:bCs/>
          <w:b/>
        </w:rPr>
        <w:t xml:space="preserve">Exposición a IA</w:t>
      </w:r>
      <w:r>
        <w:t xml:space="preserve">: Alphabet se vende mañana y no cuenta. ServiceTitan sería una apuesta de IA aplicada a un oficio físico, distinta de Snowflake (datos) y de Samsara (sensores). Añadiría algo nuevo a la cartera: el ciclo de la vivienda en EE. UU.</w:t>
      </w:r>
    </w:p>
    <w:p>
      <w:pPr>
        <w:numPr>
          <w:ilvl w:val="0"/>
          <w:numId w:val="1010"/>
        </w:numPr>
        <w:pStyle w:val="Compact"/>
      </w:pPr>
      <w:r>
        <w:rPr>
          <w:bCs/>
          <w:b/>
        </w:rPr>
        <w:t xml:space="preserve">Puesto de suplente: sexta.</w:t>
      </w:r>
      <w:r>
        <w:t xml:space="preserve"> </w:t>
      </w:r>
      <w:r>
        <w:t xml:space="preserve">Orden: MongoDB, Toast, Zscaler, Rubrik, dLocal,</w:t>
      </w:r>
      <w:r>
        <w:t xml:space="preserve"> </w:t>
      </w:r>
      <w:r>
        <w:rPr>
          <w:bCs/>
          <w:b/>
        </w:rPr>
        <w:t xml:space="preserve">ServiceTitan</w:t>
      </w:r>
      <w:r>
        <w:t xml:space="preserve">, Dexcom, argenx, Datadog, Reddit, Saab, Natera e Ypsomed. Va detrás de dLocal, que da más (+16 %) aunque su señal es frágil, y delante de Dexcom (+13 %), que pasaría a Mantener con la v14 por depender de un solo sistema. Toast, por delante, tiene un perfil parecido (programa vertical con pagos para pequeños negocios); tener las dos sumaría el mismo riesgo de consumo en EE. UU.</w:t>
      </w:r>
    </w:p>
    <w:p>
      <w:pPr>
        <w:numPr>
          <w:ilvl w:val="0"/>
          <w:numId w:val="1010"/>
        </w:numPr>
        <w:pStyle w:val="Compact"/>
      </w:pPr>
      <w:r>
        <w:rPr>
          <w:bCs/>
          <w:b/>
        </w:rPr>
        <w:t xml:space="preserve">Si entra</w:t>
      </w:r>
      <w:r>
        <w:t xml:space="preserve">: 3,5 % en dos tramos, la mitad por debajo de 78,5 USD y la otra mitad tras los resultados del 3T, si bate la guía y el GTV vuelve a crecer al menos un 15 %.</w:t>
      </w:r>
    </w:p>
    <w:bookmarkEnd w:id="32"/>
    <w:bookmarkStart w:id="33" w:name="puntuación"/>
    <w:p>
      <w:pPr>
        <w:pStyle w:val="Heading2"/>
      </w:pPr>
      <w:r>
        <w:t xml:space="preserve">14. Puntuación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r>
      <w:tr>
        <w:tc>
          <w:tcPr/>
          <w:p>
            <w:pPr>
              <w:pStyle w:val="Compact"/>
              <w:jc w:val="left"/>
            </w:pPr>
            <w:r>
              <w:t xml:space="preserve">A. Crecimiento</w:t>
            </w:r>
          </w:p>
        </w:tc>
        <w:tc>
          <w:tcPr/>
          <w:p>
            <w:pPr>
              <w:pStyle w:val="Compact"/>
              <w:jc w:val="left"/>
            </w:pPr>
            <w:r>
              <w:t xml:space="preserve">13,3</w:t>
            </w:r>
          </w:p>
        </w:tc>
        <w:tc>
          <w:tcPr/>
          <w:p>
            <w:pPr>
              <w:pStyle w:val="Compact"/>
              <w:jc w:val="left"/>
            </w:pPr>
            <w:r>
              <w:t xml:space="preserve">25</w:t>
            </w:r>
          </w:p>
        </w:tc>
      </w:tr>
      <w:tr>
        <w:tc>
          <w:tcPr/>
          <w:p>
            <w:pPr>
              <w:pStyle w:val="Compact"/>
              <w:jc w:val="left"/>
            </w:pPr>
            <w:r>
              <w:t xml:space="preserve">B. Mercado y tecnología</w:t>
            </w:r>
          </w:p>
        </w:tc>
        <w:tc>
          <w:tcPr/>
          <w:p>
            <w:pPr>
              <w:pStyle w:val="Compact"/>
              <w:jc w:val="left"/>
            </w:pPr>
            <w:r>
              <w:t xml:space="preserve">14,7</w:t>
            </w:r>
          </w:p>
        </w:tc>
        <w:tc>
          <w:tcPr/>
          <w:p>
            <w:pPr>
              <w:pStyle w:val="Compact"/>
              <w:jc w:val="left"/>
            </w:pPr>
            <w:r>
              <w:t xml:space="preserve">20</w:t>
            </w:r>
          </w:p>
        </w:tc>
      </w:tr>
      <w:tr>
        <w:tc>
          <w:tcPr/>
          <w:p>
            <w:pPr>
              <w:pStyle w:val="Compact"/>
              <w:jc w:val="left"/>
            </w:pPr>
            <w:r>
              <w:t xml:space="preserve">C. Cambio de tendencia</w:t>
            </w:r>
          </w:p>
        </w:tc>
        <w:tc>
          <w:tcPr/>
          <w:p>
            <w:pPr>
              <w:pStyle w:val="Compact"/>
              <w:jc w:val="left"/>
            </w:pPr>
            <w:r>
              <w:t xml:space="preserve">12,5</w:t>
            </w:r>
          </w:p>
        </w:tc>
        <w:tc>
          <w:tcPr/>
          <w:p>
            <w:pPr>
              <w:pStyle w:val="Compact"/>
              <w:jc w:val="left"/>
            </w:pPr>
            <w:r>
              <w:t xml:space="preserve">20</w:t>
            </w:r>
          </w:p>
        </w:tc>
      </w:tr>
      <w:tr>
        <w:tc>
          <w:tcPr/>
          <w:p>
            <w:pPr>
              <w:pStyle w:val="Compact"/>
              <w:jc w:val="left"/>
            </w:pPr>
            <w:r>
              <w:t xml:space="preserve">D. Economía unitaria</w:t>
            </w:r>
          </w:p>
        </w:tc>
        <w:tc>
          <w:tcPr/>
          <w:p>
            <w:pPr>
              <w:pStyle w:val="Compact"/>
              <w:jc w:val="left"/>
            </w:pPr>
            <w:r>
              <w:t xml:space="preserve">11</w:t>
            </w:r>
          </w:p>
        </w:tc>
        <w:tc>
          <w:tcPr/>
          <w:p>
            <w:pPr>
              <w:pStyle w:val="Compact"/>
              <w:jc w:val="left"/>
            </w:pPr>
            <w:r>
              <w:t xml:space="preserve">15</w:t>
            </w:r>
          </w:p>
        </w:tc>
      </w:tr>
      <w:tr>
        <w:tc>
          <w:tcPr/>
          <w:p>
            <w:pPr>
              <w:pStyle w:val="Compact"/>
              <w:jc w:val="left"/>
            </w:pPr>
            <w:r>
              <w:t xml:space="preserve">E. Caja y dilución</w:t>
            </w:r>
          </w:p>
        </w:tc>
        <w:tc>
          <w:tcPr/>
          <w:p>
            <w:pPr>
              <w:pStyle w:val="Compact"/>
              <w:jc w:val="left"/>
            </w:pPr>
            <w:r>
              <w:t xml:space="preserve">6</w:t>
            </w:r>
          </w:p>
        </w:tc>
        <w:tc>
          <w:tcPr/>
          <w:p>
            <w:pPr>
              <w:pStyle w:val="Compact"/>
              <w:jc w:val="left"/>
            </w:pPr>
            <w:r>
              <w:t xml:space="preserve">10</w:t>
            </w:r>
          </w:p>
        </w:tc>
      </w:tr>
      <w:tr>
        <w:tc>
          <w:tcPr/>
          <w:p>
            <w:pPr>
              <w:pStyle w:val="Compact"/>
              <w:jc w:val="left"/>
            </w:pPr>
            <w:r>
              <w:t xml:space="preserve">F. Ejecución y dirección</w:t>
            </w:r>
          </w:p>
        </w:tc>
        <w:tc>
          <w:tcPr/>
          <w:p>
            <w:pPr>
              <w:pStyle w:val="Compact"/>
              <w:jc w:val="left"/>
            </w:pPr>
            <w:r>
              <w:t xml:space="preserve">8</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65,5</w:t>
            </w:r>
          </w:p>
        </w:tc>
        <w:tc>
          <w:tcPr/>
          <w:p>
            <w:pPr>
              <w:pStyle w:val="Compact"/>
              <w:jc w:val="left"/>
            </w:pPr>
            <w:r>
              <w:rPr>
                <w:bCs/>
                <w:b/>
              </w:rPr>
              <w:t xml:space="preserve">100</w:t>
            </w:r>
          </w:p>
        </w:tc>
      </w:tr>
    </w:tbl>
    <w:p>
      <w:pPr>
        <w:pStyle w:val="BodyText"/>
      </w:pPr>
      <w:r>
        <w:rPr>
          <w:bCs/>
          <w:b/>
        </w:rPr>
        <w:t xml:space="preserve">Prueba de robustez</w:t>
      </w:r>
      <w:r>
        <w:t xml:space="preserve"> </w:t>
      </w:r>
      <w:r>
        <w:t xml:space="preserve">(</w:t>
      </w:r>
      <w:r>
        <w:rPr>
          <w:rStyle w:val="VerbatimChar"/>
        </w:rPr>
        <w:t xml:space="preserve">herramientas/robustez-growth.mjs --precios</w:t>
      </w:r>
      <w:r>
        <w:t xml:space="preserve">):</w:t>
      </w:r>
      <w:r>
        <w:t xml:space="preserve"> </w:t>
      </w:r>
      <w:r>
        <w:rPr>
          <w:bCs/>
          <w:b/>
        </w:rPr>
        <w:t xml:space="preserve">SÓLIDA</w:t>
      </w:r>
      <w:r>
        <w:t xml:space="preserve">, Comprar. Avisos: el objetivo se mueve con el precio si se recalcula (por eso se deja fijo en 82,4 USD y el límite es 78,5 USD); convicción baja, así que peso del 3,5 % y en tramos. Variantes: la v7 da +24,6 %, y con 35/50/15 pasa a Mantener (+2,2 %).</w:t>
      </w:r>
    </w:p>
    <w:p>
      <w:pPr>
        <w:pStyle w:val="BodyText"/>
      </w:pPr>
      <w:r>
        <w:rPr>
          <w:bCs/>
          <w:b/>
        </w:rPr>
        <w:t xml:space="preserve">Versiones candidatas</w:t>
      </w:r>
      <w:r>
        <w:t xml:space="preserve">: la v12 (crecimiento orgánico) y la v14 (probabilidades automáticas, dilución prevista) dan lo mismo que la v11: Comprar (baja), +13,4 %, compra hasta 78,5 USD. No hay compras relevantes, ni un producto que pese más del 70 %, ni decisiones regulatorias abiertas, ni ampliaciones de capital.</w:t>
      </w:r>
    </w:p>
    <w:p>
      <w:pPr>
        <w:pStyle w:val="BodyText"/>
      </w:pPr>
      <w:r>
        <w:rPr>
          <w:bCs/>
          <w:b/>
        </w:rPr>
        <w:t xml:space="preserve">Mejora de método propuesta</w:t>
      </w:r>
      <w:r>
        <w:t xml:space="preserve">: la señal 3 compara con el Nasdaq-100, pero aquí el software (IGV) subió el doble que la acción. Propongo probar en el backtest exigir que la fuerza relativa también bata al índice de su sector. Con esa regla, ServiceTitan tendría 4 señales en vez de 5 y la puntuación bajaría a 63.</w:t>
      </w:r>
    </w:p>
    <w:bookmarkEnd w:id="33"/>
    <w:bookmarkStart w:id="34" w:name="fuentes"/>
    <w:p>
      <w:pPr>
        <w:pStyle w:val="Heading2"/>
      </w:pPr>
      <w:r>
        <w:t xml:space="preserve">Fuentes</w:t>
      </w:r>
    </w:p>
    <w:p>
      <w:pPr>
        <w:numPr>
          <w:ilvl w:val="0"/>
          <w:numId w:val="1011"/>
        </w:numPr>
        <w:pStyle w:val="Compact"/>
      </w:pPr>
      <w:r>
        <w:t xml:space="preserve">ServiceTitan, nota de resultados del 2T del ejercicio 2027 (8-sep-2026), 8-K ex. 99.1, SEC.</w:t>
      </w:r>
    </w:p>
    <w:p>
      <w:pPr>
        <w:numPr>
          <w:ilvl w:val="0"/>
          <w:numId w:val="1011"/>
        </w:numPr>
        <w:pStyle w:val="Compact"/>
      </w:pPr>
      <w:r>
        <w:t xml:space="preserve">ServiceTitan, notas de resultados del 1T27 (4-jun-2026), 4T26 y año (12-mar-2026), 3T26 (4-dic-2025), 2T26 (4-sep-2025), 1T26 (5-jun-2025) y 4T25 (13-mar-2025), 8-K ex. 99.1, SEC.</w:t>
      </w:r>
    </w:p>
    <w:p>
      <w:pPr>
        <w:numPr>
          <w:ilvl w:val="0"/>
          <w:numId w:val="1011"/>
        </w:numPr>
        <w:pStyle w:val="Compact"/>
      </w:pPr>
      <w:r>
        <w:t xml:space="preserve">ServiceTitan, 10-Q del 2T27 (8-sep-2026), SEC: acciones, opciones y RSU, concentración del procesador de pagos, cómo se fija el precio, compra de Conduit, línea de crédito y obligaciones pendientes.</w:t>
      </w:r>
    </w:p>
    <w:p>
      <w:pPr>
        <w:numPr>
          <w:ilvl w:val="0"/>
          <w:numId w:val="1011"/>
        </w:numPr>
        <w:pStyle w:val="Compact"/>
      </w:pPr>
      <w:r>
        <w:t xml:space="preserve">SEC XBRL companyfacts (CIK 1638826): series trimestrales de 2023 a 2026.</w:t>
      </w:r>
    </w:p>
    <w:p>
      <w:pPr>
        <w:numPr>
          <w:ilvl w:val="0"/>
          <w:numId w:val="1011"/>
        </w:numPr>
        <w:pStyle w:val="Compact"/>
      </w:pPr>
      <w:r>
        <w:t xml:space="preserve">SEC, Form 4 de TTAN de abril a octubre de 2026.</w:t>
      </w:r>
    </w:p>
    <w:p>
      <w:pPr>
        <w:numPr>
          <w:ilvl w:val="0"/>
          <w:numId w:val="1011"/>
        </w:numPr>
        <w:pStyle w:val="Compact"/>
      </w:pPr>
      <w:r>
        <w:t xml:space="preserve">Yahoo Finance chart API (TTAN, QQQ e IGV), leída el 15-oct a las 08:18 UTC; segunda fuente del cierre: StockAnalysis.</w:t>
      </w:r>
    </w:p>
    <w:p>
      <w:pPr>
        <w:numPr>
          <w:ilvl w:val="0"/>
          <w:numId w:val="1011"/>
        </w:numPr>
        <w:pStyle w:val="Compact"/>
      </w:pPr>
      <w:r>
        <w:t xml:space="preserve">MarketBeat e InsiderTrades, operaciones de directivos y de ICONIQ (2026).</w:t>
      </w:r>
    </w:p>
    <w:p>
      <w:pPr>
        <w:numPr>
          <w:ilvl w:val="0"/>
          <w:numId w:val="1011"/>
        </w:numPr>
        <w:pStyle w:val="Compact"/>
      </w:pPr>
      <w:r>
        <w:t xml:space="preserve">StockAnalysis (S&amp;P Global), precios objetivo, recomendaciones y consenso de ventas (14-oct-2026).</w:t>
      </w:r>
    </w:p>
    <w:p>
      <w:pPr>
        <w:numPr>
          <w:ilvl w:val="0"/>
          <w:numId w:val="1011"/>
        </w:numPr>
        <w:pStyle w:val="Compact"/>
      </w:pPr>
      <w:r>
        <w:t xml:space="preserve">SaaStr, Motley Fool, Parameter y EBC sobre los resultados del 2T27 y la caída del 9-sep (sep-2026).</w:t>
      </w:r>
    </w:p>
    <w:p>
      <w:pPr>
        <w:numPr>
          <w:ilvl w:val="0"/>
          <w:numId w:val="1011"/>
        </w:numPr>
        <w:pStyle w:val="Compact"/>
      </w:pPr>
      <w:r>
        <w:t xml:space="preserve">StockTwits (API pública, 15-oct-2026); Investing.com en castellano.</w:t>
      </w:r>
    </w:p>
    <w:p>
      <w:pPr>
        <w:numPr>
          <w:ilvl w:val="0"/>
          <w:numId w:val="1011"/>
        </w:numPr>
        <w:pStyle w:val="Compact"/>
      </w:pPr>
      <w:r>
        <w:t xml:space="preserve">CNBC Power Lunch (7-oct-2026), citado en StockTwits.</w:t>
      </w:r>
    </w:p>
    <w:p>
      <w:pPr>
        <w:numPr>
          <w:ilvl w:val="0"/>
          <w:numId w:val="1011"/>
        </w:numPr>
        <w:pStyle w:val="Compact"/>
      </w:pPr>
      <w:r>
        <w:t xml:space="preserve">Cálculo propio del EV y del EV/ventas de los 12 meses siguientes, diario desde diciembre de 2024.</w:t>
      </w:r>
    </w:p>
    <w:p>
      <w:pPr>
        <w:numPr>
          <w:ilvl w:val="0"/>
          <w:numId w:val="1011"/>
        </w:numPr>
        <w:pStyle w:val="Compact"/>
      </w:pPr>
      <w:r>
        <w:t xml:space="preserve">Comparables: StockAnalysis (cierre del 14-oct) e informe growth de Samsara del 14-oct.</w:t>
      </w:r>
    </w:p>
    <w:p>
      <w:pPr>
        <w:numPr>
          <w:ilvl w:val="0"/>
          <w:numId w:val="1011"/>
        </w:numPr>
        <w:pStyle w:val="Compact"/>
      </w:pPr>
      <w:r>
        <w:t xml:space="preserve">ServiceTitan, folleto S-1 (nov-2024), SEC: mercado alcanzable.</w:t>
      </w:r>
    </w:p>
    <w:p>
      <w:pPr>
        <w:numPr>
          <w:ilvl w:val="0"/>
          <w:numId w:val="1011"/>
        </w:numPr>
        <w:pStyle w:val="Compact"/>
      </w:pPr>
      <w:r>
        <w:t xml:space="preserve">Extrapolado o de memoria, sin verificar en esta sesión: consenso de ventas de la ventana objetivo y precio objetivo medio antes del 8-sep.</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2026-10-15T08:31:34Z</dcterms:created>
  <dcterms:modified xsi:type="dcterms:W3CDTF">2026-10-15T08:31:34Z</dcterms:modified>
</cp:coreProperties>
</file>

<file path=docProps/custom.xml><?xml version="1.0" encoding="utf-8"?>
<Properties xmlns="http://schemas.openxmlformats.org/officeDocument/2006/custom-properties" xmlns:vt="http://schemas.openxmlformats.org/officeDocument/2006/docPropsVTypes"/>
</file>