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sezzle-sezl-análisis-growth-15-oct-2026"/>
    <w:p>
      <w:pPr>
        <w:pStyle w:val="Heading1"/>
      </w:pPr>
      <w:r>
        <w:t xml:space="preserve">Sezzle (SEZL): análisis growth, 15-oct-2026</w:t>
      </w:r>
    </w:p>
    <w:p>
      <w:pPr>
        <w:pStyle w:val="FirstParagraph"/>
      </w:pPr>
      <w:r>
        <w:rPr>
          <w:bCs/>
          <w:b/>
        </w:rPr>
        <w:t xml:space="preserve">Señal: Comprar (convicción media)</w:t>
      </w:r>
      <w:r>
        <w:t xml:space="preserve"> </w:t>
      </w:r>
      <w:r>
        <w:t xml:space="preserve">· Puntuación 77,5/100 · Señales de cambio de tendencia 5/8</w:t>
      </w:r>
      <w:r>
        <w:t xml:space="preserve"> </w:t>
      </w:r>
      <w:r>
        <w:t xml:space="preserve">Precio 123,11 USD (cierre del 14-oct) · Objetivo 12 m 134,2 USD (ponderada +9,0 %, base +10,6 %, bajista −41,3 %, alcista +56,3 %) · Compra hasta 127,8 USD</w:t>
      </w:r>
      <w:r>
        <w:t xml:space="preserve"> </w:t>
      </w:r>
      <w:r>
        <w:t xml:space="preserve">Método v11 (vigente). Con v9 al lado: Comprar (media), ponderada +60,9 %, base +65,2 %, bajista −32,7 %, compra hasta 188,6 USD (v9 proyecta las ventas a mano alzada desde el pasado; v11 usa las del informe, que son las de la empresa y el consenso).</w:t>
      </w:r>
      <w:r>
        <w:t xml:space="preserve"> </w:t>
      </w:r>
      <w:r>
        <w:t xml:space="preserve">Al precio de ahora (122,70 USD, preapertura del 15-oct a las 08:00 UTC) y con el objetivo fijo: +9,4 %.</w:t>
      </w:r>
      <w:r>
        <w:t xml:space="preserve"> </w:t>
      </w:r>
      <w:r>
        <w:t xml:space="preserve">Peso orientativo: 4 % por la regla, pero</w:t>
      </w:r>
      <w:r>
        <w:t xml:space="preserve"> </w:t>
      </w:r>
      <w:r>
        <w:rPr>
          <w:bCs/>
          <w:b/>
        </w:rPr>
        <w:t xml:space="preserve">no entra</w:t>
      </w:r>
      <w:r>
        <w:t xml:space="preserve">: el bolsillo growth está lleno y rinde menos que la más floja de las cinco (Snowflake, +16 %). Queda de suplente, en el puesto 11.</w:t>
      </w:r>
    </w:p>
    <w:bookmarkStart w:id="20" w:name="la-tesis-en-cinco-líneas"/>
    <w:p>
      <w:pPr>
        <w:pStyle w:val="Heading2"/>
      </w:pPr>
      <w:r>
        <w:t xml:space="preserve">1. La tesis en cinco líneas</w:t>
      </w:r>
    </w:p>
    <w:p>
      <w:pPr>
        <w:numPr>
          <w:ilvl w:val="0"/>
          <w:numId w:val="1001"/>
        </w:numPr>
        <w:pStyle w:val="Compact"/>
      </w:pPr>
      <w:r>
        <w:t xml:space="preserve">Sezzle presta a plazos cortos (pagar en 4 o 5 veces en 6 semanas) a consumidores con poca historia de crédito y cobra sobre todo al consumidor: suscripciones de 13 o 20 USD al mes y comisiones. Las ventas crecen un 43 % en 12 meses.</w:t>
      </w:r>
    </w:p>
    <w:p>
      <w:pPr>
        <w:numPr>
          <w:ilvl w:val="0"/>
          <w:numId w:val="1001"/>
        </w:numPr>
        <w:pStyle w:val="Compact"/>
      </w:pPr>
      <w:r>
        <w:t xml:space="preserve">Gana mucho dinero: 40 % de margen operativo y 162 M USD de beneficio neto en 12 meses, con muy poca deuda y recomprando acciones.</w:t>
      </w:r>
    </w:p>
    <w:p>
      <w:pPr>
        <w:numPr>
          <w:ilvl w:val="0"/>
          <w:numId w:val="1001"/>
        </w:numPr>
        <w:pStyle w:val="Compact"/>
      </w:pPr>
      <w:r>
        <w:t xml:space="preserve">Cotiza a 14,6 veces el EBITDA de los 12 meses siguientes y a 21 veces el beneficio. No es caro para lo que crece, pero es el doble de lo que pagó la bolsa de media en los últimos 3 años.</w:t>
      </w:r>
    </w:p>
    <w:p>
      <w:pPr>
        <w:numPr>
          <w:ilvl w:val="0"/>
          <w:numId w:val="1001"/>
        </w:numPr>
        <w:pStyle w:val="Compact"/>
      </w:pPr>
      <w:r>
        <w:t xml:space="preserve">El riesgo es de prestamista a clientes frágiles: impagos si la economía se tuerce, coste de su línea de financiación, reglas nuevas de los estados y una acción que se mueve muchísimo (cayó un 34 % en un día en agosto).</w:t>
      </w:r>
    </w:p>
    <w:p>
      <w:pPr>
        <w:numPr>
          <w:ilvl w:val="0"/>
          <w:numId w:val="1001"/>
        </w:numPr>
        <w:pStyle w:val="Compact"/>
      </w:pPr>
      <w:r>
        <w:t xml:space="preserve">El cálculo da Comprar justo: rentabilidad ponderada del 9 % con un bajista del −41 %. Si se le da más peso al escenario malo, pasa a Mantener. Buena empresa, pero no mejor que lo que ya está en la cartera.</w:t>
      </w:r>
    </w:p>
    <w:bookmarkEnd w:id="20"/>
    <w:bookmarkStart w:id="21" w:name="negocio-y-tecnología"/>
    <w:p>
      <w:pPr>
        <w:pStyle w:val="Heading2"/>
      </w:pPr>
      <w:r>
        <w:t xml:space="preserve">2. Negocio y tecnología</w:t>
      </w:r>
    </w:p>
    <w:p>
      <w:pPr>
        <w:numPr>
          <w:ilvl w:val="0"/>
          <w:numId w:val="1002"/>
        </w:numPr>
        <w:pStyle w:val="Compact"/>
      </w:pPr>
      <w:r>
        <w:rPr>
          <w:bCs/>
          <w:b/>
        </w:rPr>
        <w:t xml:space="preserve">Qué vende:</w:t>
      </w:r>
    </w:p>
    <w:p>
      <w:pPr>
        <w:numPr>
          <w:ilvl w:val="1"/>
          <w:numId w:val="1003"/>
        </w:numPr>
        <w:pStyle w:val="Compact"/>
      </w:pPr>
      <w:r>
        <w:t xml:space="preserve">Pago en 4 o 5 plazos sin interés en comercios de EE. UU. y Canadá.</w:t>
      </w:r>
    </w:p>
    <w:p>
      <w:pPr>
        <w:numPr>
          <w:ilvl w:val="1"/>
          <w:numId w:val="1003"/>
        </w:numPr>
        <w:pStyle w:val="Compact"/>
      </w:pPr>
      <w:r>
        <w:t xml:space="preserve">Suscripciones: Sezzle Premium (más límite en comercios grandes) y Sezzle Anywhere (una tarjeta virtual para pagar a plazos en cualquier comercio). Tiene 854.000 suscriptores, un 76 % más que hace un año [1].</w:t>
      </w:r>
    </w:p>
    <w:p>
      <w:pPr>
        <w:numPr>
          <w:ilvl w:val="1"/>
          <w:numId w:val="1003"/>
        </w:numPr>
        <w:pStyle w:val="Compact"/>
      </w:pPr>
      <w:r>
        <w:t xml:space="preserve">Productos nuevos: SezzleCash (adelantos de efectivo, desde junio de 2026) y Sezzle Send (enviar dinero a plazos entre personas, desde agosto) [1].</w:t>
      </w:r>
    </w:p>
    <w:p>
      <w:pPr>
        <w:numPr>
          <w:ilvl w:val="0"/>
          <w:numId w:val="1002"/>
        </w:numPr>
        <w:pStyle w:val="Compact"/>
      </w:pPr>
      <w:r>
        <w:rPr>
          <w:bCs/>
          <w:b/>
        </w:rPr>
        <w:t xml:space="preserve">A quién:</w:t>
      </w:r>
      <w:r>
        <w:t xml:space="preserve"> </w:t>
      </w:r>
      <w:r>
        <w:t xml:space="preserve">consumidores jóvenes o con poca historia de crédito, que compran a menudo (7,2 compras por trimestre de media) [1].</w:t>
      </w:r>
    </w:p>
    <w:p>
      <w:pPr>
        <w:numPr>
          <w:ilvl w:val="0"/>
          <w:numId w:val="1002"/>
        </w:numPr>
        <w:pStyle w:val="Compact"/>
      </w:pPr>
      <w:r>
        <w:rPr>
          <w:bCs/>
          <w:b/>
        </w:rPr>
        <w:t xml:space="preserve">De qué vive:</w:t>
      </w:r>
      <w:r>
        <w:t xml:space="preserve"> </w:t>
      </w:r>
      <w:r>
        <w:t xml:space="preserve">el 57 % de las ventas del 2T26 viene de suscripciones y comercios; el 43 %, de comisiones que paga el consumidor (reprogramar un pago, pago fallido) [5]. Por eso las ventas (11,7 % del volumen) son casi el triple de lo que cobra un procesador de pagos.</w:t>
      </w:r>
    </w:p>
    <w:p>
      <w:pPr>
        <w:numPr>
          <w:ilvl w:val="0"/>
          <w:numId w:val="1002"/>
        </w:numPr>
        <w:pStyle w:val="Compact"/>
      </w:pPr>
      <w:r>
        <w:rPr>
          <w:bCs/>
          <w:b/>
        </w:rPr>
        <w:t xml:space="preserve">Qué tiene de nuevo:</w:t>
      </w:r>
      <w:r>
        <w:t xml:space="preserve"> </w:t>
      </w:r>
      <w:r>
        <w:t xml:space="preserve">el modelo de suscripción en el pago a plazos, que nadie más usa a esta escala, y un sistema de riesgo propio que aprueba compra a compra. Plazos cortos: si los impagos suben, puede cerrar el grifo en semanas.</w:t>
      </w:r>
    </w:p>
    <w:p>
      <w:pPr>
        <w:numPr>
          <w:ilvl w:val="0"/>
          <w:numId w:val="1002"/>
        </w:numPr>
        <w:pStyle w:val="Compact"/>
      </w:pPr>
      <w:r>
        <w:rPr>
          <w:bCs/>
          <w:b/>
        </w:rPr>
        <w:t xml:space="preserve">Financiación:</w:t>
      </w:r>
      <w:r>
        <w:t xml:space="preserve"> </w:t>
      </w:r>
      <w:r>
        <w:t xml:space="preserve">WebBank origina los préstamos de EE. UU. y Sezzle se los compra. Los financia con su caja y con una línea de 300 M (Mesirow, desde mayo de 2026, 290 puntos básicos más barata que la anterior), de la que usa 123,5 M [1][13]. Ha pedido una licencia bancaria propia.</w:t>
      </w:r>
    </w:p>
    <w:bookmarkEnd w:id="21"/>
    <w:bookmarkStart w:id="22" w:name="crecimiento"/>
    <w:p>
      <w:pPr>
        <w:pStyle w:val="Heading2"/>
      </w:pPr>
      <w:r>
        <w:t xml:space="preserve">3. Crecimiento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Trimestre</w:t>
            </w:r>
          </w:p>
        </w:tc>
        <w:tc>
          <w:tcPr/>
          <w:p>
            <w:pPr>
              <w:pStyle w:val="Compact"/>
              <w:jc w:val="left"/>
            </w:pPr>
            <w:r>
              <w:t xml:space="preserve">Ventas (M USD)</w:t>
            </w:r>
          </w:p>
        </w:tc>
        <w:tc>
          <w:tcPr/>
          <w:p>
            <w:pPr>
              <w:pStyle w:val="Compact"/>
              <w:jc w:val="left"/>
            </w:pPr>
            <w:r>
              <w:t xml:space="preserve">Crecimiento anual</w:t>
            </w:r>
          </w:p>
        </w:tc>
      </w:tr>
      <w:tr>
        <w:tc>
          <w:tcPr/>
          <w:p>
            <w:pPr>
              <w:pStyle w:val="Compact"/>
              <w:jc w:val="left"/>
            </w:pPr>
            <w:r>
              <w:t xml:space="preserve">3T24</w:t>
            </w:r>
          </w:p>
        </w:tc>
        <w:tc>
          <w:tcPr/>
          <w:p>
            <w:pPr>
              <w:pStyle w:val="Compact"/>
              <w:jc w:val="left"/>
            </w:pPr>
            <w:r>
              <w:t xml:space="preserve">70,0</w:t>
            </w:r>
          </w:p>
        </w:tc>
        <w:tc>
          <w:tcPr/>
          <w:p>
            <w:pPr>
              <w:pStyle w:val="Compact"/>
              <w:jc w:val="left"/>
            </w:pPr>
            <w:r>
              <w:t xml:space="preserve">+71 %</w:t>
            </w:r>
          </w:p>
        </w:tc>
      </w:tr>
      <w:tr>
        <w:tc>
          <w:tcPr/>
          <w:p>
            <w:pPr>
              <w:pStyle w:val="Compact"/>
              <w:jc w:val="left"/>
            </w:pPr>
            <w:r>
              <w:t xml:space="preserve">4T24</w:t>
            </w:r>
          </w:p>
        </w:tc>
        <w:tc>
          <w:tcPr/>
          <w:p>
            <w:pPr>
              <w:pStyle w:val="Compact"/>
              <w:jc w:val="left"/>
            </w:pPr>
            <w:r>
              <w:t xml:space="preserve">98,2</w:t>
            </w:r>
          </w:p>
        </w:tc>
        <w:tc>
          <w:tcPr/>
          <w:p>
            <w:pPr>
              <w:pStyle w:val="Compact"/>
              <w:jc w:val="left"/>
            </w:pPr>
            <w:r>
              <w:t xml:space="preserve">+101 %</w:t>
            </w:r>
          </w:p>
        </w:tc>
      </w:tr>
      <w:tr>
        <w:tc>
          <w:tcPr/>
          <w:p>
            <w:pPr>
              <w:pStyle w:val="Compact"/>
              <w:jc w:val="left"/>
            </w:pPr>
            <w:r>
              <w:t xml:space="preserve">1T25</w:t>
            </w:r>
          </w:p>
        </w:tc>
        <w:tc>
          <w:tcPr/>
          <w:p>
            <w:pPr>
              <w:pStyle w:val="Compact"/>
              <w:jc w:val="left"/>
            </w:pPr>
            <w:r>
              <w:t xml:space="preserve">104,9</w:t>
            </w:r>
          </w:p>
        </w:tc>
        <w:tc>
          <w:tcPr/>
          <w:p>
            <w:pPr>
              <w:pStyle w:val="Compact"/>
              <w:jc w:val="left"/>
            </w:pPr>
            <w:r>
              <w:t xml:space="preserve">+123 %</w:t>
            </w:r>
          </w:p>
        </w:tc>
      </w:tr>
      <w:tr>
        <w:tc>
          <w:tcPr/>
          <w:p>
            <w:pPr>
              <w:pStyle w:val="Compact"/>
              <w:jc w:val="left"/>
            </w:pPr>
            <w:r>
              <w:t xml:space="preserve">2T25</w:t>
            </w:r>
          </w:p>
        </w:tc>
        <w:tc>
          <w:tcPr/>
          <w:p>
            <w:pPr>
              <w:pStyle w:val="Compact"/>
              <w:jc w:val="left"/>
            </w:pPr>
            <w:r>
              <w:t xml:space="preserve">98,7</w:t>
            </w:r>
          </w:p>
        </w:tc>
        <w:tc>
          <w:tcPr/>
          <w:p>
            <w:pPr>
              <w:pStyle w:val="Compact"/>
              <w:jc w:val="left"/>
            </w:pPr>
            <w:r>
              <w:t xml:space="preserve">+76 %</w:t>
            </w:r>
          </w:p>
        </w:tc>
      </w:tr>
      <w:tr>
        <w:tc>
          <w:tcPr/>
          <w:p>
            <w:pPr>
              <w:pStyle w:val="Compact"/>
              <w:jc w:val="left"/>
            </w:pPr>
            <w:r>
              <w:t xml:space="preserve">3T25</w:t>
            </w:r>
          </w:p>
        </w:tc>
        <w:tc>
          <w:tcPr/>
          <w:p>
            <w:pPr>
              <w:pStyle w:val="Compact"/>
              <w:jc w:val="left"/>
            </w:pPr>
            <w:r>
              <w:t xml:space="preserve">116,8</w:t>
            </w:r>
          </w:p>
        </w:tc>
        <w:tc>
          <w:tcPr/>
          <w:p>
            <w:pPr>
              <w:pStyle w:val="Compact"/>
              <w:jc w:val="left"/>
            </w:pPr>
            <w:r>
              <w:t xml:space="preserve">+67 %</w:t>
            </w:r>
          </w:p>
        </w:tc>
      </w:tr>
      <w:tr>
        <w:tc>
          <w:tcPr/>
          <w:p>
            <w:pPr>
              <w:pStyle w:val="Compact"/>
              <w:jc w:val="left"/>
            </w:pPr>
            <w:r>
              <w:t xml:space="preserve">4T25</w:t>
            </w:r>
          </w:p>
        </w:tc>
        <w:tc>
          <w:tcPr/>
          <w:p>
            <w:pPr>
              <w:pStyle w:val="Compact"/>
              <w:jc w:val="left"/>
            </w:pPr>
            <w:r>
              <w:t xml:space="preserve">129,9</w:t>
            </w:r>
          </w:p>
        </w:tc>
        <w:tc>
          <w:tcPr/>
          <w:p>
            <w:pPr>
              <w:pStyle w:val="Compact"/>
              <w:jc w:val="left"/>
            </w:pPr>
            <w:r>
              <w:t xml:space="preserve">+32 %</w:t>
            </w:r>
          </w:p>
        </w:tc>
      </w:tr>
      <w:tr>
        <w:tc>
          <w:tcPr/>
          <w:p>
            <w:pPr>
              <w:pStyle w:val="Compact"/>
              <w:jc w:val="left"/>
            </w:pPr>
            <w:r>
              <w:t xml:space="preserve">1T26</w:t>
            </w:r>
          </w:p>
        </w:tc>
        <w:tc>
          <w:tcPr/>
          <w:p>
            <w:pPr>
              <w:pStyle w:val="Compact"/>
              <w:jc w:val="left"/>
            </w:pPr>
            <w:r>
              <w:t xml:space="preserve">135,5</w:t>
            </w:r>
          </w:p>
        </w:tc>
        <w:tc>
          <w:tcPr/>
          <w:p>
            <w:pPr>
              <w:pStyle w:val="Compact"/>
              <w:jc w:val="left"/>
            </w:pPr>
            <w:r>
              <w:t xml:space="preserve">+29 %</w:t>
            </w:r>
          </w:p>
        </w:tc>
      </w:tr>
      <w:tr>
        <w:tc>
          <w:tcPr/>
          <w:p>
            <w:pPr>
              <w:pStyle w:val="Compact"/>
              <w:jc w:val="left"/>
            </w:pPr>
            <w:r>
              <w:t xml:space="preserve">2T26</w:t>
            </w:r>
          </w:p>
        </w:tc>
        <w:tc>
          <w:tcPr/>
          <w:p>
            <w:pPr>
              <w:pStyle w:val="Compact"/>
              <w:jc w:val="left"/>
            </w:pPr>
            <w:r>
              <w:t xml:space="preserve">149,7</w:t>
            </w:r>
          </w:p>
        </w:tc>
        <w:tc>
          <w:tcPr/>
          <w:p>
            <w:pPr>
              <w:pStyle w:val="Compact"/>
              <w:jc w:val="left"/>
            </w:pPr>
            <w:r>
              <w:t xml:space="preserve">+52 %</w:t>
            </w:r>
          </w:p>
        </w:tc>
      </w:tr>
      <w:tr>
        <w:tc>
          <w:tcPr/>
          <w:p>
            <w:pPr>
              <w:pStyle w:val="Compact"/>
              <w:jc w:val="left"/>
            </w:pPr>
            <w:r>
              <w:rPr>
                <w:bCs/>
                <w:b/>
              </w:rPr>
              <w:t xml:space="preserve">12 meses a jun-2026</w:t>
            </w:r>
          </w:p>
        </w:tc>
        <w:tc>
          <w:tcPr/>
          <w:p>
            <w:pPr>
              <w:pStyle w:val="Compact"/>
              <w:jc w:val="left"/>
            </w:pPr>
            <w:r>
              <w:rPr>
                <w:bCs/>
                <w:b/>
              </w:rPr>
              <w:t xml:space="preserve">531,9</w:t>
            </w:r>
          </w:p>
        </w:tc>
        <w:tc>
          <w:tcPr/>
          <w:p>
            <w:pPr>
              <w:pStyle w:val="Compact"/>
              <w:jc w:val="left"/>
            </w:pPr>
            <w:r>
              <w:rPr>
                <w:bCs/>
                <w:b/>
              </w:rPr>
              <w:t xml:space="preserve">+43 %</w:t>
            </w:r>
          </w:p>
        </w:tc>
      </w:tr>
      <w:tr>
        <w:tc>
          <w:tcPr/>
          <w:p>
            <w:pPr>
              <w:pStyle w:val="Compact"/>
              <w:jc w:val="left"/>
            </w:pPr>
            <w:r>
              <w:t xml:space="preserve">Año 2025 / 2024</w:t>
            </w:r>
          </w:p>
        </w:tc>
        <w:tc>
          <w:tcPr/>
          <w:p>
            <w:pPr>
              <w:pStyle w:val="Compact"/>
              <w:jc w:val="left"/>
            </w:pPr>
            <w:r>
              <w:t xml:space="preserve">450,3 / 271,1</w:t>
            </w:r>
          </w:p>
        </w:tc>
        <w:tc>
          <w:tcPr/>
          <w:p>
            <w:pPr>
              <w:pStyle w:val="Compact"/>
              <w:jc w:val="left"/>
            </w:pPr>
            <w:r>
              <w:t xml:space="preserve">+66 % / +70 %</w:t>
            </w:r>
          </w:p>
        </w:tc>
      </w:tr>
    </w:tbl>
    <w:p>
      <w:pPr>
        <w:pStyle w:val="BodyText"/>
      </w:pPr>
      <w:r>
        <w:t xml:space="preserve">Fuentes: [3].</w:t>
      </w:r>
    </w:p>
    <w:p>
      <w:pPr>
        <w:numPr>
          <w:ilvl w:val="0"/>
          <w:numId w:val="1004"/>
        </w:numPr>
        <w:pStyle w:val="Compact"/>
      </w:pPr>
      <w:r>
        <w:rPr>
          <w:bCs/>
          <w:b/>
        </w:rPr>
        <w:t xml:space="preserve">Aceleración:</w:t>
      </w:r>
      <w:r>
        <w:t xml:space="preserve"> </w:t>
      </w:r>
      <w:r>
        <w:t xml:space="preserve">el último trimestre crece 0,5 puntos más que la media de los cuatro anteriores. El +52 % del 2T26 se apoya en un 2T25 flojo (98,7 M, por debajo del 1T25).</w:t>
      </w:r>
    </w:p>
    <w:p>
      <w:pPr>
        <w:numPr>
          <w:ilvl w:val="0"/>
          <w:numId w:val="1004"/>
        </w:numPr>
        <w:pStyle w:val="Compact"/>
      </w:pPr>
      <w:r>
        <w:rPr>
          <w:bCs/>
          <w:b/>
        </w:rPr>
        <w:t xml:space="preserve">Crecimiento propio a 2 años:</w:t>
      </w:r>
      <w:r>
        <w:t xml:space="preserve"> </w:t>
      </w:r>
      <w:r>
        <w:t xml:space="preserve">66 % al año.</w:t>
      </w:r>
    </w:p>
    <w:p>
      <w:pPr>
        <w:numPr>
          <w:ilvl w:val="0"/>
          <w:numId w:val="1004"/>
        </w:numPr>
        <w:pStyle w:val="Compact"/>
      </w:pPr>
      <w:r>
        <w:rPr>
          <w:bCs/>
          <w:b/>
        </w:rPr>
        <w:t xml:space="preserve">Guía de 2026:</w:t>
      </w:r>
      <w:r>
        <w:t xml:space="preserve"> </w:t>
      </w:r>
      <w:r>
        <w:t xml:space="preserve">ventas +35 % (607,9 M), subida tres veces desde el +27,5 % de febrero. Lo que queda del año implica +31 % en el segundo semestre, y la dirección lo confirmó en la llamada [1][4]. No hay guía de 2027.</w:t>
      </w:r>
    </w:p>
    <w:p>
      <w:pPr>
        <w:numPr>
          <w:ilvl w:val="0"/>
          <w:numId w:val="1004"/>
        </w:numPr>
        <w:pStyle w:val="Compact"/>
      </w:pPr>
      <w:r>
        <w:rPr>
          <w:bCs/>
          <w:b/>
        </w:rPr>
        <w:t xml:space="preserve">Historial frente a la guía:</w:t>
      </w:r>
      <w:r>
        <w:t xml:space="preserve"> </w:t>
      </w:r>
      <w:r>
        <w:t xml:space="preserve">solo da guía anual. En 2025 empezó guiando +27,5 % y acabó en +66 % (38,6 puntos más). En 2026, de momento, 7,5 puntos más [2].</w:t>
      </w:r>
    </w:p>
    <w:p>
      <w:pPr>
        <w:numPr>
          <w:ilvl w:val="0"/>
          <w:numId w:val="1004"/>
        </w:numPr>
        <w:pStyle w:val="Compact"/>
      </w:pPr>
      <w:r>
        <w:rPr>
          <w:bCs/>
          <w:b/>
        </w:rPr>
        <w:t xml:space="preserve">Volumen:</w:t>
      </w:r>
      <w:r>
        <w:t xml:space="preserve"> </w:t>
      </w:r>
      <w:r>
        <w:t xml:space="preserve">1.300 M en el 2T26, un 38 % más. Las ventas crecen más que el volumen porque cada cliente paga más suscripción y comisiones; la dirección espera que eso se normalice (ingreso sobre volumen del 11,4 %) [4].</w:t>
      </w:r>
    </w:p>
    <w:bookmarkEnd w:id="22"/>
    <w:bookmarkStart w:id="23" w:name="mercado-y-competencia"/>
    <w:p>
      <w:pPr>
        <w:pStyle w:val="Heading2"/>
      </w:pPr>
      <w:r>
        <w:t xml:space="preserve">4. Mercado y competencia</w:t>
      </w:r>
    </w:p>
    <w:p>
      <w:pPr>
        <w:numPr>
          <w:ilvl w:val="0"/>
          <w:numId w:val="1005"/>
        </w:numPr>
        <w:pStyle w:val="Compact"/>
      </w:pPr>
      <w:r>
        <w:rPr>
          <w:bCs/>
          <w:b/>
        </w:rPr>
        <w:t xml:space="preserve">Mercado alcanzable:</w:t>
      </w:r>
      <w:r>
        <w:t xml:space="preserve"> </w:t>
      </w:r>
      <w:r>
        <w:t xml:space="preserve">unos 15.000 M USD de ingresos en 2028. Sale del pago a plazos en EE. UU. y Canadá (unos 150.000 M de volumen) a un 8-10 % de ingresos, más suscripciones y adelantos de efectivo. Es una estimación propia [15]. Sezzle vende hoy el 3,5 % de esa cifra.</w:t>
      </w:r>
    </w:p>
    <w:p>
      <w:pPr>
        <w:numPr>
          <w:ilvl w:val="0"/>
          <w:numId w:val="1005"/>
        </w:numPr>
        <w:pStyle w:val="Compact"/>
      </w:pPr>
      <w:r>
        <w:rPr>
          <w:bCs/>
          <w:b/>
        </w:rPr>
        <w:t xml:space="preserve">Rivales:</w:t>
      </w:r>
      <w:r>
        <w:t xml:space="preserve"> </w:t>
      </w:r>
      <w:r>
        <w:t xml:space="preserve">Klarna, Affirm, Afterpay (Block) y PayPal en el pago a plazos; Dave, MoneyLion y los adelantos de nómina en el cliente con poca historia de crédito; y las tarjetas de crédito.</w:t>
      </w:r>
    </w:p>
    <w:p>
      <w:pPr>
        <w:numPr>
          <w:ilvl w:val="0"/>
          <w:numId w:val="1005"/>
        </w:numPr>
        <w:pStyle w:val="Compact"/>
      </w:pPr>
      <w:r>
        <w:rPr>
          <w:bCs/>
          <w:b/>
        </w:rPr>
        <w:t xml:space="preserve">Por qué gana:</w:t>
      </w:r>
      <w:r>
        <w:t xml:space="preserve"> </w:t>
      </w:r>
      <w:r>
        <w:t xml:space="preserve">se centra en un cliente que los grandes atienden peor y lo retiene con la suscripción (Anywhere lo vuelve casi una tarjeta). Es más pequeño que Affirm o Klarna, pero mucho más rentable por cada dólar de ventas.</w:t>
      </w:r>
    </w:p>
    <w:p>
      <w:pPr>
        <w:numPr>
          <w:ilvl w:val="0"/>
          <w:numId w:val="1005"/>
        </w:numPr>
        <w:pStyle w:val="Compact"/>
      </w:pPr>
      <w:r>
        <w:rPr>
          <w:bCs/>
          <w:b/>
        </w:rPr>
        <w:t xml:space="preserve">Shopify:</w:t>
      </w:r>
      <w:r>
        <w:t xml:space="preserve"> </w:t>
      </w:r>
      <w:r>
        <w:t xml:space="preserve">Sezzle demandó a Shopify en junio de 2025 por favorecer su propio pago a plazos (Shop Pay Installments, de Affirm). En mayo de 2026 el juez dejó seguir lo principal y el caso está en fase de prueba [1][5].</w:t>
      </w:r>
    </w:p>
    <w:p>
      <w:pPr>
        <w:numPr>
          <w:ilvl w:val="0"/>
          <w:numId w:val="1005"/>
        </w:numPr>
        <w:pStyle w:val="Compact"/>
      </w:pPr>
      <w:r>
        <w:rPr>
          <w:bCs/>
          <w:b/>
        </w:rPr>
        <w:t xml:space="preserve">Concentración:</w:t>
      </w:r>
      <w:r>
        <w:t xml:space="preserve"> </w:t>
      </w:r>
      <w:r>
        <w:t xml:space="preserve">el 10-Q no cita ningún comercio por encima del 10 % ni concentración por estado [5].</w:t>
      </w:r>
    </w:p>
    <w:p>
      <w:pPr>
        <w:numPr>
          <w:ilvl w:val="0"/>
          <w:numId w:val="1005"/>
        </w:numPr>
        <w:pStyle w:val="Compact"/>
      </w:pPr>
      <w:r>
        <w:rPr>
          <w:bCs/>
          <w:b/>
        </w:rPr>
        <w:t xml:space="preserve">Tecnología 3 de 5:</w:t>
      </w:r>
      <w:r>
        <w:t xml:space="preserve"> </w:t>
      </w:r>
      <w:r>
        <w:t xml:space="preserve">buen modelo de riesgo y de suscripción, pero copiable.</w:t>
      </w:r>
      <w:r>
        <w:t xml:space="preserve"> </w:t>
      </w:r>
      <w:r>
        <w:rPr>
          <w:bCs/>
          <w:b/>
        </w:rPr>
        <w:t xml:space="preserve">Posición 3 de 5:</w:t>
      </w:r>
      <w:r>
        <w:t xml:space="preserve"> </w:t>
      </w:r>
      <w:r>
        <w:t xml:space="preserve">líder en su nicho, quinto en volumen de EE. UU. (dato de memoria).</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r>
      <w:tr>
        <w:tc>
          <w:tcPr/>
          <w:p>
            <w:pPr>
              <w:pStyle w:val="Compact"/>
              <w:jc w:val="left"/>
            </w:pPr>
            <w:r>
              <w:t xml:space="preserve">1. Revisiones al alza</w:t>
            </w:r>
          </w:p>
        </w:tc>
        <w:tc>
          <w:tcPr/>
          <w:p>
            <w:pPr>
              <w:pStyle w:val="Compact"/>
              <w:jc w:val="left"/>
            </w:pPr>
            <w:r>
              <w:t xml:space="preserve">Sí (justo)</w:t>
            </w:r>
          </w:p>
        </w:tc>
        <w:tc>
          <w:tcPr/>
          <w:p>
            <w:pPr>
              <w:pStyle w:val="Compact"/>
              <w:jc w:val="left"/>
            </w:pPr>
            <w:r>
              <w:t xml:space="preserve">Guía subida tres veces en 2026; beneficio por acción esperado de 2026 de unos 5,10 a 5,26 USD tras el 2T. Pero KBW rebaja la recomendación y TD Cowen baja el objetivo a 160 USD [1][6][7]</w:t>
            </w:r>
          </w:p>
        </w:tc>
      </w:tr>
      <w:tr>
        <w:tc>
          <w:tcPr/>
          <w:p>
            <w:pPr>
              <w:pStyle w:val="Compact"/>
              <w:jc w:val="left"/>
            </w:pPr>
            <w:r>
              <w:t xml:space="preserve">2. Precio sobre la media de 200 sesiones, que sube</w:t>
            </w:r>
          </w:p>
        </w:tc>
        <w:tc>
          <w:tcPr/>
          <w:p>
            <w:pPr>
              <w:pStyle w:val="Compact"/>
              <w:jc w:val="left"/>
            </w:pPr>
            <w:r>
              <w:t xml:space="preserve">Sí</w:t>
            </w:r>
          </w:p>
        </w:tc>
        <w:tc>
          <w:tcPr/>
          <w:p>
            <w:pPr>
              <w:pStyle w:val="Compact"/>
              <w:jc w:val="left"/>
            </w:pPr>
            <w:r>
              <w:t xml:space="preserve">123,11 frente a 105,0; la media subía de 87,3 hace 60 sesiones [8]</w:t>
            </w:r>
          </w:p>
        </w:tc>
      </w:tr>
      <w:tr>
        <w:tc>
          <w:tcPr/>
          <w:p>
            <w:pPr>
              <w:pStyle w:val="Compact"/>
              <w:jc w:val="left"/>
            </w:pPr>
            <w:r>
              <w:t xml:space="preserve">3. Fuerza relativa a 6 meses</w:t>
            </w:r>
          </w:p>
        </w:tc>
        <w:tc>
          <w:tcPr/>
          <w:p>
            <w:pPr>
              <w:pStyle w:val="Compact"/>
              <w:jc w:val="left"/>
            </w:pPr>
            <w:r>
              <w:t xml:space="preserve">Sí</w:t>
            </w:r>
          </w:p>
        </w:tc>
        <w:tc>
          <w:tcPr/>
          <w:p>
            <w:pPr>
              <w:pStyle w:val="Compact"/>
              <w:jc w:val="left"/>
            </w:pPr>
            <w:r>
              <w:t xml:space="preserve">+74 % frente a +14 % del Nasdaq-100 [8]</w:t>
            </w:r>
          </w:p>
        </w:tc>
      </w:tr>
      <w:tr>
        <w:tc>
          <w:tcPr/>
          <w:p>
            <w:pPr>
              <w:pStyle w:val="Compact"/>
              <w:jc w:val="left"/>
            </w:pPr>
            <w:r>
              <w:t xml:space="preserve">4. Múltiplo ≥ 20 % sobre su mínimo de 12 meses</w:t>
            </w:r>
          </w:p>
        </w:tc>
        <w:tc>
          <w:tcPr/>
          <w:p>
            <w:pPr>
              <w:pStyle w:val="Compact"/>
              <w:jc w:val="left"/>
            </w:pPr>
            <w:r>
              <w:t xml:space="preserve">Sí</w:t>
            </w:r>
          </w:p>
        </w:tc>
        <w:tc>
          <w:tcPr/>
          <w:p>
            <w:pPr>
              <w:pStyle w:val="Compact"/>
              <w:jc w:val="left"/>
            </w:pPr>
            <w:r>
              <w:t xml:space="preserve">EV/EBITDA de 7,6 veces (17-nov-2025) a 14,6 [8][9]</w:t>
            </w:r>
          </w:p>
        </w:tc>
      </w:tr>
      <w:tr>
        <w:tc>
          <w:tcPr/>
          <w:p>
            <w:pPr>
              <w:pStyle w:val="Compact"/>
              <w:jc w:val="left"/>
            </w:pPr>
            <w:r>
              <w:t xml:space="preserve">5. Inflexión operativa</w:t>
            </w:r>
          </w:p>
        </w:tc>
        <w:tc>
          <w:tcPr/>
          <w:p>
            <w:pPr>
              <w:pStyle w:val="Compact"/>
              <w:jc w:val="left"/>
            </w:pPr>
            <w:r>
              <w:t xml:space="preserve">No</w:t>
            </w:r>
          </w:p>
        </w:tc>
        <w:tc>
          <w:tcPr/>
          <w:p>
            <w:pPr>
              <w:pStyle w:val="Compact"/>
              <w:jc w:val="left"/>
            </w:pPr>
            <w:r>
              <w:t xml:space="preserve">Ya era rentable; el margen operativo sube 3,4 puntos en 12 meses, no 5 [1]</w:t>
            </w:r>
          </w:p>
        </w:tc>
      </w:tr>
      <w:tr>
        <w:tc>
          <w:tcPr/>
          <w:p>
            <w:pPr>
              <w:pStyle w:val="Compact"/>
              <w:jc w:val="left"/>
            </w:pPr>
            <w:r>
              <w:t xml:space="preserve">6. Sentimiento mejorando</w:t>
            </w:r>
          </w:p>
        </w:tc>
        <w:tc>
          <w:tcPr/>
          <w:p>
            <w:pPr>
              <w:pStyle w:val="Compact"/>
              <w:jc w:val="left"/>
            </w:pPr>
            <w:r>
              <w:t xml:space="preserve">No</w:t>
            </w:r>
          </w:p>
        </w:tc>
        <w:tc>
          <w:tcPr/>
          <w:p>
            <w:pPr>
              <w:pStyle w:val="Compact"/>
              <w:jc w:val="left"/>
            </w:pPr>
            <w:r>
              <w:t xml:space="preserve">Particulares eufóricos, profesionales enfriándose; 22,6 % del capital flotante vendido a corto [10][11]</w:t>
            </w:r>
          </w:p>
        </w:tc>
      </w:tr>
      <w:tr>
        <w:tc>
          <w:tcPr/>
          <w:p>
            <w:pPr>
              <w:pStyle w:val="Compact"/>
              <w:jc w:val="left"/>
            </w:pPr>
            <w:r>
              <w:t xml:space="preserve">7. Compras de directivos o inversores de referencia</w:t>
            </w:r>
          </w:p>
        </w:tc>
        <w:tc>
          <w:tcPr/>
          <w:p>
            <w:pPr>
              <w:pStyle w:val="Compact"/>
              <w:jc w:val="left"/>
            </w:pPr>
            <w:r>
              <w:t xml:space="preserve">No</w:t>
            </w:r>
          </w:p>
        </w:tc>
        <w:tc>
          <w:tcPr/>
          <w:p>
            <w:pPr>
              <w:pStyle w:val="Compact"/>
              <w:jc w:val="left"/>
            </w:pPr>
            <w:r>
              <w:t xml:space="preserve">Dos compras simbólicas (menos de 45.000 USD entre las dos) frente a ventas y avisos de venta [12]</w:t>
            </w:r>
          </w:p>
        </w:tc>
      </w:tr>
      <w:tr>
        <w:tc>
          <w:tcPr/>
          <w:p>
            <w:pPr>
              <w:pStyle w:val="Compact"/>
              <w:jc w:val="left"/>
            </w:pPr>
            <w:r>
              <w:t xml:space="preserve">8. Catalizador nuevo en 6 meses</w:t>
            </w:r>
          </w:p>
        </w:tc>
        <w:tc>
          <w:tcPr/>
          <w:p>
            <w:pPr>
              <w:pStyle w:val="Compact"/>
              <w:jc w:val="left"/>
            </w:pPr>
            <w:r>
              <w:t xml:space="preserve">Sí</w:t>
            </w:r>
          </w:p>
        </w:tc>
        <w:tc>
          <w:tcPr/>
          <w:p>
            <w:pPr>
              <w:pStyle w:val="Compact"/>
              <w:jc w:val="left"/>
            </w:pPr>
            <w:r>
              <w:t xml:space="preserve">Resultados el 4-nov, productos nuevos, financiación más barata [1][13]</w:t>
            </w:r>
          </w:p>
        </w:tc>
      </w:tr>
    </w:tbl>
    <w:p>
      <w:pPr>
        <w:pStyle w:val="BodyText"/>
      </w:pPr>
      <w:r>
        <w:rPr>
          <w:bCs/>
          <w:b/>
        </w:rPr>
        <w:t xml:space="preserve">Euforia: no.</w:t>
      </w:r>
      <w:r>
        <w:t xml:space="preserve"> </w:t>
      </w:r>
      <w:r>
        <w:t xml:space="preserve">Sube un 54 % en 12 meses (el veto exige un 150 %). Sí hay mucho movimiento: un 74 % en 6 meses, de 70,66 a 188,55 USD en julio y de vuelta a 123 USD.</w:t>
      </w:r>
    </w:p>
    <w:bookmarkEnd w:id="24"/>
    <w:bookmarkStart w:id="25" w:name="X6a3ced9ea5ed5bb9ac58f5e7c1bb09ad4718b77"/>
    <w:p>
      <w:pPr>
        <w:pStyle w:val="Heading2"/>
      </w:pPr>
      <w:r>
        <w:t xml:space="preserve">6. Economía unitaria y camino a la rentabilidad</w:t>
      </w:r>
    </w:p>
    <w:p>
      <w:pPr>
        <w:numPr>
          <w:ilvl w:val="0"/>
          <w:numId w:val="1006"/>
        </w:numPr>
        <w:pStyle w:val="Compact"/>
      </w:pPr>
      <w:r>
        <w:rPr>
          <w:bCs/>
          <w:b/>
        </w:rPr>
        <w:t xml:space="preserve">Margen bruto (ventas menos costes de cada préstamo):</w:t>
      </w:r>
      <w:r>
        <w:t xml:space="preserve"> </w:t>
      </w:r>
      <w:r>
        <w:t xml:space="preserve">64 % en 12 meses. Incluye provisión por impagos, procesado e intereses [1][2].</w:t>
      </w:r>
    </w:p>
    <w:p>
      <w:pPr>
        <w:numPr>
          <w:ilvl w:val="0"/>
          <w:numId w:val="1006"/>
        </w:numPr>
        <w:pStyle w:val="Compact"/>
      </w:pPr>
      <w:r>
        <w:rPr>
          <w:bCs/>
          <w:b/>
        </w:rPr>
        <w:t xml:space="preserve">Impagos:</w:t>
      </w:r>
      <w:r>
        <w:t xml:space="preserve"> </w:t>
      </w:r>
      <w:r>
        <w:t xml:space="preserve">provisión del 2,4 % del volumen en el 2T26. El objetivo del año es 2,5-3,0 %. Préstamos cancelados en 12 meses: unos 100 M sobre 321 M de cartera, que rota cada 6 semanas [1][5].</w:t>
      </w:r>
    </w:p>
    <w:p>
      <w:pPr>
        <w:numPr>
          <w:ilvl w:val="0"/>
          <w:numId w:val="1006"/>
        </w:numPr>
        <w:pStyle w:val="Compact"/>
      </w:pPr>
      <w:r>
        <w:rPr>
          <w:bCs/>
          <w:b/>
        </w:rPr>
        <w:t xml:space="preserve">Caja libre:</w:t>
      </w:r>
      <w:r>
        <w:t xml:space="preserve"> </w:t>
      </w:r>
      <w:r>
        <w:t xml:space="preserve">el flujo operativo de 12 meses es 276 M (52 % de las ventas). Una vez pagado el crecimiento de los préstamos (204 M), quedan 68 M (13 %). Esta última es la cifra que usa el cálculo, la prudente [3].</w:t>
      </w:r>
    </w:p>
    <w:p>
      <w:pPr>
        <w:numPr>
          <w:ilvl w:val="0"/>
          <w:numId w:val="1006"/>
        </w:numPr>
        <w:pStyle w:val="Compact"/>
      </w:pPr>
      <w:r>
        <w:rPr>
          <w:bCs/>
          <w:b/>
        </w:rPr>
        <w:t xml:space="preserve">Regla del 40:</w:t>
      </w:r>
      <w:r>
        <w:t xml:space="preserve"> </w:t>
      </w:r>
      <w:r>
        <w:t xml:space="preserve">43 % de crecimiento + 13 % de margen de caja = 56.</w:t>
      </w:r>
    </w:p>
    <w:p>
      <w:pPr>
        <w:numPr>
          <w:ilvl w:val="0"/>
          <w:numId w:val="1006"/>
        </w:numPr>
        <w:pStyle w:val="Compact"/>
      </w:pPr>
      <w:r>
        <w:rPr>
          <w:bCs/>
          <w:b/>
        </w:rPr>
        <w:t xml:space="preserve">Apalancamiento:</w:t>
      </w:r>
      <w:r>
        <w:t xml:space="preserve"> </w:t>
      </w:r>
      <w:r>
        <w:t xml:space="preserve">el margen operativo pasa del 37 % al 40 % en 12 meses. En el 2T26 no mejoró porque dobló el marketing para captar suscriptores.</w:t>
      </w:r>
    </w:p>
    <w:bookmarkEnd w:id="25"/>
    <w:bookmarkStart w:id="26" w:name="caja-deuda-y-dilución"/>
    <w:p>
      <w:pPr>
        <w:pStyle w:val="Heading2"/>
      </w:pPr>
      <w:r>
        <w:t xml:space="preserve">7. Caja, deuda y dilución</w:t>
      </w:r>
    </w:p>
    <w:p>
      <w:pPr>
        <w:numPr>
          <w:ilvl w:val="0"/>
          <w:numId w:val="1007"/>
        </w:numPr>
        <w:pStyle w:val="Compact"/>
      </w:pPr>
      <w:r>
        <w:rPr>
          <w:bCs/>
          <w:b/>
        </w:rPr>
        <w:t xml:space="preserve">Caja:</w:t>
      </w:r>
      <w:r>
        <w:t xml:space="preserve"> </w:t>
      </w:r>
      <w:r>
        <w:t xml:space="preserve">79,8 M sin restringir y 32,3 M restringidos.</w:t>
      </w:r>
      <w:r>
        <w:t xml:space="preserve"> </w:t>
      </w:r>
      <w:r>
        <w:rPr>
          <w:bCs/>
          <w:b/>
        </w:rPr>
        <w:t xml:space="preserve">Deuda:</w:t>
      </w:r>
      <w:r>
        <w:t xml:space="preserve"> </w:t>
      </w:r>
      <w:r>
        <w:t xml:space="preserve">123,5 M de la línea de financiación, garantizada con los préstamos (vence en 2029) [1].</w:t>
      </w:r>
    </w:p>
    <w:p>
      <w:pPr>
        <w:numPr>
          <w:ilvl w:val="0"/>
          <w:numId w:val="1007"/>
        </w:numPr>
        <w:pStyle w:val="Compact"/>
      </w:pPr>
      <w:r>
        <w:rPr>
          <w:bCs/>
          <w:b/>
        </w:rPr>
        <w:t xml:space="preserve">Recompras:</w:t>
      </w:r>
      <w:r>
        <w:t xml:space="preserve"> </w:t>
      </w:r>
      <w:r>
        <w:t xml:space="preserve">28 M en el 1S26 dentro de un plan de 100 M. Las acciones diluidas bajan un 2,2 % en un año [1][3].</w:t>
      </w:r>
    </w:p>
    <w:p>
      <w:pPr>
        <w:numPr>
          <w:ilvl w:val="0"/>
          <w:numId w:val="1007"/>
        </w:numPr>
        <w:pStyle w:val="Compact"/>
      </w:pPr>
      <w:r>
        <w:rPr>
          <w:bCs/>
          <w:b/>
        </w:rPr>
        <w:t xml:space="preserve">Pagos en acciones:</w:t>
      </w:r>
      <w:r>
        <w:t xml:space="preserve"> </w:t>
      </w:r>
      <w:r>
        <w:t xml:space="preserve">1,4 % de las ventas, muy poco.</w:t>
      </w:r>
    </w:p>
    <w:p>
      <w:pPr>
        <w:numPr>
          <w:ilvl w:val="0"/>
          <w:numId w:val="1007"/>
        </w:numPr>
        <w:pStyle w:val="Compact"/>
      </w:pPr>
      <w:r>
        <w:rPr>
          <w:bCs/>
          <w:b/>
        </w:rPr>
        <w:t xml:space="preserve">Pista:</w:t>
      </w:r>
      <w:r>
        <w:t xml:space="preserve"> </w:t>
      </w:r>
      <w:r>
        <w:t xml:space="preserve">genera caja; no necesita pedir dinero.</w:t>
      </w:r>
    </w:p>
    <w:bookmarkEnd w:id="26"/>
    <w:bookmarkStart w:id="27" w:name="dirección-y-ejecución"/>
    <w:p>
      <w:pPr>
        <w:pStyle w:val="Heading2"/>
      </w:pPr>
      <w:r>
        <w:t xml:space="preserve">8. Dirección y ejecución</w:t>
      </w:r>
    </w:p>
    <w:p>
      <w:pPr>
        <w:numPr>
          <w:ilvl w:val="0"/>
          <w:numId w:val="1008"/>
        </w:numPr>
        <w:pStyle w:val="Compact"/>
      </w:pPr>
      <w:r>
        <w:rPr>
          <w:bCs/>
          <w:b/>
        </w:rPr>
        <w:t xml:space="preserve">Fundador:</w:t>
      </w:r>
      <w:r>
        <w:t xml:space="preserve"> </w:t>
      </w:r>
      <w:r>
        <w:t xml:space="preserve">Charlie Youakim, consejero delegado y presidente, tiene el 39,6 % [12]. Gestiona la caja con cabeza: recompra en las caídas y abarató la financiación.</w:t>
      </w:r>
    </w:p>
    <w:p>
      <w:pPr>
        <w:numPr>
          <w:ilvl w:val="0"/>
          <w:numId w:val="1008"/>
        </w:numPr>
        <w:pStyle w:val="Compact"/>
      </w:pPr>
      <w:r>
        <w:rPr>
          <w:bCs/>
          <w:b/>
        </w:rPr>
        <w:t xml:space="preserve">Ejecución (5 de 5):</w:t>
      </w:r>
      <w:r>
        <w:t xml:space="preserve"> </w:t>
      </w:r>
      <w:r>
        <w:t xml:space="preserve">batió y subió la guía en 2025 y tres veces en 2026.</w:t>
      </w:r>
    </w:p>
    <w:p>
      <w:pPr>
        <w:numPr>
          <w:ilvl w:val="0"/>
          <w:numId w:val="1008"/>
        </w:numPr>
        <w:pStyle w:val="Compact"/>
      </w:pPr>
      <w:r>
        <w:rPr>
          <w:bCs/>
          <w:b/>
        </w:rPr>
        <w:t xml:space="preserve">Gobierno (3 de 5):</w:t>
      </w:r>
    </w:p>
    <w:p>
      <w:pPr>
        <w:numPr>
          <w:ilvl w:val="1"/>
          <w:numId w:val="1009"/>
        </w:numPr>
        <w:pStyle w:val="Compact"/>
      </w:pPr>
      <w:r>
        <w:t xml:space="preserve">El 10-K de 2025 reexpresó el estado de flujos de caja del 1S25.</w:t>
      </w:r>
    </w:p>
    <w:p>
      <w:pPr>
        <w:numPr>
          <w:ilvl w:val="1"/>
          <w:numId w:val="1009"/>
        </w:numPr>
        <w:pStyle w:val="Compact"/>
      </w:pPr>
      <w:r>
        <w:t xml:space="preserve">La debilidad material de control interno sigue sin corregir en el 10-Q del 2T26 [5].</w:t>
      </w:r>
    </w:p>
    <w:p>
      <w:pPr>
        <w:numPr>
          <w:ilvl w:val="1"/>
          <w:numId w:val="1009"/>
        </w:numPr>
        <w:pStyle w:val="Compact"/>
      </w:pPr>
      <w:r>
        <w:t xml:space="preserve">El fundador concentra el poder.</w:t>
      </w:r>
    </w:p>
    <w:bookmarkEnd w:id="27"/>
    <w:bookmarkStart w:id="28" w:name="valoración"/>
    <w:p>
      <w:pPr>
        <w:pStyle w:val="Heading2"/>
      </w:pPr>
      <w:r>
        <w:t xml:space="preserve">9. Valoración</w:t>
      </w:r>
    </w:p>
    <w:p>
      <w:pPr>
        <w:pStyle w:val="FirstParagraph"/>
      </w:pPr>
      <w:r>
        <w:rPr>
          <w:bCs/>
          <w:b/>
        </w:rPr>
        <w:t xml:space="preserve">Por qué EV/EBITDA y no EV/ventas.</w:t>
      </w:r>
      <w:r>
        <w:t xml:space="preserve"> </w:t>
      </w:r>
      <w:r>
        <w:t xml:space="preserve">Sezzle ya gana dinero de forma estable. En un prestamista, el EV no es fiable cuando la deuda que financia los préstamos es grande, porque se suma como si fuera deuda de la empresa. Aquí esa deuda es pequeña (123,5 M frente a 4.272 M de capitalización), así que se suma entera. El EBITDA ajustado de la empresa le devuelve su coste de intereses, y así el EV y el EBITDA miden lo mismo. El precio/beneficio sirve de contraste.</w:t>
      </w:r>
    </w:p>
    <w:p>
      <w:pPr>
        <w:numPr>
          <w:ilvl w:val="0"/>
          <w:numId w:val="1010"/>
        </w:numPr>
        <w:pStyle w:val="Compact"/>
      </w:pPr>
      <w:r>
        <w:rPr>
          <w:bCs/>
          <w:b/>
        </w:rPr>
        <w:t xml:space="preserve">EV:</w:t>
      </w:r>
      <w:r>
        <w:t xml:space="preserve"> </w:t>
      </w:r>
      <w:r>
        <w:t xml:space="preserve">4.316 M USD.</w:t>
      </w:r>
      <w:r>
        <w:t xml:space="preserve"> </w:t>
      </w:r>
      <w:r>
        <w:rPr>
          <w:bCs/>
          <w:b/>
        </w:rPr>
        <w:t xml:space="preserve">EBITDA ajustado de los 12 meses siguientes:</w:t>
      </w:r>
      <w:r>
        <w:t xml:space="preserve"> </w:t>
      </w:r>
      <w:r>
        <w:t xml:space="preserve">295 M (estimación propia con la guía y el consenso; margen del 43 %).</w:t>
      </w:r>
      <w:r>
        <w:t xml:space="preserve"> </w:t>
      </w:r>
      <w:r>
        <w:rPr>
          <w:bCs/>
          <w:b/>
        </w:rPr>
        <w:t xml:space="preserve">Múltiplo:</w:t>
      </w:r>
      <w:r>
        <w:t xml:space="preserve"> </w:t>
      </w:r>
      <w:r>
        <w:t xml:space="preserve">14,6 veces [9].</w:t>
      </w:r>
    </w:p>
    <w:p>
      <w:pPr>
        <w:numPr>
          <w:ilvl w:val="0"/>
          <w:numId w:val="1010"/>
        </w:numPr>
        <w:pStyle w:val="Compact"/>
      </w:pPr>
      <w:r>
        <w:rPr>
          <w:bCs/>
          <w:b/>
        </w:rPr>
        <w:t xml:space="preserve">Mediana de 3 años, con el EBITDA real de cada año:</w:t>
      </w:r>
      <w:r>
        <w:t xml:space="preserve"> </w:t>
      </w:r>
      <w:r>
        <w:t xml:space="preserve">7,2 veces (de 1,7 a 28,2). Ojo: es baja porque el EBITDA se multiplicó por 7 en tres años, y cada trimestre se compara con lo que ganó de verdad después. Con el EBITDA de los 12 meses anteriores, la mediana es 14,5 frente a 19,0 hoy [9].</w:t>
      </w:r>
    </w:p>
    <w:p>
      <w:pPr>
        <w:numPr>
          <w:ilvl w:val="0"/>
          <w:numId w:val="1010"/>
        </w:numPr>
        <w:pStyle w:val="Compact"/>
      </w:pPr>
      <w:r>
        <w:rPr>
          <w:bCs/>
          <w:b/>
        </w:rPr>
        <w:t xml:space="preserve">Comparables:</w:t>
      </w:r>
      <w:r>
        <w:t xml:space="preserve"> </w:t>
      </w:r>
      <w:r>
        <w:t xml:space="preserve">Dave 19,7 veces EBITDA y PayPal 7,9; la mediana de los dos es 13,8. Por beneficio: Sezzle 21, Dave 20, PayPal 10 [11].</w:t>
      </w:r>
    </w:p>
    <w:p>
      <w:pPr>
        <w:numPr>
          <w:ilvl w:val="0"/>
          <w:numId w:val="1010"/>
        </w:numPr>
        <w:pStyle w:val="Compact"/>
      </w:pPr>
      <w:r>
        <w:rPr>
          <w:bCs/>
          <w:b/>
        </w:rPr>
        <w:t xml:space="preserve">Ventas del ejercicio objetivo (jul-2027 a jun-2028):</w:t>
      </w:r>
      <w:r>
        <w:t xml:space="preserve"> </w:t>
      </w:r>
      <w:r>
        <w:t xml:space="preserve">el consenso da 757 M para 2027 (+24 %); no hay consenso de 2028 y se supone +20 %. La mecánica de v9 proyecta 1.236 M, un 49 % más, porque arrastra el +66 % de 2025. v11 toma la menor.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Ventas (M USD)</w:t>
            </w:r>
          </w:p>
        </w:tc>
        <w:tc>
          <w:tcPr/>
          <w:p>
            <w:pPr>
              <w:pStyle w:val="Compact"/>
              <w:jc w:val="left"/>
            </w:pPr>
            <w:r>
              <w:t xml:space="preserve">Múltiplo EV/EBITDA</w:t>
            </w:r>
          </w:p>
        </w:tc>
        <w:tc>
          <w:tcPr/>
          <w:p>
            <w:pPr>
              <w:pStyle w:val="Compact"/>
              <w:jc w:val="left"/>
            </w:pPr>
            <w:r>
              <w:t xml:space="preserve">Precio (USD)</w:t>
            </w:r>
          </w:p>
        </w:tc>
        <w:tc>
          <w:tcPr/>
          <w:p>
            <w:pPr>
              <w:pStyle w:val="Compact"/>
              <w:jc w:val="left"/>
            </w:pPr>
            <w:r>
              <w:t xml:space="preserve">Rentabilidad</w:t>
            </w:r>
          </w:p>
        </w:tc>
        <w:tc>
          <w:tcPr/>
          <w:p>
            <w:pPr>
              <w:pStyle w:val="Compact"/>
              <w:jc w:val="left"/>
            </w:pPr>
            <w:r>
              <w:t xml:space="preserve">Probabilidad</w:t>
            </w:r>
          </w:p>
        </w:tc>
      </w:tr>
      <w:tr>
        <w:tc>
          <w:tcPr/>
          <w:p>
            <w:pPr>
              <w:pStyle w:val="Compact"/>
              <w:jc w:val="left"/>
            </w:pPr>
            <w:r>
              <w:t xml:space="preserve">Bajista</w:t>
            </w:r>
          </w:p>
        </w:tc>
        <w:tc>
          <w:tcPr/>
          <w:p>
            <w:pPr>
              <w:pStyle w:val="Compact"/>
              <w:jc w:val="left"/>
            </w:pPr>
            <w:r>
              <w:t xml:space="preserve">740</w:t>
            </w:r>
          </w:p>
        </w:tc>
        <w:tc>
          <w:tcPr/>
          <w:p>
            <w:pPr>
              <w:pStyle w:val="Compact"/>
              <w:jc w:val="left"/>
            </w:pPr>
            <w:r>
              <w:t xml:space="preserve">7,8</w:t>
            </w:r>
          </w:p>
        </w:tc>
        <w:tc>
          <w:tcPr/>
          <w:p>
            <w:pPr>
              <w:pStyle w:val="Compact"/>
              <w:jc w:val="left"/>
            </w:pPr>
            <w:r>
              <w:t xml:space="preserve">72,2</w:t>
            </w:r>
          </w:p>
        </w:tc>
        <w:tc>
          <w:tcPr/>
          <w:p>
            <w:pPr>
              <w:pStyle w:val="Compact"/>
              <w:jc w:val="left"/>
            </w:pPr>
            <w:r>
              <w:t xml:space="preserve">−41,3 %</w:t>
            </w:r>
          </w:p>
        </w:tc>
        <w:tc>
          <w:tcPr/>
          <w:p>
            <w:pPr>
              <w:pStyle w:val="Compact"/>
              <w:jc w:val="left"/>
            </w:pPr>
            <w:r>
              <w:t xml:space="preserve">25 %</w:t>
            </w:r>
          </w:p>
        </w:tc>
      </w:tr>
      <w:tr>
        <w:tc>
          <w:tcPr/>
          <w:p>
            <w:pPr>
              <w:pStyle w:val="Compact"/>
              <w:jc w:val="left"/>
            </w:pPr>
            <w:r>
              <w:t xml:space="preserve">Base</w:t>
            </w:r>
          </w:p>
        </w:tc>
        <w:tc>
          <w:tcPr/>
          <w:p>
            <w:pPr>
              <w:pStyle w:val="Compact"/>
              <w:jc w:val="left"/>
            </w:pPr>
            <w:r>
              <w:t xml:space="preserve">830</w:t>
            </w:r>
          </w:p>
        </w:tc>
        <w:tc>
          <w:tcPr/>
          <w:p>
            <w:pPr>
              <w:pStyle w:val="Compact"/>
              <w:jc w:val="left"/>
            </w:pPr>
            <w:r>
              <w:t xml:space="preserve">12,9</w:t>
            </w:r>
          </w:p>
        </w:tc>
        <w:tc>
          <w:tcPr/>
          <w:p>
            <w:pPr>
              <w:pStyle w:val="Compact"/>
              <w:jc w:val="left"/>
            </w:pPr>
            <w:r>
              <w:t xml:space="preserve">136,1</w:t>
            </w:r>
          </w:p>
        </w:tc>
        <w:tc>
          <w:tcPr/>
          <w:p>
            <w:pPr>
              <w:pStyle w:val="Compact"/>
              <w:jc w:val="left"/>
            </w:pPr>
            <w:r>
              <w:t xml:space="preserve">+10,6 %</w:t>
            </w:r>
          </w:p>
        </w:tc>
        <w:tc>
          <w:tcPr/>
          <w:p>
            <w:pPr>
              <w:pStyle w:val="Compact"/>
              <w:jc w:val="left"/>
            </w:pPr>
            <w:r>
              <w:t xml:space="preserve">50 %</w:t>
            </w:r>
          </w:p>
        </w:tc>
      </w:tr>
      <w:tr>
        <w:tc>
          <w:tcPr/>
          <w:p>
            <w:pPr>
              <w:pStyle w:val="Compact"/>
              <w:jc w:val="left"/>
            </w:pPr>
            <w:r>
              <w:t xml:space="preserve">Alcista</w:t>
            </w:r>
          </w:p>
        </w:tc>
        <w:tc>
          <w:tcPr/>
          <w:p>
            <w:pPr>
              <w:pStyle w:val="Compact"/>
              <w:jc w:val="left"/>
            </w:pPr>
            <w:r>
              <w:t xml:space="preserve">900</w:t>
            </w:r>
          </w:p>
        </w:tc>
        <w:tc>
          <w:tcPr/>
          <w:p>
            <w:pPr>
              <w:pStyle w:val="Compact"/>
              <w:jc w:val="left"/>
            </w:pPr>
            <w:r>
              <w:t xml:space="preserve">16,8</w:t>
            </w:r>
          </w:p>
        </w:tc>
        <w:tc>
          <w:tcPr/>
          <w:p>
            <w:pPr>
              <w:pStyle w:val="Compact"/>
              <w:jc w:val="left"/>
            </w:pPr>
            <w:r>
              <w:t xml:space="preserve">192,4</w:t>
            </w:r>
          </w:p>
        </w:tc>
        <w:tc>
          <w:tcPr/>
          <w:p>
            <w:pPr>
              <w:pStyle w:val="Compact"/>
              <w:jc w:val="left"/>
            </w:pPr>
            <w:r>
              <w:t xml:space="preserve">+56,3 %</w:t>
            </w:r>
          </w:p>
        </w:tc>
        <w:tc>
          <w:tcPr/>
          <w:p>
            <w:pPr>
              <w:pStyle w:val="Compact"/>
              <w:jc w:val="left"/>
            </w:pPr>
            <w:r>
              <w:t xml:space="preserve">25 %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134,2</w:t>
            </w:r>
          </w:p>
        </w:tc>
        <w:tc>
          <w:tcPr/>
          <w:p>
            <w:pPr>
              <w:pStyle w:val="Compact"/>
              <w:jc w:val="left"/>
            </w:pPr>
            <w:r>
              <w:rPr>
                <w:bCs/>
                <w:b/>
              </w:rPr>
              <w:t xml:space="preserve">+9,0 %</w:t>
            </w:r>
          </w:p>
        </w:tc>
        <w:tc>
          <w:tcPr/>
          <w:p>
            <w:pPr>
              <w:pStyle w:val="Compact"/>
            </w:pPr>
          </w:p>
        </w:tc>
      </w:tr>
    </w:tbl>
    <w:p>
      <w:pPr>
        <w:numPr>
          <w:ilvl w:val="0"/>
          <w:numId w:val="1011"/>
        </w:numPr>
        <w:pStyle w:val="Compact"/>
      </w:pPr>
      <w:r>
        <w:rPr>
          <w:bCs/>
          <w:b/>
        </w:rPr>
        <w:t xml:space="preserve">Contraste por beneficio:</w:t>
      </w:r>
      <w:r>
        <w:t xml:space="preserve"> </w:t>
      </w:r>
      <w:r>
        <w:t xml:space="preserve">en el caso base, 136 USD son unas 19 veces el beneficio de ese año (unos 7,1 USD por acción). Es un múltiplo razonable para un crecimiento del 20 % y no supone que el mercado pague más que hoy.</w:t>
      </w:r>
    </w:p>
    <w:p>
      <w:pPr>
        <w:numPr>
          <w:ilvl w:val="0"/>
          <w:numId w:val="1011"/>
        </w:numPr>
        <w:pStyle w:val="Compact"/>
      </w:pPr>
      <w:r>
        <w:rPr>
          <w:bCs/>
          <w:b/>
        </w:rPr>
        <w:t xml:space="preserve">Consenso:</w:t>
      </w:r>
      <w:r>
        <w:t xml:space="preserve"> </w:t>
      </w:r>
      <w:r>
        <w:t xml:space="preserve">precio objetivo medio de 167 USD (150-196, 7 analistas) [6]. El cálculo es más prudente.</w:t>
      </w:r>
    </w:p>
    <w:p>
      <w:pPr>
        <w:numPr>
          <w:ilvl w:val="0"/>
          <w:numId w:val="1011"/>
        </w:numPr>
        <w:pStyle w:val="Compact"/>
      </w:pPr>
      <w:r>
        <w:rPr>
          <w:bCs/>
          <w:b/>
        </w:rPr>
        <w:t xml:space="preserve">DCF inverso:</w:t>
      </w:r>
      <w:r>
        <w:t xml:space="preserve"> </w:t>
      </w:r>
      <w:r>
        <w:t xml:space="preserve">el precio descuenta un crecimiento de ventas del 13,7 % anual durante 10 años, con un margen de caja maduro del 25 % [16]. Es un tercio de lo que crece hoy.</w:t>
      </w:r>
    </w:p>
    <w:p>
      <w:pPr>
        <w:numPr>
          <w:ilvl w:val="0"/>
          <w:numId w:val="1011"/>
        </w:numPr>
        <w:pStyle w:val="Compact"/>
      </w:pPr>
      <w:r>
        <w:rPr>
          <w:bCs/>
          <w:b/>
        </w:rPr>
        <w:t xml:space="preserve">Compra hasta 127,8 USD.</w:t>
      </w:r>
    </w:p>
    <w:bookmarkEnd w:id="28"/>
    <w:bookmarkStart w:id="29" w:name="foros-y-sentimiento"/>
    <w:p>
      <w:pPr>
        <w:pStyle w:val="Heading2"/>
      </w:pPr>
      <w:r>
        <w:t xml:space="preserve">10. Foros y sentimiento</w:t>
      </w:r>
    </w:p>
    <w:p>
      <w:pPr>
        <w:numPr>
          <w:ilvl w:val="0"/>
          <w:numId w:val="1012"/>
        </w:numPr>
        <w:pStyle w:val="Compact"/>
      </w:pPr>
      <w:r>
        <w:rPr>
          <w:bCs/>
          <w:b/>
        </w:rPr>
        <w:t xml:space="preserve">StockTwits (15-oct):</w:t>
      </w:r>
      <w:r>
        <w:t xml:space="preserve"> </w:t>
      </w:r>
      <w:r>
        <w:t xml:space="preserve">15 mensajes alcistas y ninguno bajista de 30. El tono es de euforia de particulares («240 dólares», «no hay vendedores», «los cortos tendrán que cerrar») [10].</w:t>
      </w:r>
    </w:p>
    <w:p>
      <w:pPr>
        <w:numPr>
          <w:ilvl w:val="0"/>
          <w:numId w:val="1012"/>
        </w:numPr>
        <w:pStyle w:val="Compact"/>
      </w:pPr>
      <w:r>
        <w:rPr>
          <w:bCs/>
          <w:b/>
        </w:rPr>
        <w:t xml:space="preserve">Seeking Alpha:</w:t>
      </w:r>
      <w:r>
        <w:t xml:space="preserve"> </w:t>
      </w:r>
      <w:r>
        <w:t xml:space="preserve">el último artículo, de julio, la ve «a precio de perfección» y recomienda mantener [10].</w:t>
      </w:r>
    </w:p>
    <w:p>
      <w:pPr>
        <w:numPr>
          <w:ilvl w:val="0"/>
          <w:numId w:val="1012"/>
        </w:numPr>
        <w:pStyle w:val="Compact"/>
      </w:pPr>
      <w:r>
        <w:rPr>
          <w:bCs/>
          <w:b/>
        </w:rPr>
        <w:t xml:space="preserve">Profesionales:</w:t>
      </w:r>
      <w:r>
        <w:t xml:space="preserve"> </w:t>
      </w:r>
      <w:r>
        <w:t xml:space="preserve">más fríos tras el 2T. KBW rebaja la recomendación, TD Cowen baja el objetivo y 3 de 7 analistas dicen mantener [6][7].</w:t>
      </w:r>
    </w:p>
    <w:p>
      <w:pPr>
        <w:numPr>
          <w:ilvl w:val="0"/>
          <w:numId w:val="1012"/>
        </w:numPr>
        <w:pStyle w:val="Compact"/>
      </w:pPr>
      <w:r>
        <w:rPr>
          <w:bCs/>
          <w:b/>
        </w:rPr>
        <w:t xml:space="preserve">Posiciones cortas:</w:t>
      </w:r>
      <w:r>
        <w:t xml:space="preserve"> </w:t>
      </w:r>
      <w:r>
        <w:t xml:space="preserve">22,6 % del capital flotante, aunque bajan algo en el último mes [11]. Con tanto corto y tanto particular, el precio puede dar saltos fuertes en los dos sentidos (beta de 6,7).</w:t>
      </w:r>
    </w:p>
    <w:p>
      <w:pPr>
        <w:numPr>
          <w:ilvl w:val="0"/>
          <w:numId w:val="1012"/>
        </w:numPr>
        <w:pStyle w:val="Compact"/>
      </w:pPr>
      <w:r>
        <w:rPr>
          <w:bCs/>
          <w:b/>
        </w:rPr>
        <w:t xml:space="preserve">Reddit y foros en castellano:</w:t>
      </w:r>
      <w:r>
        <w:t xml:space="preserve"> </w:t>
      </w:r>
      <w:r>
        <w:t xml:space="preserve">sin acceso o sin hilos recientes (laguna) [10].</w:t>
      </w:r>
    </w:p>
    <w:p>
      <w:pPr>
        <w:numPr>
          <w:ilvl w:val="0"/>
          <w:numId w:val="1012"/>
        </w:numPr>
        <w:pStyle w:val="Compact"/>
      </w:pPr>
      <w:r>
        <w:rPr>
          <w:bCs/>
          <w:b/>
        </w:rPr>
        <w:t xml:space="preserve">Contraste con los datos:</w:t>
      </w:r>
      <w:r>
        <w:t xml:space="preserve"> </w:t>
      </w:r>
      <w:r>
        <w:t xml:space="preserve">el negocio va mejor que el precio. La acción vale un tercio menos que en julio, y desde entonces la guía ha subido. El sentimiento de los particulares, en cambio, va por delante.</w:t>
      </w:r>
    </w:p>
    <w:bookmarkEnd w:id="29"/>
    <w:bookmarkStart w:id="30" w:name="riesgos-y-qué-rompería-la-tesis"/>
    <w:p>
      <w:pPr>
        <w:pStyle w:val="Heading2"/>
      </w:pPr>
      <w:r>
        <w:t xml:space="preserve">11. Riesgos y qué rompería la tesis</w:t>
      </w:r>
    </w:p>
    <w:p>
      <w:pPr>
        <w:pStyle w:val="FirstParagraph"/>
      </w:pPr>
      <w:r>
        <w:rPr>
          <w:bCs/>
          <w:b/>
        </w:rPr>
        <w:t xml:space="preserve">Riesgos:</w:t>
      </w:r>
      <w:r>
        <w:t xml:space="preserve"> </w:t>
      </w:r>
      <w:r>
        <w:t xml:space="preserve">1.</w:t>
      </w:r>
      <w:r>
        <w:t xml:space="preserve"> </w:t>
      </w:r>
      <w:r>
        <w:rPr>
          <w:bCs/>
          <w:b/>
        </w:rPr>
        <w:t xml:space="preserve">Crédito.</w:t>
      </w:r>
      <w:r>
        <w:t xml:space="preserve"> </w:t>
      </w:r>
      <w:r>
        <w:t xml:space="preserve">Presta a clientes frágiles. En una recesión, la provisión (hoy 2,4-3 % del volumen) puede doblarse y comerse buena parte del margen. Los plazos son cortos y permiten frenar rápido, pero frenar es crecer menos.</w:t>
      </w:r>
      <w:r>
        <w:t xml:space="preserve"> </w:t>
      </w:r>
      <w:r>
        <w:t xml:space="preserve">2.</w:t>
      </w:r>
      <w:r>
        <w:t xml:space="preserve"> </w:t>
      </w:r>
      <w:r>
        <w:rPr>
          <w:bCs/>
          <w:b/>
        </w:rPr>
        <w:t xml:space="preserve">Financiación.</w:t>
      </w:r>
      <w:r>
        <w:t xml:space="preserve"> </w:t>
      </w:r>
      <w:r>
        <w:t xml:space="preserve">Depende de una línea de 300 M y de WebBank, que origina los préstamos. El acuerdo con WebBank va hasta 2029 y exige un patrimonio mínimo de 100 M [13]. Si sube el coste o se corta la línea, se frena el crecimiento.</w:t>
      </w:r>
      <w:r>
        <w:t xml:space="preserve"> </w:t>
      </w:r>
      <w:r>
        <w:t xml:space="preserve">3.</w:t>
      </w:r>
      <w:r>
        <w:t xml:space="preserve"> </w:t>
      </w:r>
      <w:r>
        <w:rPr>
          <w:bCs/>
          <w:b/>
        </w:rPr>
        <w:t xml:space="preserve">Regulación.</w:t>
      </w:r>
      <w:r>
        <w:t xml:space="preserve"> </w:t>
      </w:r>
      <w:r>
        <w:t xml:space="preserve">La CFPB federal se ha retirado: no aplica su norma de 2024 y anunció que la quitará. Pero los estados avanzan: Nueva York tiene un reglamento propuesto desde julio de 2026 (licencia y límites a las comisiones) e Illinois tiene ley propia [14]. Las comisiones al consumidor son el 43 % de las ventas: un tope a esas comisiones dolería. Ningún proceso abierto afecta hoy a más del 30 % de las ventas.</w:t>
      </w:r>
      <w:r>
        <w:t xml:space="preserve"> </w:t>
      </w:r>
      <w:r>
        <w:t xml:space="preserve">4.</w:t>
      </w:r>
      <w:r>
        <w:t xml:space="preserve"> </w:t>
      </w:r>
      <w:r>
        <w:rPr>
          <w:bCs/>
          <w:b/>
        </w:rPr>
        <w:t xml:space="preserve">Gobierno y cuentas.</w:t>
      </w:r>
      <w:r>
        <w:t xml:space="preserve"> </w:t>
      </w:r>
      <w:r>
        <w:t xml:space="preserve">Hay una debilidad material de control interno sin corregir y una reexpresión de los flujos de 2025 [5].</w:t>
      </w:r>
      <w:r>
        <w:t xml:space="preserve"> </w:t>
      </w:r>
      <w:r>
        <w:t xml:space="preserve">5.</w:t>
      </w:r>
      <w:r>
        <w:t xml:space="preserve"> </w:t>
      </w:r>
      <w:r>
        <w:rPr>
          <w:bCs/>
          <w:b/>
        </w:rPr>
        <w:t xml:space="preserve">Volatilidad.</w:t>
      </w:r>
      <w:r>
        <w:t xml:space="preserve"> </w:t>
      </w:r>
      <w:r>
        <w:t xml:space="preserve">−34 % en un día en agosto pese a batir. Las posiciones cortas, los particulares y la beta de 6,7 hacen que el precio caiga mucho más que el negocio cuando cambia la percepción.</w:t>
      </w:r>
      <w:r>
        <w:t xml:space="preserve"> </w:t>
      </w:r>
      <w:r>
        <w:t xml:space="preserve">6.</w:t>
      </w:r>
      <w:r>
        <w:t xml:space="preserve"> </w:t>
      </w:r>
      <w:r>
        <w:rPr>
          <w:bCs/>
          <w:b/>
        </w:rPr>
        <w:t xml:space="preserve">Riesgo de IA (medio-bajo).</w:t>
      </w:r>
      <w:r>
        <w:t xml:space="preserve"> </w:t>
      </w:r>
      <w:r>
        <w:t xml:space="preserve">Los agentes de compra con IA pueden elegir el método de pago y saltarse el botón de Sezzle en la caja del comercio. Sezzle Anywhere (tarjeta virtual) y la relación directa con el consumidor lo amortiguan. La IA también abarata el análisis de riesgo y la atención al cliente.</w:t>
      </w:r>
    </w:p>
    <w:p>
      <w:pPr>
        <w:pStyle w:val="BodyText"/>
      </w:pPr>
      <w:r>
        <w:rPr>
          <w:bCs/>
          <w:b/>
        </w:rPr>
        <w:t xml:space="preserve">Alertas de robustez del cálculo (v11):</w:t>
      </w:r>
      <w:r>
        <w:t xml:space="preserve"> </w:t>
      </w:r>
      <w:r>
        <w:t xml:space="preserve">-</w:t>
      </w:r>
      <w:r>
        <w:t xml:space="preserve"> </w:t>
      </w:r>
      <w:r>
        <w:rPr>
          <w:iCs/>
          <w:i/>
        </w:rPr>
        <w:t xml:space="preserve">Proyección mecánica (1.236 M) más de 1,2 veces la del informe (830 M).</w:t>
      </w:r>
      <w:r>
        <w:t xml:space="preserve"> </w:t>
      </w:r>
      <w:r>
        <w:t xml:space="preserve">No debilita la señal: v11 usa la del informe, que sale de la guía y del consenso. Con la mecánica saldría +61 %, una cifra sin base.</w:t>
      </w:r>
      <w:r>
        <w:t xml:space="preserve"> </w:t>
      </w:r>
      <w:r>
        <w:t xml:space="preserve">-</w:t>
      </w:r>
      <w:r>
        <w:t xml:space="preserve"> </w:t>
      </w:r>
      <w:r>
        <w:rPr>
          <w:iCs/>
          <w:i/>
        </w:rPr>
        <w:t xml:space="preserve">Múltiplo de hoy (14,6) más del doble de su mediana de 3 años (7,2).</w:t>
      </w:r>
      <w:r>
        <w:t xml:space="preserve"> </w:t>
      </w:r>
      <w:r>
        <w:t xml:space="preserve">Sí la debilita. La mediana está sesgada a la baja: compara cada trimestre con un EBITDA que nadie conocía entonces. Con el EBITDA conocido en cada fecha, el múltiplo es 1,3 veces su mediana, y tampoco pasa la prueba B del filtro (1,1). En el backtest, con esta alerta, solo 1 de 11 casos batió al Nasdaq-100. Con la candidata v14, que lleva el bajista a la mediana, el bajista empeora al −47 %, la ponderada baja al +6,6 % y la señal sigue en Comprar.</w:t>
      </w:r>
      <w:r>
        <w:t xml:space="preserve"> </w:t>
      </w:r>
      <w:r>
        <w:t xml:space="preserve">-</w:t>
      </w:r>
      <w:r>
        <w:t xml:space="preserve"> </w:t>
      </w:r>
      <w:r>
        <w:rPr>
          <w:iCs/>
          <w:i/>
        </w:rPr>
        <w:t xml:space="preserve">Exceso sobre la guía de 38,6 puntos.</w:t>
      </w:r>
      <w:r>
        <w:t xml:space="preserve"> </w:t>
      </w:r>
      <w:r>
        <w:t xml:space="preserve">No cambia nada: aunque se use el exceso de 2026 (7,5 puntos), la guía más el exceso sigue por encima de la partida mecánica, y v11 ya recorta con las ventas del informe.</w:t>
      </w:r>
    </w:p>
    <w:p>
      <w:pPr>
        <w:pStyle w:val="BodyText"/>
      </w:pPr>
      <w:r>
        <w:rPr>
          <w:bCs/>
          <w:b/>
        </w:rPr>
        <w:t xml:space="preserve">Prueba de robustez (</w:t>
      </w:r>
      <w:r>
        <w:rPr>
          <w:rStyle w:val="VerbatimChar"/>
          <w:bCs/>
          <w:b/>
        </w:rPr>
        <w:t xml:space="preserve">robustez-growth.mjs --precios</w:t>
      </w:r>
      <w:r>
        <w:rPr>
          <w:bCs/>
          <w:b/>
        </w:rPr>
        <w:t xml:space="preserve">): SÓLIDA, Comprar.</w:t>
      </w:r>
      <w:r>
        <w:t xml:space="preserve"> </w:t>
      </w:r>
      <w:r>
        <w:t xml:space="preserve">Dos avisos:</w:t>
      </w:r>
      <w:r>
        <w:t xml:space="preserve"> </w:t>
      </w:r>
      <w:r>
        <w:t xml:space="preserve">- El objetivo se mueve con el precio. Por eso se deja fijo el objetivo de 134,2 USD y el límite de 127,8 USD.</w:t>
      </w:r>
      <w:r>
        <w:t xml:space="preserve"> </w:t>
      </w:r>
      <w:r>
        <w:t xml:space="preserve">- Con un bajista del −41 %, la posición debe ser pequeña y en tramos.</w:t>
      </w:r>
    </w:p>
    <w:p>
      <w:pPr>
        <w:pStyle w:val="BodyText"/>
      </w:pPr>
      <w:r>
        <w:t xml:space="preserve">La variante que más pesa: con probabilidades 35/50/15 (más peso al escenario malo, razonable en un prestamista a clientes frágiles) la ponderada cae al −0,8 % y la señal pasa a Mantener. La compra depende de que el bajista no sea más probable de lo normal.</w:t>
      </w:r>
    </w:p>
    <w:p>
      <w:pPr>
        <w:pStyle w:val="BodyText"/>
      </w:pPr>
      <w:r>
        <w:rPr>
          <w:bCs/>
          <w:b/>
        </w:rPr>
        <w:t xml:space="preserve">Qué rompería la tesis (señales de venta):</w:t>
      </w:r>
      <w:r>
        <w:t xml:space="preserve"> </w:t>
      </w:r>
      <w:r>
        <w:t xml:space="preserve">- La provisión por impagos pasa del 3,5 % del volumen dos trimestres seguidos.</w:t>
      </w:r>
      <w:r>
        <w:t xml:space="preserve"> </w:t>
      </w:r>
      <w:r>
        <w:t xml:space="preserve">- Las ventas crecen menos del 20 % dos trimestres seguidos.</w:t>
      </w:r>
      <w:r>
        <w:t xml:space="preserve"> </w:t>
      </w:r>
      <w:r>
        <w:t xml:space="preserve">- Se pierde o se encarece mucho la línea de financiación o el acuerdo con WebBank.</w:t>
      </w:r>
      <w:r>
        <w:t xml:space="preserve"> </w:t>
      </w:r>
      <w:r>
        <w:t xml:space="preserve">- Una norma estatal o federal limita las comisiones al consumidor en estados que sumen más del 30 % de las ventas.</w:t>
      </w:r>
      <w:r>
        <w:t xml:space="preserve"> </w:t>
      </w:r>
      <w:r>
        <w:t xml:space="preserve">- La debilidad de control interno acaba en otra reexpresión que toque el beneficio.</w:t>
      </w:r>
    </w:p>
    <w:bookmarkEnd w:id="30"/>
    <w:bookmarkStart w:id="31" w:name="catalizadores-con-fecha"/>
    <w:p>
      <w:pPr>
        <w:pStyle w:val="Heading2"/>
      </w:pPr>
      <w:r>
        <w:t xml:space="preserve">12. Catalizadores con fecha</w:t>
      </w:r>
    </w:p>
    <w:p>
      <w:pPr>
        <w:numPr>
          <w:ilvl w:val="0"/>
          <w:numId w:val="1013"/>
        </w:numPr>
        <w:pStyle w:val="Compact"/>
      </w:pPr>
      <w:r>
        <w:t xml:space="preserve">4-nov-2026: resultados del 3T26. Será el primer trimestre entero con SezzleCash y Sezzle Send y con la financiación más barata. Se verá si el segundo semestre crece el 30 % guiado.</w:t>
      </w:r>
    </w:p>
    <w:p>
      <w:pPr>
        <w:numPr>
          <w:ilvl w:val="0"/>
          <w:numId w:val="1013"/>
        </w:numPr>
        <w:pStyle w:val="Compact"/>
      </w:pPr>
      <w:r>
        <w:t xml:space="preserve">9 al 17-nov-2026: conferencias de BMO, Citi, KBW y TD Cowen.</w:t>
      </w:r>
    </w:p>
    <w:p>
      <w:pPr>
        <w:numPr>
          <w:ilvl w:val="0"/>
          <w:numId w:val="1013"/>
        </w:numPr>
        <w:pStyle w:val="Compact"/>
      </w:pPr>
      <w:r>
        <w:t xml:space="preserve">19-nov-2026: junta de accionistas.</w:t>
      </w:r>
    </w:p>
    <w:p>
      <w:pPr>
        <w:numPr>
          <w:ilvl w:val="0"/>
          <w:numId w:val="1013"/>
        </w:numPr>
        <w:pStyle w:val="Compact"/>
      </w:pPr>
      <w:r>
        <w:t xml:space="preserve">4T26 o 1T27: reglamento definitivo de Nueva York sobre el pago a plazos.</w:t>
      </w:r>
    </w:p>
    <w:p>
      <w:pPr>
        <w:numPr>
          <w:ilvl w:val="0"/>
          <w:numId w:val="1013"/>
        </w:numPr>
        <w:pStyle w:val="Compact"/>
      </w:pPr>
      <w:r>
        <w:t xml:space="preserve">Febrero de 2027: guía de 2027.</w:t>
      </w:r>
    </w:p>
    <w:p>
      <w:pPr>
        <w:numPr>
          <w:ilvl w:val="0"/>
          <w:numId w:val="1013"/>
        </w:numPr>
        <w:pStyle w:val="Compact"/>
      </w:pPr>
      <w:r>
        <w:t xml:space="preserve">Sin fecha: licencia bancaria propia y juicio contra Shopify.</w:t>
      </w:r>
    </w:p>
    <w:bookmarkEnd w:id="31"/>
    <w:bookmarkStart w:id="32" w:name="encaje-en-cartera"/>
    <w:p>
      <w:pPr>
        <w:pStyle w:val="Heading2"/>
      </w:pPr>
      <w:r>
        <w:t xml:space="preserve">13. Encaje en cartera</w:t>
      </w:r>
    </w:p>
    <w:p>
      <w:pPr>
        <w:numPr>
          <w:ilvl w:val="0"/>
          <w:numId w:val="1014"/>
        </w:numPr>
        <w:pStyle w:val="Compact"/>
      </w:pPr>
      <w:r>
        <w:rPr>
          <w:bCs/>
          <w:b/>
        </w:rPr>
        <w:t xml:space="preserve">Frente al bolsillo growth (lleno, ~20 %):</w:t>
      </w:r>
      <w:r>
        <w:t xml:space="preserve"> </w:t>
      </w:r>
      <w:r>
        <w:t xml:space="preserve">Nu (+22 %), Axon (+35 %), Shopify (+19 %), Snowflake (+16 %) y Samsara (+17 %), al precio actual con v11. Sin liquidez libre, Sezzle solo entraría sustituyendo a otra.</w:t>
      </w:r>
    </w:p>
    <w:p>
      <w:pPr>
        <w:numPr>
          <w:ilvl w:val="1"/>
          <w:numId w:val="1015"/>
        </w:numPr>
        <w:pStyle w:val="Compact"/>
      </w:pPr>
      <w:r>
        <w:t xml:space="preserve">La más floja es Snowflake (+16 %, convicción media). Sezzle da +9 % con convicción media: rinde menos, así que</w:t>
      </w:r>
      <w:r>
        <w:t xml:space="preserve"> </w:t>
      </w:r>
      <w:r>
        <w:rPr>
          <w:bCs/>
          <w:b/>
        </w:rPr>
        <w:t xml:space="preserve">no la sustituye</w:t>
      </w:r>
      <w:r>
        <w:t xml:space="preserve">.</w:t>
      </w:r>
    </w:p>
    <w:p>
      <w:pPr>
        <w:numPr>
          <w:ilvl w:val="1"/>
          <w:numId w:val="1015"/>
        </w:numPr>
        <w:pStyle w:val="Compact"/>
      </w:pPr>
      <w:r>
        <w:t xml:space="preserve">Alphabet se vende mañana y no cambia nada aquí: Sezzle no es una apuesta de IA.</w:t>
      </w:r>
    </w:p>
    <w:p>
      <w:pPr>
        <w:numPr>
          <w:ilvl w:val="0"/>
          <w:numId w:val="1014"/>
        </w:numPr>
        <w:pStyle w:val="Compact"/>
      </w:pPr>
      <w:r>
        <w:rPr>
          <w:bCs/>
          <w:b/>
        </w:rPr>
        <w:t xml:space="preserve">¿Tiene sentido otro prestamista además de Nu? No.</w:t>
      </w:r>
    </w:p>
    <w:p>
      <w:pPr>
        <w:numPr>
          <w:ilvl w:val="1"/>
          <w:numId w:val="1016"/>
        </w:numPr>
        <w:pStyle w:val="Compact"/>
      </w:pPr>
      <w:r>
        <w:t xml:space="preserve">Nu ya pone en la cartera el riesgo de crédito al consumo: impagos, tipos y regulación. Es en Brasil, pero el ciclo de crédito y el apetito por las fintech se mueven juntos.</w:t>
      </w:r>
    </w:p>
    <w:p>
      <w:pPr>
        <w:numPr>
          <w:ilvl w:val="1"/>
          <w:numId w:val="1016"/>
        </w:numPr>
        <w:pStyle w:val="Compact"/>
      </w:pPr>
      <w:r>
        <w:t xml:space="preserve">Sumar Sezzle o Affirm doblaría esa apuesta con un cliente más frágil (Sezzle) o un margen más fino (Affirm).</w:t>
      </w:r>
    </w:p>
    <w:p>
      <w:pPr>
        <w:numPr>
          <w:ilvl w:val="1"/>
          <w:numId w:val="1016"/>
        </w:numPr>
        <w:pStyle w:val="Compact"/>
      </w:pPr>
      <w:r>
        <w:t xml:space="preserve">Si algún día entra uno, Sezzle crece más, está más barata por beneficio (21 veces) y su convicción es más alta que la de Affirm (media frente a baja). Affirm, en cambio, tiene mejor gobierno, más escala y menos cortos. Las dos dan una rentabilidad parecida (+9 %).</w:t>
      </w:r>
    </w:p>
    <w:p>
      <w:pPr>
        <w:numPr>
          <w:ilvl w:val="1"/>
          <w:numId w:val="1016"/>
        </w:numPr>
        <w:pStyle w:val="Compact"/>
      </w:pPr>
      <w:r>
        <w:t xml:space="preserve">Lo prudente es un solo prestamista estadounidense en la lista de suplentes, no dos.</w:t>
      </w:r>
    </w:p>
    <w:p>
      <w:pPr>
        <w:numPr>
          <w:ilvl w:val="0"/>
          <w:numId w:val="1014"/>
        </w:numPr>
        <w:pStyle w:val="Compact"/>
      </w:pPr>
      <w:r>
        <w:rPr>
          <w:bCs/>
          <w:b/>
        </w:rPr>
        <w:t xml:space="preserve">Puesto de suplente: 11.</w:t>
      </w:r>
      <w:r>
        <w:t xml:space="preserve"> </w:t>
      </w:r>
      <w:r>
        <w:t xml:space="preserve">Queda detrás de Saab (+6 %) y por delante de Natera (+8 %) e Ypsomed (+3 %). La pongo detrás de Saab aunque rinde más, por la misma razón que Natera está la última: tiene la alerta de múltiplo caro (más del doble de su mediana) y, además, es crédito al consumo y se solapa con Nu.</w:t>
      </w:r>
    </w:p>
    <w:p>
      <w:pPr>
        <w:numPr>
          <w:ilvl w:val="0"/>
          <w:numId w:val="1014"/>
        </w:numPr>
        <w:pStyle w:val="Compact"/>
      </w:pPr>
      <w:r>
        <w:rPr>
          <w:bCs/>
          <w:b/>
        </w:rPr>
        <w:t xml:space="preserve">Si llegara a entrar:</w:t>
      </w:r>
      <w:r>
        <w:t xml:space="preserve"> </w:t>
      </w:r>
      <w:r>
        <w:t xml:space="preserve">4 % en dos tramos, la mitad por debajo de 127,8 USD y la otra mitad tras los resultados del 4-nov si el segundo semestre crece en torno al 30 % y la provisión se queda en el 2,5-3 %.</w:t>
      </w:r>
    </w:p>
    <w:p>
      <w:pPr>
        <w:numPr>
          <w:ilvl w:val="0"/>
          <w:numId w:val="1014"/>
        </w:numPr>
        <w:pStyle w:val="Compact"/>
      </w:pPr>
      <w:r>
        <w:rPr>
          <w:bCs/>
          <w:b/>
        </w:rPr>
        <w:t xml:space="preserve">Filtro previo, con los datos completos:</w:t>
      </w:r>
    </w:p>
    <w:p>
      <w:pPr>
        <w:numPr>
          <w:ilvl w:val="1"/>
          <w:numId w:val="1017"/>
        </w:numPr>
        <w:pStyle w:val="Compact"/>
      </w:pPr>
      <w:r>
        <w:t xml:space="preserve">A (crecimiento ≥ 15 %): se confirma, 43 %.</w:t>
      </w:r>
    </w:p>
    <w:p>
      <w:pPr>
        <w:numPr>
          <w:ilvl w:val="1"/>
          <w:numId w:val="1017"/>
        </w:numPr>
        <w:pStyle w:val="Compact"/>
      </w:pPr>
      <w:r>
        <w:t xml:space="preserve">B (EV/EBITDA ≤ 1,1 veces su mediana de 3 años):</w:t>
      </w:r>
      <w:r>
        <w:t xml:space="preserve"> </w:t>
      </w:r>
      <w:r>
        <w:rPr>
          <w:bCs/>
          <w:b/>
        </w:rPr>
        <w:t xml:space="preserve">no se confirma</w:t>
      </w:r>
      <w:r>
        <w:t xml:space="preserve">. Da 2,0 veces con el EBITDA real de cada año y 1,3 con el EBITDA conocido en cada fecha. El 1,02 del filtro salió de otra forma de medir.</w:t>
      </w:r>
    </w:p>
    <w:p>
      <w:pPr>
        <w:numPr>
          <w:ilvl w:val="1"/>
          <w:numId w:val="1017"/>
        </w:numPr>
        <w:pStyle w:val="Compact"/>
      </w:pPr>
      <w:r>
        <w:t xml:space="preserve">C (mayor cliente ≤ 40 %): se confirma, sin cliente relevante.</w:t>
      </w:r>
    </w:p>
    <w:p>
      <w:pPr>
        <w:numPr>
          <w:ilvl w:val="1"/>
          <w:numId w:val="1017"/>
        </w:numPr>
        <w:pStyle w:val="Compact"/>
      </w:pPr>
      <w:r>
        <w:t xml:space="preserve">D (crecimiento que descuenta el precio ÷ el actual ≤ 0,8): se confirma, 0,32.</w:t>
      </w:r>
    </w:p>
    <w:p>
      <w:pPr>
        <w:numPr>
          <w:ilvl w:val="1"/>
          <w:numId w:val="1017"/>
        </w:numPr>
        <w:pStyle w:val="Compact"/>
      </w:pPr>
      <w:r>
        <w:t xml:space="preserve">Con la B bien medida, el filtro la habría descartado.</w:t>
      </w:r>
    </w:p>
    <w:bookmarkEnd w:id="32"/>
    <w:bookmarkStart w:id="33" w:name="puntuación"/>
    <w:p>
      <w:pPr>
        <w:pStyle w:val="Heading2"/>
      </w:pPr>
      <w:r>
        <w:t xml:space="preserve">14. Puntuación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r>
      <w:tr>
        <w:tc>
          <w:tcPr/>
          <w:p>
            <w:pPr>
              <w:pStyle w:val="Compact"/>
              <w:jc w:val="left"/>
            </w:pPr>
            <w:r>
              <w:t xml:space="preserve">A. Crecimiento</w:t>
            </w:r>
          </w:p>
        </w:tc>
        <w:tc>
          <w:tcPr/>
          <w:p>
            <w:pPr>
              <w:pStyle w:val="Compact"/>
              <w:jc w:val="left"/>
            </w:pPr>
            <w:r>
              <w:t xml:space="preserve">21,7</w:t>
            </w:r>
          </w:p>
        </w:tc>
        <w:tc>
          <w:tcPr/>
          <w:p>
            <w:pPr>
              <w:pStyle w:val="Compact"/>
              <w:jc w:val="left"/>
            </w:pPr>
            <w:r>
              <w:t xml:space="preserve">25</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r>
      <w:tr>
        <w:tc>
          <w:tcPr/>
          <w:p>
            <w:pPr>
              <w:pStyle w:val="Compact"/>
              <w:jc w:val="left"/>
            </w:pPr>
            <w:r>
              <w:t xml:space="preserve">C. Cambio de tendencia</w:t>
            </w:r>
          </w:p>
        </w:tc>
        <w:tc>
          <w:tcPr/>
          <w:p>
            <w:pPr>
              <w:pStyle w:val="Compact"/>
              <w:jc w:val="left"/>
            </w:pPr>
            <w:r>
              <w:t xml:space="preserve">12,5</w:t>
            </w:r>
          </w:p>
        </w:tc>
        <w:tc>
          <w:tcPr/>
          <w:p>
            <w:pPr>
              <w:pStyle w:val="Compact"/>
              <w:jc w:val="left"/>
            </w:pPr>
            <w:r>
              <w:t xml:space="preserve">20</w:t>
            </w:r>
          </w:p>
        </w:tc>
      </w:tr>
      <w:tr>
        <w:tc>
          <w:tcPr/>
          <w:p>
            <w:pPr>
              <w:pStyle w:val="Compact"/>
              <w:jc w:val="left"/>
            </w:pPr>
            <w:r>
              <w:t xml:space="preserve">D. Economía unitaria</w:t>
            </w:r>
          </w:p>
        </w:tc>
        <w:tc>
          <w:tcPr/>
          <w:p>
            <w:pPr>
              <w:pStyle w:val="Compact"/>
              <w:jc w:val="left"/>
            </w:pPr>
            <w:r>
              <w:t xml:space="preserve">12,0</w:t>
            </w:r>
          </w:p>
        </w:tc>
        <w:tc>
          <w:tcPr/>
          <w:p>
            <w:pPr>
              <w:pStyle w:val="Compact"/>
              <w:jc w:val="left"/>
            </w:pPr>
            <w:r>
              <w:t xml:space="preserve">15</w:t>
            </w:r>
          </w:p>
        </w:tc>
      </w:tr>
      <w:tr>
        <w:tc>
          <w:tcPr/>
          <w:p>
            <w:pPr>
              <w:pStyle w:val="Compact"/>
              <w:jc w:val="left"/>
            </w:pPr>
            <w:r>
              <w:t xml:space="preserve">E. Caja y dilución</w:t>
            </w:r>
          </w:p>
        </w:tc>
        <w:tc>
          <w:tcPr/>
          <w:p>
            <w:pPr>
              <w:pStyle w:val="Compact"/>
              <w:jc w:val="left"/>
            </w:pPr>
            <w:r>
              <w:t xml:space="preserve">10,0</w:t>
            </w:r>
          </w:p>
        </w:tc>
        <w:tc>
          <w:tcPr/>
          <w:p>
            <w:pPr>
              <w:pStyle w:val="Compact"/>
              <w:jc w:val="left"/>
            </w:pPr>
            <w:r>
              <w:t xml:space="preserve">10</w:t>
            </w:r>
          </w:p>
        </w:tc>
      </w:tr>
      <w:tr>
        <w:tc>
          <w:tcPr/>
          <w:p>
            <w:pPr>
              <w:pStyle w:val="Compact"/>
              <w:jc w:val="left"/>
            </w:pPr>
            <w:r>
              <w:t xml:space="preserve">F. Ejecución y dirección</w:t>
            </w:r>
          </w:p>
        </w:tc>
        <w:tc>
          <w:tcPr/>
          <w:p>
            <w:pPr>
              <w:pStyle w:val="Compact"/>
              <w:jc w:val="left"/>
            </w:pPr>
            <w:r>
              <w:t xml:space="preserve">8,0</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77,5</w:t>
            </w:r>
          </w:p>
        </w:tc>
        <w:tc>
          <w:tcPr/>
          <w:p>
            <w:pPr>
              <w:pStyle w:val="Compact"/>
              <w:jc w:val="left"/>
            </w:pPr>
            <w:r>
              <w:rPr>
                <w:bCs/>
                <w:b/>
              </w:rPr>
              <w:t xml:space="preserve">100</w:t>
            </w:r>
          </w:p>
        </w:tc>
      </w:tr>
    </w:tbl>
    <w:bookmarkEnd w:id="33"/>
    <w:bookmarkStart w:id="34" w:name="fuentes"/>
    <w:p>
      <w:pPr>
        <w:pStyle w:val="Heading2"/>
      </w:pPr>
      <w:r>
        <w:t xml:space="preserve">Fuentes</w:t>
      </w:r>
    </w:p>
    <w:p>
      <w:pPr>
        <w:pStyle w:val="FirstParagraph"/>
      </w:pPr>
      <w:r>
        <w:t xml:space="preserve">[1] Sezzle, nota de resultados del 2T26 (6-ago-2026), 8-K ex. 99.1, SEC.</w:t>
      </w:r>
      <w:r>
        <w:t xml:space="preserve"> </w:t>
      </w:r>
      <w:r>
        <w:t xml:space="preserve">[2] Sezzle, notas de resultados del 4T24, 2T25, 3T25, 4T25 y 1T26 (8-K ex. 99.1, SEC): EBITDA ajustado trimestral, guías de 2025 y 2026.</w:t>
      </w:r>
      <w:r>
        <w:t xml:space="preserve"> </w:t>
      </w:r>
      <w:r>
        <w:t xml:space="preserve">[3] SEC XBRL companyfacts de Sezzle (CIK 1662991): ventas, beneficio operativo, flujos de caja y acciones por trimestre.</w:t>
      </w:r>
      <w:r>
        <w:t xml:space="preserve"> </w:t>
      </w:r>
      <w:r>
        <w:t xml:space="preserve">[4] FXStreet y Finviz (6-7-ago-2026): caída tras el 2T; crecimiento del 2S26 en torno al 30 %.</w:t>
      </w:r>
      <w:r>
        <w:t xml:space="preserve"> </w:t>
      </w:r>
      <w:r>
        <w:t xml:space="preserve">[5] Sezzle, 10-Q del 2T26 (7-ago-2026, SEC): concentración, ingresos por tipo, préstamos y provisión, reexpresión y debilidad material.</w:t>
      </w:r>
      <w:r>
        <w:t xml:space="preserve"> </w:t>
      </w:r>
      <w:r>
        <w:t xml:space="preserve">[6] StockAnalysis.com (S&amp;P Global), previsiones de SEZL a 6-oct-2026.</w:t>
      </w:r>
      <w:r>
        <w:t xml:space="preserve"> </w:t>
      </w:r>
      <w:r>
        <w:t xml:space="preserve">[7] Parameter.io y Webull/Barchart (ago-2026): rebaja de KBW.</w:t>
      </w:r>
      <w:r>
        <w:t xml:space="preserve"> </w:t>
      </w:r>
      <w:r>
        <w:t xml:space="preserve">[8] Yahoo Finance chart API (SEZL y QQQ) y StockAnalysis.com (segunda fuente del cierre y preapertura).</w:t>
      </w:r>
      <w:r>
        <w:t xml:space="preserve"> </w:t>
      </w:r>
      <w:r>
        <w:t xml:space="preserve">[9] Cálculo propio de EV, EBITDA de los 12 meses siguientes e histórico de múltiplos (detalle en</w:t>
      </w:r>
      <w:r>
        <w:t xml:space="preserve"> </w:t>
      </w:r>
      <w:r>
        <w:rPr>
          <w:rStyle w:val="VerbatimChar"/>
        </w:rPr>
        <w:t xml:space="preserve">datos.json</w:t>
      </w:r>
      <w:r>
        <w:t xml:space="preserve">).</w:t>
      </w:r>
      <w:r>
        <w:t xml:space="preserve"> </w:t>
      </w:r>
      <w:r>
        <w:t xml:space="preserve">[10] StockTwits (API pública, 15-oct-2026); Seeking Alpha (23-jul-2026); Reddit bloqueado.</w:t>
      </w:r>
      <w:r>
        <w:t xml:space="preserve"> </w:t>
      </w:r>
      <w:r>
        <w:t xml:space="preserve">[11] StockAnalysis.com, estadísticas de SEZL, Dave, PayPal, Upstart y Klarna (14-oct-2026).</w:t>
      </w:r>
      <w:r>
        <w:t xml:space="preserve"> </w:t>
      </w:r>
      <w:r>
        <w:t xml:space="preserve">[12] SEC, Formularios 4 y 144 (ago-oct 2026) y Schedule 13D/A de Charles Youakim (14-sep-2026).</w:t>
      </w:r>
      <w:r>
        <w:t xml:space="preserve"> </w:t>
      </w:r>
      <w:r>
        <w:t xml:space="preserve">[13] Sezzle, 8-K del 8-oct, 18-ago y 12-may-2026.</w:t>
      </w:r>
      <w:r>
        <w:t xml:space="preserve"> </w:t>
      </w:r>
      <w:r>
        <w:t xml:space="preserve">[14] Greenberg Traurig y Holland &amp; Knight (2025-2026): reglas de Nueva York, Illinois y la CFPB.</w:t>
      </w:r>
      <w:r>
        <w:t xml:space="preserve"> </w:t>
      </w:r>
      <w:r>
        <w:t xml:space="preserve">[15] Estimación propia del mercado alcanzable (no verificada).</w:t>
      </w:r>
      <w:r>
        <w:t xml:space="preserve"> </w:t>
      </w:r>
      <w:r>
        <w:t xml:space="preserve">[16] Cálculo propio de DCF inverso.</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2026-10-15T08:31:35Z</dcterms:created>
  <dcterms:modified xsi:type="dcterms:W3CDTF">2026-10-15T08:31:35Z</dcterms:modified>
</cp:coreProperties>
</file>

<file path=docProps/custom.xml><?xml version="1.0" encoding="utf-8"?>
<Properties xmlns="http://schemas.openxmlformats.org/officeDocument/2006/custom-properties" xmlns:vt="http://schemas.openxmlformats.org/officeDocument/2006/docPropsVTypes"/>
</file>