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itime-sitm-análisis-growth-2026-10-15"/>
    <w:p>
      <w:pPr>
        <w:pStyle w:val="Heading1"/>
      </w:pPr>
      <w:r>
        <w:t xml:space="preserve">SiTime (SITM): análisis growth, 2026-10-15</w:t>
      </w:r>
    </w:p>
    <w:p>
      <w:pPr>
        <w:pStyle w:val="FirstParagraph"/>
      </w:pPr>
      <w:r>
        <w:rPr>
          <w:bCs/>
          <w:b/>
        </w:rPr>
        <w:t xml:space="preserve">Señal: Vender (no comprar)</w:t>
      </w:r>
      <w:r>
        <w:t xml:space="preserve"> </w:t>
      </w:r>
      <w:r>
        <w:t xml:space="preserve">· Puntuación 77/100 · Señales de cambio de tendencia 4/8 · Método vigente v11</w:t>
      </w:r>
      <w:r>
        <w:t xml:space="preserve"> </w:t>
      </w:r>
      <w:r>
        <w:t xml:space="preserve">Precio 524,93 USD (cierre del 14-oct) · Objetivo 12 m 275,4 USD (ponderada −47,5 %, base −46,0 %, bajista −81,0 %, alcista −17,1 %) · Compra hasta 199 USD</w:t>
      </w:r>
      <w:r>
        <w:t xml:space="preserve"> </w:t>
      </w:r>
      <w:r>
        <w:t xml:space="preserve">Con v9 (referencia): la misma señal, Vender, con la misma ponderada (−47,5 %); solo cambia el «compra hasta», 262,2 USD.</w:t>
      </w:r>
      <w:r>
        <w:t xml:space="preserve"> </w:t>
      </w:r>
      <w:r>
        <w:t xml:space="preserve">Precio actual: 515,06 USD (fuera de horario, 14-oct 23:30 UTC; el 15-oct a las 07:51 UTC el mercado aún no ha abierto). Con el objetivo fijo, la ponderada a ese precio es −46,5 %.</w:t>
      </w:r>
      <w:r>
        <w:t xml:space="preserve"> </w:t>
      </w:r>
      <w:r>
        <w:t xml:space="preserve">Peso orientativo: no entra.</w:t>
      </w:r>
    </w:p>
    <w:bookmarkStart w:id="20" w:name="resumen-en-llano"/>
    <w:p>
      <w:pPr>
        <w:pStyle w:val="Heading2"/>
      </w:pPr>
      <w:r>
        <w:t xml:space="preserve">Resumen en llano</w:t>
      </w:r>
    </w:p>
    <w:p>
      <w:pPr>
        <w:pStyle w:val="FirstParagraph"/>
      </w:pPr>
      <w:r>
        <w:t xml:space="preserve">SiTime fabrica los «relojes» de los chips con una tecnología propia (MEMS, de silicio) que sustituye al cristal de cuarzo. Ahora mismo crece muchísimo: un 83 % en un año y un 127 % en el último trimestre, sobre todo por los centros de datos de IA. Además, el 1 de julio compró el negocio de relojes de Renesas. El negocio es bueno, pero la bolsa ya lo paga caro: unas 14 veces las ventas del próximo año. El método supone que el crecimiento se frenará con fuerza en dos años y que entonces el mercado pagará menos múltiplo, y con eso no queda rentabilidad. La señal es Vender (no comprar) y la prueba de robustez la da como sólida: sale Vender con todas las variantes, incluida la que corrige la compra de Renesas.</w:t>
      </w:r>
    </w:p>
    <w:bookmarkEnd w:id="20"/>
    <w:bookmarkStart w:id="21" w:name="la-tesis-en-cinco-líneas"/>
    <w:p>
      <w:pPr>
        <w:pStyle w:val="Heading2"/>
      </w:pPr>
      <w:r>
        <w:t xml:space="preserve">1. La tesis en cinco líneas</w:t>
      </w:r>
    </w:p>
    <w:p>
      <w:pPr>
        <w:numPr>
          <w:ilvl w:val="0"/>
          <w:numId w:val="1001"/>
        </w:numPr>
        <w:pStyle w:val="Compact"/>
      </w:pPr>
      <w:r>
        <w:t xml:space="preserve">Es la única empresa de semiconductores dedicada solo a la temporización. Su tecnología MEMS gana cuota al cuarzo allí donde importan la precisión, el tamaño y la resistencia: centros de datos de IA, módulos ópticos, coches y defensa.</w:t>
      </w:r>
    </w:p>
    <w:p>
      <w:pPr>
        <w:numPr>
          <w:ilvl w:val="0"/>
          <w:numId w:val="1001"/>
        </w:numPr>
        <w:pStyle w:val="Compact"/>
      </w:pPr>
      <w:r>
        <w:t xml:space="preserve">Crece un 83 % en los últimos 12 meses, todo sin compras. El segmento de centros de datos crece un 181 %. La guía del 3T es de 285-295 M, con 200-210 M sin Renesas (+145 %).</w:t>
      </w:r>
    </w:p>
    <w:p>
      <w:pPr>
        <w:numPr>
          <w:ilvl w:val="0"/>
          <w:numId w:val="1001"/>
        </w:numPr>
        <w:pStyle w:val="Compact"/>
      </w:pPr>
      <w:r>
        <w:t xml:space="preserve">Con Renesas multiplica por diez su catálogo de relojes de sincronización y suma unos 300 M de ventas al año con un ~70 % de margen bruto.</w:t>
      </w:r>
    </w:p>
    <w:p>
      <w:pPr>
        <w:numPr>
          <w:ilvl w:val="0"/>
          <w:numId w:val="1001"/>
        </w:numPr>
        <w:pStyle w:val="Compact"/>
      </w:pPr>
      <w:r>
        <w:t xml:space="preserve">Por qué no se compra: el valor de empresa, 17.568 M, ya incluye lo pagado por Renesas. Eso son 14,1 veces las ventas del próximo año, frente a una mediana de unas 10 veces en tres años. El precio descuenta crecer un 32 % al año durante diez años.</w:t>
      </w:r>
    </w:p>
    <w:p>
      <w:pPr>
        <w:numPr>
          <w:ilvl w:val="0"/>
          <w:numId w:val="1001"/>
        </w:numPr>
        <w:pStyle w:val="Compact"/>
      </w:pPr>
      <w:r>
        <w:t xml:space="preserve">Las otras dos razones: los directivos solo venden y los pagos en acciones son el 24 % de las ventas. Volvería a estudiarse por debajo de 199 USD, o con una guía de 2027 muy por encima del consenso.</w:t>
      </w:r>
    </w:p>
    <w:bookmarkEnd w:id="21"/>
    <w:bookmarkStart w:id="22" w:name="negocio-y-tecnología"/>
    <w:p>
      <w:pPr>
        <w:pStyle w:val="Heading2"/>
      </w:pPr>
      <w:r>
        <w:t xml:space="preserve">2. Negocio y tecnología</w:t>
      </w:r>
    </w:p>
    <w:p>
      <w:pPr>
        <w:pStyle w:val="FirstParagraph"/>
      </w:pPr>
      <w:r>
        <w:t xml:space="preserve">SiTime diseña sin fábrica propia osciladores, resonadores y relojes de sincronización hechos con MEMS de silicio. Son los componentes que marcan el ritmo de un sistema electrónico. Frente al cuarzo, su tecnología es más pequeña, consume menos, resiste mejor la vibración y la temperatura y se programa: con un mismo chip puede servir cientos de referencias. Ha vendido más de 4.000 millones de unidades [3][5].</w:t>
      </w:r>
    </w:p>
    <w:p>
      <w:pPr>
        <w:pStyle w:val="BodyText"/>
      </w:pPr>
      <w:r>
        <w:t xml:space="preserve">Ventas del 2T26 por segmento [5]:</w:t>
      </w:r>
      <w:r>
        <w:t xml:space="preserve"> </w:t>
      </w:r>
      <w:r>
        <w:t xml:space="preserve">- Comunicaciones, empresa y centros de datos: 101,2 M (64 % del total, +181 %).</w:t>
      </w:r>
      <w:r>
        <w:t xml:space="preserve"> </w:t>
      </w:r>
      <w:r>
        <w:t xml:space="preserve">- Móvil, IoT y consumo: 31,4 M (+85 %). Aquí está Apple.</w:t>
      </w:r>
      <w:r>
        <w:t xml:space="preserve"> </w:t>
      </w:r>
      <w:r>
        <w:t xml:space="preserve">- Automoción, industria, aeroespacial y defensa: 24,8 M (+51 %).</w:t>
      </w:r>
    </w:p>
    <w:p>
      <w:pPr>
        <w:pStyle w:val="BodyText"/>
      </w:pPr>
      <w:r>
        <w:rPr>
          <w:bCs/>
          <w:b/>
        </w:rPr>
        <w:t xml:space="preserve">La compra de Renesas.</w:t>
      </w:r>
      <w:r>
        <w:t xml:space="preserve"> </w:t>
      </w:r>
      <w:r>
        <w:t xml:space="preserve">Cerrada el 1-jul-2026. SiTime pagó 1.499 M en efectivo y 3,56 M de acciones; el precio contable fue de 4.006 M, con la acción a 703,84 USD [2][4]. A cambio recibe más de 550 relojes de sincronización (familias FemtoClock y VersaClock) y 10.000 clientes. Entre el 70 y el 75 % de esas ventas son de IA, centros de datos y comunicaciones, y nada es de consumo [3][6]. El efectivo salió de un convertible al 0 % de 1.350 M con vencimiento en 2031 [1][4]. Renesas tiene ahora un 11,8 % de SiTime y un puesto en el consejo. Las dos empresas estudian poner resonadores MEMS en los microcontroladores de Renesas [2][17].</w:t>
      </w:r>
    </w:p>
    <w:bookmarkEnd w:id="22"/>
    <w:bookmarkStart w:id="23" w:name="crecimiento"/>
    <w:p>
      <w:pPr>
        <w:pStyle w:val="Heading2"/>
      </w:pPr>
      <w:r>
        <w:t xml:space="preserve">3. Crecimiento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Crecimiento interanual</w:t>
            </w:r>
          </w:p>
        </w:tc>
      </w:tr>
      <w:tr>
        <w:tc>
          <w:tcPr/>
          <w:p>
            <w:pPr>
              <w:pStyle w:val="Compact"/>
              <w:jc w:val="left"/>
            </w:pPr>
            <w:r>
              <w:t xml:space="preserve">2T25</w:t>
            </w:r>
          </w:p>
        </w:tc>
        <w:tc>
          <w:tcPr/>
          <w:p>
            <w:pPr>
              <w:pStyle w:val="Compact"/>
              <w:jc w:val="left"/>
            </w:pPr>
            <w:r>
              <w:t xml:space="preserve">69,5</w:t>
            </w:r>
          </w:p>
        </w:tc>
        <w:tc>
          <w:tcPr/>
          <w:p>
            <w:pPr>
              <w:pStyle w:val="Compact"/>
              <w:jc w:val="left"/>
            </w:pPr>
            <w:r>
              <w:t xml:space="preserve">+58 %</w:t>
            </w:r>
          </w:p>
        </w:tc>
      </w:tr>
      <w:tr>
        <w:tc>
          <w:tcPr/>
          <w:p>
            <w:pPr>
              <w:pStyle w:val="Compact"/>
              <w:jc w:val="left"/>
            </w:pPr>
            <w:r>
              <w:t xml:space="preserve">3T25</w:t>
            </w:r>
          </w:p>
        </w:tc>
        <w:tc>
          <w:tcPr/>
          <w:p>
            <w:pPr>
              <w:pStyle w:val="Compact"/>
              <w:jc w:val="left"/>
            </w:pPr>
            <w:r>
              <w:t xml:space="preserve">83,6</w:t>
            </w:r>
          </w:p>
        </w:tc>
        <w:tc>
          <w:tcPr/>
          <w:p>
            <w:pPr>
              <w:pStyle w:val="Compact"/>
              <w:jc w:val="left"/>
            </w:pPr>
            <w:r>
              <w:t xml:space="preserve">+45 %</w:t>
            </w:r>
          </w:p>
        </w:tc>
      </w:tr>
      <w:tr>
        <w:tc>
          <w:tcPr/>
          <w:p>
            <w:pPr>
              <w:pStyle w:val="Compact"/>
              <w:jc w:val="left"/>
            </w:pPr>
            <w:r>
              <w:t xml:space="preserve">4T25</w:t>
            </w:r>
          </w:p>
        </w:tc>
        <w:tc>
          <w:tcPr/>
          <w:p>
            <w:pPr>
              <w:pStyle w:val="Compact"/>
              <w:jc w:val="left"/>
            </w:pPr>
            <w:r>
              <w:t xml:space="preserve">113,3</w:t>
            </w:r>
          </w:p>
        </w:tc>
        <w:tc>
          <w:tcPr/>
          <w:p>
            <w:pPr>
              <w:pStyle w:val="Compact"/>
              <w:jc w:val="left"/>
            </w:pPr>
            <w:r>
              <w:t xml:space="preserve">+66 %</w:t>
            </w:r>
          </w:p>
        </w:tc>
      </w:tr>
      <w:tr>
        <w:tc>
          <w:tcPr/>
          <w:p>
            <w:pPr>
              <w:pStyle w:val="Compact"/>
              <w:jc w:val="left"/>
            </w:pPr>
            <w:r>
              <w:t xml:space="preserve">1T26</w:t>
            </w:r>
          </w:p>
        </w:tc>
        <w:tc>
          <w:tcPr/>
          <w:p>
            <w:pPr>
              <w:pStyle w:val="Compact"/>
              <w:jc w:val="left"/>
            </w:pPr>
            <w:r>
              <w:t xml:space="preserve">113,6</w:t>
            </w:r>
          </w:p>
        </w:tc>
        <w:tc>
          <w:tcPr/>
          <w:p>
            <w:pPr>
              <w:pStyle w:val="Compact"/>
              <w:jc w:val="left"/>
            </w:pPr>
            <w:r>
              <w:t xml:space="preserve">+88 %</w:t>
            </w:r>
          </w:p>
        </w:tc>
      </w:tr>
      <w:tr>
        <w:tc>
          <w:tcPr/>
          <w:p>
            <w:pPr>
              <w:pStyle w:val="Compact"/>
              <w:jc w:val="left"/>
            </w:pPr>
            <w:r>
              <w:t xml:space="preserve">2T26</w:t>
            </w:r>
          </w:p>
        </w:tc>
        <w:tc>
          <w:tcPr/>
          <w:p>
            <w:pPr>
              <w:pStyle w:val="Compact"/>
              <w:jc w:val="left"/>
            </w:pPr>
            <w:r>
              <w:t xml:space="preserve">157,4</w:t>
            </w:r>
          </w:p>
        </w:tc>
        <w:tc>
          <w:tcPr/>
          <w:p>
            <w:pPr>
              <w:pStyle w:val="Compact"/>
              <w:jc w:val="left"/>
            </w:pPr>
            <w:r>
              <w:t xml:space="preserve">+127 %</w:t>
            </w:r>
          </w:p>
        </w:tc>
      </w:tr>
      <w:tr>
        <w:tc>
          <w:tcPr/>
          <w:p>
            <w:pPr>
              <w:pStyle w:val="Compact"/>
              <w:jc w:val="left"/>
            </w:pPr>
            <w:r>
              <w:t xml:space="preserve">3T26 (guía)</w:t>
            </w:r>
          </w:p>
        </w:tc>
        <w:tc>
          <w:tcPr/>
          <w:p>
            <w:pPr>
              <w:pStyle w:val="Compact"/>
              <w:jc w:val="left"/>
            </w:pPr>
            <w:r>
              <w:t xml:space="preserve">285-295</w:t>
            </w:r>
          </w:p>
        </w:tc>
        <w:tc>
          <w:tcPr/>
          <w:p>
            <w:pPr>
              <w:pStyle w:val="Compact"/>
              <w:jc w:val="left"/>
            </w:pPr>
            <w:r>
              <w:t xml:space="preserve">+247 % en total, +145 % sin Renesas</w:t>
            </w:r>
          </w:p>
        </w:tc>
      </w:tr>
    </w:tbl>
    <w:p>
      <w:pPr>
        <w:pStyle w:val="BodyText"/>
      </w:pPr>
      <w:r>
        <w:t xml:space="preserve">Fuente: XBRL de la SEC y nota del 2T26 [5][7].</w:t>
      </w:r>
    </w:p>
    <w:p>
      <w:pPr>
        <w:pStyle w:val="BodyText"/>
      </w:pPr>
      <w:r>
        <w:rPr>
          <w:bCs/>
          <w:b/>
        </w:rPr>
        <w:t xml:space="preserve">Últimos 12 meses.</w:t>
      </w:r>
      <w:r>
        <w:t xml:space="preserve"> </w:t>
      </w:r>
      <w:r>
        <w:t xml:space="preserve">467,9 M (+83,0 %), sin nada de Renesas.</w:t>
      </w:r>
      <w:r>
        <w:t xml:space="preserve"> </w:t>
      </w:r>
      <w:r>
        <w:t xml:space="preserve">- Aceleración: +62 puntos (127 % en el último trimestre frente a una media del 64,5 % en los cuatro anteriores).</w:t>
      </w:r>
      <w:r>
        <w:t xml:space="preserve"> </w:t>
      </w:r>
      <w:r>
        <w:t xml:space="preserve">- CAGR a 2 años: +73,9 %. Parte del valle de 2023, cuando los clientes estaban vaciando inventarios.</w:t>
      </w:r>
      <w:r>
        <w:t xml:space="preserve"> </w:t>
      </w:r>
      <w:r>
        <w:t xml:space="preserve">- Años completos: 2023 144,0 M, 2024 202,7 M (+41 %) y 2025 326,7 M (+61 %).</w:t>
      </w:r>
    </w:p>
    <w:p>
      <w:pPr>
        <w:pStyle w:val="BodyText"/>
      </w:pPr>
      <w:r>
        <w:rPr>
          <w:bCs/>
          <w:b/>
        </w:rPr>
        <w:t xml:space="preserve">Guía.</w:t>
      </w:r>
      <w:r>
        <w:t xml:space="preserve"> </w:t>
      </w:r>
      <w:r>
        <w:t xml:space="preserve">Solo trimestral, sin guía anual (por eso</w:t>
      </w:r>
      <w:r>
        <w:t xml:space="preserve"> </w:t>
      </w:r>
      <w:r>
        <w:rPr>
          <w:rStyle w:val="VerbatimChar"/>
        </w:rPr>
        <w:t xml:space="preserve">guia_12m_pct</w:t>
      </w:r>
      <w:r>
        <w:t xml:space="preserve"> </w:t>
      </w:r>
      <w:r>
        <w:t xml:space="preserve">es null). La de Renesas, en cambio, es de 12 meses: al menos 300 M, y en agosto la empresa dijo que iba por delante [3][6].</w:t>
      </w:r>
    </w:p>
    <w:p>
      <w:pPr>
        <w:pStyle w:val="BodyText"/>
      </w:pPr>
      <w:r>
        <w:rPr>
          <w:bCs/>
          <w:b/>
        </w:rPr>
        <w:t xml:space="preserve">Consenso</w:t>
      </w:r>
      <w:r>
        <w:t xml:space="preserve"> </w:t>
      </w:r>
      <w:r>
        <w:t xml:space="preserve">(10 analistas) [8]:</w:t>
      </w:r>
      <w:r>
        <w:t xml:space="preserve"> </w:t>
      </w:r>
      <w:r>
        <w:t xml:space="preserve">- 2026: 870 M (+166 %).</w:t>
      </w:r>
      <w:r>
        <w:t xml:space="preserve"> </w:t>
      </w:r>
      <w:r>
        <w:t xml:space="preserve">- 2027: 1.350 M (+56 %).</w:t>
      </w:r>
      <w:r>
        <w:t xml:space="preserve"> </w:t>
      </w:r>
      <w:r>
        <w:t xml:space="preserve">- Próximos 12 meses (3T26 a 2T27): 1.247 M.</w:t>
      </w:r>
    </w:p>
    <w:p>
      <w:pPr>
        <w:pStyle w:val="BodyText"/>
      </w:pPr>
      <w:r>
        <w:rPr>
          <w:bCs/>
          <w:b/>
        </w:rPr>
        <w:t xml:space="preserve">Sin la compra (v12).</w:t>
      </w:r>
      <w:r>
        <w:t xml:space="preserve"> </w:t>
      </w:r>
      <w:r>
        <w:t xml:space="preserve">La compra mueve el crecimiento de los 12 meses siguientes muchísimo más de 2 puntos:</w:t>
      </w:r>
      <w:r>
        <w:t xml:space="preserve"> </w:t>
      </w:r>
      <w:r>
        <w:t xml:space="preserve">- Crecimiento total sobre las ventas publicadas: +166,5 %.</w:t>
      </w:r>
      <w:r>
        <w:t xml:space="preserve"> </w:t>
      </w:r>
      <w:r>
        <w:t xml:space="preserve">- Crecimiento orgánico sobre la base pro forma, con Renesas los 12 meses: +71 % (base de 729 M) [4].</w:t>
      </w:r>
      <w:r>
        <w:t xml:space="preserve"> </w:t>
      </w:r>
      <w:r>
        <w:t xml:space="preserve">- El negocio comprado ya crecía un 66 % en el 2T26 (83,7 M frente a 50,3 M), cuando aún era de Renesas [4].</w:t>
      </w:r>
    </w:p>
    <w:bookmarkEnd w:id="23"/>
    <w:bookmarkStart w:id="24" w:name="mercado-y-competencia"/>
    <w:p>
      <w:pPr>
        <w:pStyle w:val="Heading2"/>
      </w:pPr>
      <w:r>
        <w:t xml:space="preserve">4. Mercado y competencia</w:t>
      </w:r>
    </w:p>
    <w:p>
      <w:pPr>
        <w:pStyle w:val="FirstParagraph"/>
      </w:pPr>
      <w:r>
        <w:rPr>
          <w:bCs/>
          <w:b/>
        </w:rPr>
        <w:t xml:space="preserve">Tamaño.</w:t>
      </w:r>
      <w:r>
        <w:t xml:space="preserve"> </w:t>
      </w:r>
      <w:r>
        <w:t xml:space="preserve">Según la empresa, el mercado de temporización (resonadores, osciladores y relojes) llegará a 22-25.000 M en 2030, casi el doble que hoy [10]. El mercado alcanzable a mediados de 2028 se estima en unos 16.000 M (interpolado; es una cifra de la empresa y puede ser generosa). Penetración actual: 2,9 %.</w:t>
      </w:r>
    </w:p>
    <w:p>
      <w:pPr>
        <w:pStyle w:val="BodyText"/>
      </w:pPr>
      <w:r>
        <w:rPr>
          <w:bCs/>
          <w:b/>
        </w:rPr>
        <w:t xml:space="preserve">Rivales.</w:t>
      </w:r>
      <w:r>
        <w:t xml:space="preserve"> </w:t>
      </w:r>
      <w:r>
        <w:t xml:space="preserve">- En cuarzo: Seiko Epson, TXC, Kyocera, NDK y Murata.</w:t>
      </w:r>
      <w:r>
        <w:t xml:space="preserve"> </w:t>
      </w:r>
      <w:r>
        <w:t xml:space="preserve">- En relojes de sincronización: Texas Instruments, Microchip, Analog Devices y Skyworks (de memoria, sin comprobar cuotas).</w:t>
      </w:r>
    </w:p>
    <w:p>
      <w:pPr>
        <w:pStyle w:val="BodyText"/>
      </w:pPr>
      <w:r>
        <w:rPr>
          <w:bCs/>
          <w:b/>
        </w:rPr>
        <w:t xml:space="preserve">Por qué gana:</w:t>
      </w:r>
      <w:r>
        <w:t xml:space="preserve"> </w:t>
      </w:r>
      <w:r>
        <w:t xml:space="preserve">- Es la única con MEMS a escala; SiTime dice tener la mayor parte de la temporización MEMS (de memoria).</w:t>
      </w:r>
      <w:r>
        <w:t xml:space="preserve"> </w:t>
      </w:r>
      <w:r>
        <w:t xml:space="preserve">- Con Renesas ofrece el conjunto completo: resonador, oscilador y reloj.</w:t>
      </w:r>
      <w:r>
        <w:t xml:space="preserve"> </w:t>
      </w:r>
      <w:r>
        <w:t xml:space="preserve">- En módulos ópticos de nueva generación gana cuota con un precio un 40-50 % más alto [10].</w:t>
      </w:r>
    </w:p>
    <w:p>
      <w:pPr>
        <w:pStyle w:val="BodyText"/>
      </w:pPr>
      <w:r>
        <w:rPr>
          <w:bCs/>
          <w:b/>
        </w:rPr>
        <w:t xml:space="preserve">Riesgo competitivo.</w:t>
      </w:r>
      <w:r>
        <w:t xml:space="preserve"> </w:t>
      </w:r>
      <w:r>
        <w:t xml:space="preserve">Los grandes analógicos (TI) también tienen resonadores integrados (BAW) y pueden meter la temporización dentro de sus propios chips.</w:t>
      </w:r>
    </w:p>
    <w:bookmarkEnd w:id="24"/>
    <w:bookmarkStart w:id="25"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BPA de 2027 de 10,81 a 14,92 USD en 90 días (+38 %); en 30 días, 2 al alza y ninguna a la baja [8]</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524,93 frente a 539,2 USD (−2,6 %), aunque la media sube [12]</w:t>
            </w:r>
          </w:p>
        </w:tc>
      </w:tr>
      <w:tr>
        <w:tc>
          <w:tcPr/>
          <w:p>
            <w:pPr>
              <w:pStyle w:val="Compact"/>
              <w:jc w:val="left"/>
            </w:pPr>
            <w:r>
              <w:t xml:space="preserve">3. Fuerza relativa a 6 meses</w:t>
            </w:r>
          </w:p>
        </w:tc>
        <w:tc>
          <w:tcPr/>
          <w:p>
            <w:pPr>
              <w:pStyle w:val="Compact"/>
              <w:jc w:val="left"/>
            </w:pPr>
            <w:r>
              <w:t xml:space="preserve">No</w:t>
            </w:r>
          </w:p>
        </w:tc>
        <w:tc>
          <w:tcPr/>
          <w:p>
            <w:pPr>
              <w:pStyle w:val="Compact"/>
              <w:jc w:val="left"/>
            </w:pPr>
            <w:r>
              <w:t xml:space="preserve">+17,7 %, frente a +16,0 % del Nasdaq-100 y +29,5 % de los semiconductores (SOXX): pierde frente a su sector [12]</w:t>
            </w:r>
          </w:p>
        </w:tc>
      </w:tr>
      <w:tr>
        <w:tc>
          <w:tcPr/>
          <w:p>
            <w:pPr>
              <w:pStyle w:val="Compact"/>
              <w:jc w:val="left"/>
            </w:pPr>
            <w:r>
              <w:t xml:space="preserve">4. Mejora de múltiplo</w:t>
            </w:r>
          </w:p>
        </w:tc>
        <w:tc>
          <w:tcPr/>
          <w:p>
            <w:pPr>
              <w:pStyle w:val="Compact"/>
              <w:jc w:val="left"/>
            </w:pPr>
            <w:r>
              <w:t xml:space="preserve">Sí</w:t>
            </w:r>
          </w:p>
        </w:tc>
        <w:tc>
          <w:tcPr/>
          <w:p>
            <w:pPr>
              <w:pStyle w:val="Compact"/>
              <w:jc w:val="left"/>
            </w:pPr>
            <w:r>
              <w:t xml:space="preserve">EV/ventas de los próximos 12 meses de ~14,1x, frente a ~7,3x en su mínimo de los últimos 12 meses [7][12]</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Primer beneficio operativo contable en el 2T26 (8,2 M); margen operativo no GAAP del 10 % al 34 % en un año [5]</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−21 % en una semana y −42 % desde el máximo de mayo; opciones con sesgo bajista; Zacks a mantener [13][14][15]</w:t>
            </w:r>
          </w:p>
        </w:tc>
      </w:tr>
      <w:tr>
        <w:tc>
          <w:tcPr/>
          <w:p>
            <w:pPr>
              <w:pStyle w:val="Compact"/>
              <w:jc w:val="left"/>
            </w:pPr>
            <w:r>
              <w:t xml:space="preserve">7. Compras de directivos o de inversores de referencia</w:t>
            </w:r>
          </w:p>
        </w:tc>
        <w:tc>
          <w:tcPr/>
          <w:p>
            <w:pPr>
              <w:pStyle w:val="Compact"/>
              <w:jc w:val="left"/>
            </w:pPr>
            <w:r>
              <w:t xml:space="preserve">No</w:t>
            </w:r>
          </w:p>
        </w:tc>
        <w:tc>
          <w:tcPr/>
          <w:p>
            <w:pPr>
              <w:pStyle w:val="Compact"/>
              <w:jc w:val="left"/>
            </w:pPr>
            <w:r>
              <w:t xml:space="preserve">Julio-octubre: solo ventas, retenciones y donaciones. Renesas entra cobrando en acciones, no comprando en bolsa [16]</w:t>
            </w:r>
          </w:p>
        </w:tc>
      </w:tr>
      <w:tr>
        <w:tc>
          <w:tcPr/>
          <w:p>
            <w:pPr>
              <w:pStyle w:val="Compact"/>
              <w:jc w:val="left"/>
            </w:pPr>
            <w:r>
              <w:t xml:space="preserve">8. Catalizador nuevo</w:t>
            </w:r>
          </w:p>
        </w:tc>
        <w:tc>
          <w:tcPr/>
          <w:p>
            <w:pPr>
              <w:pStyle w:val="Compact"/>
              <w:jc w:val="left"/>
            </w:pPr>
            <w:r>
              <w:t xml:space="preserve">Sí</w:t>
            </w:r>
          </w:p>
        </w:tc>
        <w:tc>
          <w:tcPr/>
          <w:p>
            <w:pPr>
              <w:pStyle w:val="Compact"/>
              <w:jc w:val="left"/>
            </w:pPr>
            <w:r>
              <w:t xml:space="preserve">Resultados del 3T el 4-nov, el primer trimestre con Renesas [6][15]</w:t>
            </w:r>
          </w:p>
        </w:tc>
      </w:tr>
    </w:tbl>
    <w:p>
      <w:pPr>
        <w:pStyle w:val="BodyText"/>
      </w:pPr>
      <w:r>
        <w:rPr>
          <w:bCs/>
          <w:b/>
        </w:rPr>
        <w:t xml:space="preserve">Euforia: no.</w:t>
      </w:r>
      <w:r>
        <w:t xml:space="preserve"> </w:t>
      </w:r>
      <w:r>
        <w:t xml:space="preserve">Sube un 81,8 % en 12 meses, por debajo del 150 % del veto. Tampoco hay euforia a 6 meses: +17,7 %.</w:t>
      </w:r>
    </w:p>
    <w:bookmarkEnd w:id="25"/>
    <w:bookmarkStart w:id="26" w:name="X6a3ced9ea5ed5bb9ac58f5e7c1bb09ad4718b77"/>
    <w:p>
      <w:pPr>
        <w:pStyle w:val="Heading2"/>
      </w:pPr>
      <w:r>
        <w:t xml:space="preserve">6. Economía unitaria y camino a la rentabilidad</w:t>
      </w:r>
    </w:p>
    <w:p>
      <w:pPr>
        <w:numPr>
          <w:ilvl w:val="0"/>
          <w:numId w:val="1002"/>
        </w:numPr>
        <w:pStyle w:val="Compact"/>
      </w:pPr>
      <w:r>
        <w:rPr>
          <w:bCs/>
          <w:b/>
        </w:rPr>
        <w:t xml:space="preserve">Margen bruto no GAAP.</w:t>
      </w:r>
      <w:r>
        <w:t xml:space="preserve"> </w:t>
      </w:r>
      <w:r>
        <w:t xml:space="preserve">66,0 % en el 1S26 (67,1 % en el 2T; 58,2 % un año antes). La guía del 3T con Renesas es de ~68 %. El contable de los últimos 12 meses es del 58,7 %, porque incluye la amortización de intangibles [5].</w:t>
      </w:r>
    </w:p>
    <w:p>
      <w:pPr>
        <w:numPr>
          <w:ilvl w:val="0"/>
          <w:numId w:val="1002"/>
        </w:numPr>
        <w:pStyle w:val="Compact"/>
      </w:pPr>
      <w:r>
        <w:rPr>
          <w:bCs/>
          <w:b/>
        </w:rPr>
        <w:t xml:space="preserve">Caja libre (FCF).</w:t>
      </w:r>
      <w:r>
        <w:t xml:space="preserve"> </w:t>
      </w:r>
      <w:r>
        <w:t xml:space="preserve">84,5 M en los últimos 12 meses: 127,7 M de caja operativa menos 43,3 M de inversiones. Es el 18,1 % de las ventas, frente a 35,1 M en 2025: va creciendo [7].</w:t>
      </w:r>
    </w:p>
    <w:p>
      <w:pPr>
        <w:numPr>
          <w:ilvl w:val="0"/>
          <w:numId w:val="1002"/>
        </w:numPr>
        <w:pStyle w:val="Compact"/>
      </w:pPr>
      <w:r>
        <w:rPr>
          <w:bCs/>
          <w:b/>
        </w:rPr>
        <w:t xml:space="preserve">Regla del 40.</w:t>
      </w:r>
      <w:r>
        <w:t xml:space="preserve"> </w:t>
      </w:r>
      <w:r>
        <w:t xml:space="preserve">101 (crecimiento del 83 % más un margen FCF del 18 %). Si se restan los pagos en acciones queda en 77, que sigue siendo alta.</w:t>
      </w:r>
    </w:p>
    <w:p>
      <w:pPr>
        <w:numPr>
          <w:ilvl w:val="0"/>
          <w:numId w:val="1002"/>
        </w:numPr>
        <w:pStyle w:val="Compact"/>
      </w:pPr>
      <w:r>
        <w:rPr>
          <w:bCs/>
          <w:b/>
        </w:rPr>
        <w:t xml:space="preserve">Apalancamiento operativo.</w:t>
      </w:r>
      <w:r>
        <w:t xml:space="preserve"> </w:t>
      </w:r>
      <w:r>
        <w:t xml:space="preserve">Los gastos no GAAP subieron un 57 % mientras las ventas crecían un 127 %.</w:t>
      </w:r>
    </w:p>
    <w:bookmarkEnd w:id="26"/>
    <w:bookmarkStart w:id="27" w:name="caja-deuda-y-dilución"/>
    <w:p>
      <w:pPr>
        <w:pStyle w:val="Heading2"/>
      </w:pPr>
      <w:r>
        <w:t xml:space="preserve">7. Caja, deuda y dilución</w:t>
      </w:r>
    </w:p>
    <w:p>
      <w:pPr>
        <w:numPr>
          <w:ilvl w:val="0"/>
          <w:numId w:val="1003"/>
        </w:numPr>
        <w:pStyle w:val="Compact"/>
      </w:pPr>
      <w:r>
        <w:rPr>
          <w:bCs/>
          <w:b/>
        </w:rPr>
        <w:t xml:space="preserve">Caja.</w:t>
      </w:r>
      <w:r>
        <w:t xml:space="preserve"> </w:t>
      </w:r>
      <w:r>
        <w:t xml:space="preserve">~422 M tras pagar a Renesas (1.921 M a 30-jun menos 1.499 M). Tiene además una línea de crédito de 200 M sin usar [1][2].</w:t>
      </w:r>
    </w:p>
    <w:p>
      <w:pPr>
        <w:numPr>
          <w:ilvl w:val="0"/>
          <w:numId w:val="1003"/>
        </w:numPr>
        <w:pStyle w:val="Compact"/>
      </w:pPr>
      <w:r>
        <w:rPr>
          <w:bCs/>
          <w:b/>
        </w:rPr>
        <w:t xml:space="preserve">Deuda.</w:t>
      </w:r>
      <w:r>
        <w:t xml:space="preserve"> </w:t>
      </w:r>
      <w:r>
        <w:t xml:space="preserve">Convertible de 1.350 M al 0 %, con vencimiento en junio de 2031. Se convierte a 1.040,47 USD, el doble del precio actual, y tiene cobertura de opciones. Se cuenta como deuda [1].</w:t>
      </w:r>
    </w:p>
    <w:p>
      <w:pPr>
        <w:numPr>
          <w:ilvl w:val="0"/>
          <w:numId w:val="1003"/>
        </w:numPr>
        <w:pStyle w:val="Compact"/>
      </w:pPr>
      <w:r>
        <w:rPr>
          <w:bCs/>
          <w:b/>
        </w:rPr>
        <w:t xml:space="preserve">Pista de caja.</w:t>
      </w:r>
      <w:r>
        <w:t xml:space="preserve"> </w:t>
      </w:r>
      <w:r>
        <w:t xml:space="preserve">Genera caja (FCF positivo).</w:t>
      </w:r>
    </w:p>
    <w:p>
      <w:pPr>
        <w:numPr>
          <w:ilvl w:val="0"/>
          <w:numId w:val="1003"/>
        </w:numPr>
        <w:pStyle w:val="Compact"/>
      </w:pPr>
      <w:r>
        <w:rPr>
          <w:bCs/>
          <w:b/>
        </w:rPr>
        <w:t xml:space="preserve">Dilución pasada: +13,9 %</w:t>
      </w:r>
      <w:r>
        <w:t xml:space="preserve"> </w:t>
      </w:r>
      <w:r>
        <w:t xml:space="preserve">en acciones diluidas en un año, sobre todo por la venta de acciones de 433 M en 2025. Contando las acciones entregadas a Renesas sería +28,7 %, pero ese negocio ya está en las ventas.</w:t>
      </w:r>
    </w:p>
    <w:p>
      <w:pPr>
        <w:numPr>
          <w:ilvl w:val="0"/>
          <w:numId w:val="1003"/>
        </w:numPr>
        <w:pStyle w:val="Compact"/>
      </w:pPr>
      <w:r>
        <w:rPr>
          <w:bCs/>
          <w:b/>
        </w:rPr>
        <w:t xml:space="preserve">Dilución prevista: ~2 %</w:t>
      </w:r>
      <w:r>
        <w:t xml:space="preserve"> </w:t>
      </w:r>
      <w:r>
        <w:t xml:space="preserve">al año.</w:t>
      </w:r>
    </w:p>
    <w:p>
      <w:pPr>
        <w:numPr>
          <w:ilvl w:val="0"/>
          <w:numId w:val="1003"/>
        </w:numPr>
        <w:pStyle w:val="Compact"/>
      </w:pPr>
      <w:r>
        <w:rPr>
          <w:bCs/>
          <w:b/>
        </w:rPr>
        <w:t xml:space="preserve">Pagos en acciones: 24,4 % de las ventas (en rojo).</w:t>
      </w:r>
      <w:r>
        <w:t xml:space="preserve"> </w:t>
      </w:r>
      <w:r>
        <w:t xml:space="preserve">Son 114 M en 12 meses. El FCF no los resta [7].</w:t>
      </w:r>
    </w:p>
    <w:bookmarkEnd w:id="27"/>
    <w:bookmarkStart w:id="28" w:name="dirección-y-ejecución"/>
    <w:p>
      <w:pPr>
        <w:pStyle w:val="Heading2"/>
      </w:pPr>
      <w:r>
        <w:t xml:space="preserve">8. Dirección y ejecución</w:t>
      </w:r>
    </w:p>
    <w:p>
      <w:pPr>
        <w:pStyle w:val="FirstParagraph"/>
      </w:pPr>
      <w:r>
        <w:rPr>
          <w:bCs/>
          <w:b/>
        </w:rPr>
        <w:t xml:space="preserve">Equipo.</w:t>
      </w:r>
      <w:r>
        <w:t xml:space="preserve"> </w:t>
      </w:r>
      <w:r>
        <w:t xml:space="preserve">Rajesh Vashist es consejero delegado desde 2007 y presidente. El equipo es estable [5].</w:t>
      </w:r>
    </w:p>
    <w:p>
      <w:pPr>
        <w:pStyle w:val="BodyText"/>
      </w:pPr>
      <w:r>
        <w:rPr>
          <w:bCs/>
          <w:b/>
        </w:rPr>
        <w:t xml:space="preserve">Historial (4/5).</w:t>
      </w:r>
      <w:r>
        <w:t xml:space="preserve"> </w:t>
      </w:r>
      <w:r>
        <w:t xml:space="preserve">Bate el consenso con holgura: en el 2T, 157,4 M frente a 145,9 M esperados. Antes cumplió la recuperación del valle de 2023 [6].</w:t>
      </w:r>
    </w:p>
    <w:p>
      <w:pPr>
        <w:pStyle w:val="BodyText"/>
      </w:pPr>
      <w:r>
        <w:rPr>
          <w:bCs/>
          <w:b/>
        </w:rPr>
        <w:t xml:space="preserve">Asignación de capital (3/5).</w:t>
      </w:r>
      <w:r>
        <w:t xml:space="preserve"> </w:t>
      </w:r>
      <w:r>
        <w:t xml:space="preserve">- A favor: financió la compra con un convertible al 0 % que se convierte un 50 % por encima de la cotización de mayo.</w:t>
      </w:r>
      <w:r>
        <w:t xml:space="preserve"> </w:t>
      </w:r>
      <w:r>
        <w:t xml:space="preserve">- En contra: pagó un precio alto por Renesas (4.006 M a precio contable, unas 13 veces sus ventas). Vendió acciones en 2025. Los directivos venden acciones de forma constante (formularios 4 y 144).</w:t>
      </w:r>
    </w:p>
    <w:bookmarkEnd w:id="28"/>
    <w:bookmarkStart w:id="29" w:name="valoración"/>
    <w:p>
      <w:pPr>
        <w:pStyle w:val="Heading2"/>
      </w:pPr>
      <w:r>
        <w:t xml:space="preserve">9. Valoración</w:t>
      </w:r>
    </w:p>
    <w:p>
      <w:pPr>
        <w:pStyle w:val="FirstParagraph"/>
      </w:pPr>
      <w:r>
        <w:rPr>
          <w:bCs/>
          <w:b/>
        </w:rPr>
        <w:t xml:space="preserve">Base de cálculo.</w:t>
      </w:r>
      <w:r>
        <w:t xml:space="preserve"> </w:t>
      </w:r>
      <w:r>
        <w:t xml:space="preserve">- Valor de empresa: 17.568 M (524,93 USD × 31,7 M de acciones + 1.350 M de deuda − 422 M de caja). Incluye todo lo pagado por Renesas: el efectivo salió de la caja y lo financia el convertible, y las acciones entregadas están en el recuento.</w:t>
      </w:r>
      <w:r>
        <w:t xml:space="preserve"> </w:t>
      </w:r>
      <w:r>
        <w:t xml:space="preserve">- Múltiplos sobre los próximos 12 meses: 14,1 veces las ventas (1.247 M de consenso) y 21,3 veces el beneficio bruto. Este último está por debajo del tope de 35 del método.</w:t>
      </w:r>
      <w:r>
        <w:t xml:space="preserve"> </w:t>
      </w:r>
      <w:r>
        <w:t xml:space="preserve">- Contraste: el PER no GAAP de 2027 es de 35 veces.</w:t>
      </w:r>
    </w:p>
    <w:p>
      <w:pPr>
        <w:pStyle w:val="BodyText"/>
      </w:pPr>
      <w:r>
        <w:rPr>
          <w:bCs/>
          <w:b/>
        </w:rPr>
        <w:t xml:space="preserve">Escenarios (v11, vigente).</w:t>
      </w:r>
      <w:r>
        <w:t xml:space="preserve"> </w:t>
      </w:r>
      <w:r>
        <w:t xml:space="preserve">Ventas de los 12 meses a junio de 2028.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EV/ventas</w:t>
            </w:r>
          </w:p>
        </w:tc>
        <w:tc>
          <w:tcPr/>
          <w:p>
            <w:pPr>
              <w:pStyle w:val="Compact"/>
              <w:jc w:val="left"/>
            </w:pPr>
            <w:r>
              <w:t xml:space="preserve">Precio (USD)</w:t>
            </w:r>
          </w:p>
        </w:tc>
        <w:tc>
          <w:tcPr/>
          <w:p>
            <w:pPr>
              <w:pStyle w:val="Compact"/>
              <w:jc w:val="left"/>
            </w:pPr>
            <w:r>
              <w:t xml:space="preserve">Rentabilidad</w:t>
            </w:r>
          </w:p>
        </w:tc>
        <w:tc>
          <w:tcPr/>
          <w:p>
            <w:pPr>
              <w:pStyle w:val="Compact"/>
              <w:jc w:val="left"/>
            </w:pPr>
            <w:r>
              <w:t xml:space="preserve">Peso</w:t>
            </w:r>
          </w:p>
        </w:tc>
      </w:tr>
      <w:tr>
        <w:tc>
          <w:tcPr/>
          <w:p>
            <w:pPr>
              <w:pStyle w:val="Compact"/>
              <w:jc w:val="left"/>
            </w:pPr>
            <w:r>
              <w:t xml:space="preserve">Bajista</w:t>
            </w:r>
          </w:p>
        </w:tc>
        <w:tc>
          <w:tcPr/>
          <w:p>
            <w:pPr>
              <w:pStyle w:val="Compact"/>
              <w:jc w:val="left"/>
            </w:pPr>
            <w:r>
              <w:t xml:space="preserve">763</w:t>
            </w:r>
          </w:p>
        </w:tc>
        <w:tc>
          <w:tcPr/>
          <w:p>
            <w:pPr>
              <w:pStyle w:val="Compact"/>
              <w:jc w:val="left"/>
            </w:pPr>
            <w:r>
              <w:t xml:space="preserve">5,9x</w:t>
            </w:r>
          </w:p>
        </w:tc>
        <w:tc>
          <w:tcPr/>
          <w:p>
            <w:pPr>
              <w:pStyle w:val="Compact"/>
              <w:jc w:val="left"/>
            </w:pPr>
            <w:r>
              <w:t xml:space="preserve">99,5</w:t>
            </w:r>
          </w:p>
        </w:tc>
        <w:tc>
          <w:tcPr/>
          <w:p>
            <w:pPr>
              <w:pStyle w:val="Compact"/>
              <w:jc w:val="left"/>
            </w:pPr>
            <w:r>
              <w:t xml:space="preserve">−81,0 %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1.130</w:t>
            </w:r>
          </w:p>
        </w:tc>
        <w:tc>
          <w:tcPr/>
          <w:p>
            <w:pPr>
              <w:pStyle w:val="Compact"/>
              <w:jc w:val="left"/>
            </w:pPr>
            <w:r>
              <w:t xml:space="preserve">9,9x</w:t>
            </w:r>
          </w:p>
        </w:tc>
        <w:tc>
          <w:tcPr/>
          <w:p>
            <w:pPr>
              <w:pStyle w:val="Compact"/>
              <w:jc w:val="left"/>
            </w:pPr>
            <w:r>
              <w:t xml:space="preserve">283,3</w:t>
            </w:r>
          </w:p>
        </w:tc>
        <w:tc>
          <w:tcPr/>
          <w:p>
            <w:pPr>
              <w:pStyle w:val="Compact"/>
              <w:jc w:val="left"/>
            </w:pPr>
            <w:r>
              <w:t xml:space="preserve">−46,0 %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1.297</w:t>
            </w:r>
          </w:p>
        </w:tc>
        <w:tc>
          <w:tcPr/>
          <w:p>
            <w:pPr>
              <w:pStyle w:val="Compact"/>
              <w:jc w:val="left"/>
            </w:pPr>
            <w:r>
              <w:t xml:space="preserve">12,8x</w:t>
            </w:r>
          </w:p>
        </w:tc>
        <w:tc>
          <w:tcPr/>
          <w:p>
            <w:pPr>
              <w:pStyle w:val="Compact"/>
              <w:jc w:val="left"/>
            </w:pPr>
            <w:r>
              <w:t xml:space="preserve">435,3</w:t>
            </w:r>
          </w:p>
        </w:tc>
        <w:tc>
          <w:tcPr/>
          <w:p>
            <w:pPr>
              <w:pStyle w:val="Compact"/>
              <w:jc w:val="left"/>
            </w:pPr>
            <w:r>
              <w:t xml:space="preserve">−17,1 %</w:t>
            </w:r>
          </w:p>
        </w:tc>
        <w:tc>
          <w:tcPr/>
          <w:p>
            <w:pPr>
              <w:pStyle w:val="Compact"/>
              <w:jc w:val="left"/>
            </w:pPr>
            <w:r>
              <w:t xml:space="preserve">25 %</w:t>
            </w:r>
          </w:p>
        </w:tc>
      </w:tr>
      <w:tr>
        <w:tc>
          <w:tcPr/>
          <w:p>
            <w:pPr>
              <w:pStyle w:val="Compact"/>
              <w:jc w:val="left"/>
            </w:pPr>
            <w:r>
              <w:rPr>
                <w:bCs/>
                <w:b/>
              </w:rPr>
              <w:t xml:space="preserve">Ponderada</w:t>
            </w:r>
          </w:p>
        </w:tc>
        <w:tc>
          <w:tcPr/>
          <w:p>
            <w:pPr>
              <w:pStyle w:val="Compact"/>
            </w:pPr>
          </w:p>
        </w:tc>
        <w:tc>
          <w:tcPr/>
          <w:p>
            <w:pPr>
              <w:pStyle w:val="Compact"/>
            </w:pPr>
          </w:p>
        </w:tc>
        <w:tc>
          <w:tcPr/>
          <w:p>
            <w:pPr>
              <w:pStyle w:val="Compact"/>
              <w:jc w:val="left"/>
            </w:pPr>
            <w:r>
              <w:rPr>
                <w:bCs/>
                <w:b/>
              </w:rPr>
              <w:t xml:space="preserve">275,4</w:t>
            </w:r>
          </w:p>
        </w:tc>
        <w:tc>
          <w:tcPr/>
          <w:p>
            <w:pPr>
              <w:pStyle w:val="Compact"/>
              <w:jc w:val="left"/>
            </w:pPr>
            <w:r>
              <w:rPr>
                <w:bCs/>
                <w:b/>
              </w:rPr>
              <w:t xml:space="preserve">−47,5 %</w:t>
            </w:r>
          </w:p>
        </w:tc>
        <w:tc>
          <w:tcPr/>
          <w:p>
            <w:pPr>
              <w:pStyle w:val="Compact"/>
            </w:pPr>
          </w:p>
        </w:tc>
      </w:tr>
    </w:tbl>
    <w:p>
      <w:pPr>
        <w:pStyle w:val="BodyText"/>
      </w:pPr>
      <w:r>
        <w:rPr>
          <w:bCs/>
          <w:b/>
        </w:rPr>
        <w:t xml:space="preserve">Por qué sale tan negativo.</w:t>
      </w:r>
    </w:p>
    <w:p>
      <w:pPr>
        <w:numPr>
          <w:ilvl w:val="0"/>
          <w:numId w:val="1004"/>
        </w:numPr>
        <w:pStyle w:val="Compact"/>
      </w:pPr>
      <w:r>
        <w:rPr>
          <w:iCs/>
          <w:i/>
        </w:rPr>
        <w:t xml:space="preserve">El múltiplo baja.</w:t>
      </w:r>
      <w:r>
        <w:t xml:space="preserve"> </w:t>
      </w:r>
      <w:r>
        <w:t xml:space="preserve">El crecimiento pasa del 166 % (con Renesas) a un ~28 % en el año objetivo. Con eso, el método rebaja el múltiplo de hoy el máximo permitido, un 30 %: de 14,1x a 9,9x en el escenario base.</w:t>
      </w:r>
    </w:p>
    <w:p>
      <w:pPr>
        <w:numPr>
          <w:ilvl w:val="0"/>
          <w:numId w:val="1004"/>
        </w:numPr>
        <w:pStyle w:val="Compact"/>
      </w:pPr>
      <w:r>
        <w:rPr>
          <w:iCs/>
          <w:i/>
        </w:rPr>
        <w:t xml:space="preserve">La proyección de ventas es baja.</w:t>
      </w:r>
      <w:r>
        <w:t xml:space="preserve"> </w:t>
      </w:r>
      <w:r>
        <w:t xml:space="preserve">La regla mecánica parte de las ventas de los últimos 12 meses (467,9 M), que aún no llevan Renesas, y limita el crecimiento al 60 %. Así llega a 1.130 M en el escenario base, menos que las ventas del próximo año según el consenso (1.247 M).</w:t>
      </w:r>
    </w:p>
    <w:p>
      <w:pPr>
        <w:pStyle w:val="FirstParagraph"/>
      </w:pPr>
      <w:r>
        <w:rPr>
          <w:bCs/>
          <w:b/>
        </w:rPr>
        <w:t xml:space="preserve">Con las ventas corregidas sigue sin salir.</w:t>
      </w:r>
      <w:r>
        <w:t xml:space="preserve"> </w:t>
      </w:r>
      <w:r>
        <w:t xml:space="preserve">Es un fallo de método (ver más abajo), pero no cambia la señal:</w:t>
      </w:r>
      <w:r>
        <w:t xml:space="preserve"> </w:t>
      </w:r>
      <w:r>
        <w:t xml:space="preserve">- Con la base pro forma de 729 M en vez de 467,9 M, la ponderada es −27 %.</w:t>
      </w:r>
      <w:r>
        <w:t xml:space="preserve"> </w:t>
      </w:r>
      <w:r>
        <w:t xml:space="preserve">- Con la base pro forma y la dilución prevista (v14), −19 %.</w:t>
      </w:r>
      <w:r>
        <w:t xml:space="preserve"> </w:t>
      </w:r>
      <w:r>
        <w:t xml:space="preserve">- Con las ventas del informe (1.500 M en el escenario base), la prueba de robustez da −29 %.</w:t>
      </w:r>
    </w:p>
    <w:p>
      <w:pPr>
        <w:pStyle w:val="BodyText"/>
      </w:pPr>
      <w:r>
        <w:rPr>
          <w:bCs/>
          <w:b/>
        </w:rPr>
        <w:t xml:space="preserve">Otras versiones.</w:t>
      </w:r>
      <w:r>
        <w:t xml:space="preserve"> </w:t>
      </w:r>
      <w:r>
        <w:t xml:space="preserve">- v9: −47,5 %, Vender. Compra hasta 262,2 USD.</w:t>
      </w:r>
      <w:r>
        <w:t xml:space="preserve"> </w:t>
      </w:r>
      <w:r>
        <w:t xml:space="preserve">- v12 (candidata, con el crecimiento orgánico del 71 %): −47,5 %, Vender. Compra hasta 199 USD. Da lo mismo que v11 porque cada escenario queda, como mucho, en la proyección sin orgánico.</w:t>
      </w:r>
      <w:r>
        <w:t xml:space="preserve"> </w:t>
      </w:r>
      <w:r>
        <w:t xml:space="preserve">- v14 (candidata, con dilución prevista del 2 %): −41,4 %, Vender. Compra hasta 222,2 USD.</w:t>
      </w:r>
    </w:p>
    <w:p>
      <w:pPr>
        <w:pStyle w:val="BodyText"/>
      </w:pPr>
      <w:r>
        <w:rPr>
          <w:bCs/>
          <w:b/>
        </w:rPr>
        <w:t xml:space="preserve">Contraste con los analistas.</w:t>
      </w:r>
      <w:r>
        <w:t xml:space="preserve"> </w:t>
      </w:r>
      <w:r>
        <w:t xml:space="preserve">Consenso de ventas: 2026 870 M y 2027 1.350 M. Para la ventana de junio de 2028 se estima unos 1.500 M; no hay consenso público de 2028. Precio objetivo medio: 849,5 USD (11 analistas; entre 730 y 900) [11]. Los analistas suponen que el múltiplo se mantiene; el método supone que baja.</w:t>
      </w:r>
    </w:p>
    <w:p>
      <w:pPr>
        <w:pStyle w:val="BodyText"/>
      </w:pPr>
      <w:r>
        <w:rPr>
          <w:bCs/>
          <w:b/>
        </w:rPr>
        <w:t xml:space="preserve">DCF inverso.</w:t>
      </w:r>
      <w:r>
        <w:t xml:space="preserve"> </w:t>
      </w:r>
      <w:r>
        <w:t xml:space="preserve">El precio descuenta crecer un 32 % al año durante 10 años, con un margen FCF maduro del 30 %, descuento del 10 % y crecimiento perpetuo del 3 %. Es más de lo que el propio escenario base supone para el final del periodo (28 %).</w:t>
      </w:r>
    </w:p>
    <w:bookmarkEnd w:id="29"/>
    <w:bookmarkStart w:id="30" w:name="foros-y-sentimiento"/>
    <w:p>
      <w:pPr>
        <w:pStyle w:val="Heading2"/>
      </w:pPr>
      <w:r>
        <w:t xml:space="preserve">10. Foros y sentimiento</w:t>
      </w:r>
    </w:p>
    <w:p>
      <w:pPr>
        <w:numPr>
          <w:ilvl w:val="0"/>
          <w:numId w:val="1005"/>
        </w:numPr>
        <w:pStyle w:val="Compact"/>
      </w:pPr>
      <w:r>
        <w:rPr>
          <w:bCs/>
          <w:b/>
        </w:rPr>
        <w:t xml:space="preserve">StockTwits</w:t>
      </w:r>
      <w:r>
        <w:t xml:space="preserve"> </w:t>
      </w:r>
      <w:r>
        <w:t xml:space="preserve">(1-14 oct) [13]. Pequeños inversores alcistas que compran en las caídas («touched the 200 day and bounced», «still see this at 1500 within 2 years»). Venden opciones de venta para cobrar primas. Hay quejas por la caída del 14-oct («freefall»). Con unas 1.550 personas siguiéndola, no parece una acción de moda.</w:t>
      </w:r>
    </w:p>
    <w:p>
      <w:pPr>
        <w:numPr>
          <w:ilvl w:val="0"/>
          <w:numId w:val="1005"/>
        </w:numPr>
        <w:pStyle w:val="Compact"/>
      </w:pPr>
      <w:r>
        <w:rPr>
          <w:bCs/>
          <w:b/>
        </w:rPr>
        <w:t xml:space="preserve">Opciones</w:t>
      </w:r>
      <w:r>
        <w:t xml:space="preserve"> </w:t>
      </w:r>
      <w:r>
        <w:t xml:space="preserve">(Benzinga, 26-sep): más operaciones bajistas que alcistas [14].</w:t>
      </w:r>
    </w:p>
    <w:p>
      <w:pPr>
        <w:numPr>
          <w:ilvl w:val="0"/>
          <w:numId w:val="1005"/>
        </w:numPr>
        <w:pStyle w:val="Compact"/>
      </w:pPr>
      <w:r>
        <w:rPr>
          <w:bCs/>
          <w:b/>
        </w:rPr>
        <w:t xml:space="preserve">Prensa</w:t>
      </w:r>
      <w:r>
        <w:t xml:space="preserve"> </w:t>
      </w:r>
      <w:r>
        <w:t xml:space="preserve">(MarketBeat y Quiver Quant): las caídas de octubre son del sector (tipos, petróleo, toma de beneficios) y no por noticias de la empresa [15].</w:t>
      </w:r>
    </w:p>
    <w:p>
      <w:pPr>
        <w:numPr>
          <w:ilvl w:val="0"/>
          <w:numId w:val="1005"/>
        </w:numPr>
        <w:pStyle w:val="Compact"/>
      </w:pPr>
      <w:r>
        <w:rPr>
          <w:bCs/>
          <w:b/>
        </w:rPr>
        <w:t xml:space="preserve">Simply Wall St</w:t>
      </w:r>
      <w:r>
        <w:t xml:space="preserve"> </w:t>
      </w:r>
      <w:r>
        <w:t xml:space="preserve">la ve muy cara con su DCF.</w:t>
      </w:r>
    </w:p>
    <w:p>
      <w:pPr>
        <w:numPr>
          <w:ilvl w:val="0"/>
          <w:numId w:val="1005"/>
        </w:numPr>
        <w:pStyle w:val="Compact"/>
      </w:pPr>
      <w:r>
        <w:rPr>
          <w:bCs/>
          <w:b/>
        </w:rPr>
        <w:t xml:space="preserve">Lo que no se pudo leer:</w:t>
      </w:r>
      <w:r>
        <w:t xml:space="preserve"> </w:t>
      </w:r>
      <w:r>
        <w:t xml:space="preserve">Reddit bloquea la lectura automática y no se encontraron hilos en foros en castellano (Rankia, Investing.com). Queda como laguna.</w:t>
      </w:r>
    </w:p>
    <w:p>
      <w:pPr>
        <w:pStyle w:val="FirstParagraph"/>
      </w:pPr>
      <w:r>
        <w:rPr>
          <w:bCs/>
          <w:b/>
        </w:rPr>
        <w:t xml:space="preserve">Contraste con los datos.</w:t>
      </w:r>
      <w:r>
        <w:t xml:space="preserve"> </w:t>
      </w:r>
      <w:r>
        <w:t xml:space="preserve">El negocio va mejor que nunca y la acción cae un 42 % desde mayo. El mercado ya descontaba en mayo un crecimiento que ahora se está cumpliendo. Hoy el sentimiento es de cansancio, no de euforia.</w:t>
      </w:r>
    </w:p>
    <w:p>
      <w:pPr>
        <w:pStyle w:val="BodyText"/>
      </w:pPr>
      <w:r>
        <w:rPr>
          <w:bCs/>
          <w:b/>
        </w:rPr>
        <w:t xml:space="preserve">Riesgo de IA.</w:t>
      </w:r>
      <w:r>
        <w:t xml:space="preserve"> </w:t>
      </w:r>
      <w:r>
        <w:t xml:space="preserve">SiTime gana con la IA: el 64 % de sus ventas va a centros de datos y comunicaciones, y su contenido por bastidor puede pasar de 1.000 USD [10]. La IA no la sustituye. El riesgo es el contrario: depende del ciclo de inversión en centros de datos. Si los grandes clientes de la nube frenan la inversión en 2027-28, sus ventas y su múltiplo caerían juntos. Es el escenario bajista: ventas de 763 M y −81 %.</w:t>
      </w:r>
    </w:p>
    <w:bookmarkEnd w:id="30"/>
    <w:bookmarkStart w:id="31" w:name="riesgos-y-qué-rompería-la-tesis"/>
    <w:p>
      <w:pPr>
        <w:pStyle w:val="Heading2"/>
      </w:pPr>
      <w:r>
        <w:t xml:space="preserve">11. Riesgos y qué rompería la tesis</w:t>
      </w:r>
    </w:p>
    <w:p>
      <w:pPr>
        <w:pStyle w:val="FirstParagraph"/>
      </w:pPr>
      <w:r>
        <w:rPr>
          <w:bCs/>
          <w:b/>
        </w:rPr>
        <w:t xml:space="preserve">Alertas de robustez del motor (</w:t>
      </w:r>
      <w:r>
        <w:rPr>
          <w:rStyle w:val="VerbatimChar"/>
          <w:bCs/>
          <w:b/>
        </w:rPr>
        <w:t xml:space="preserve">calc.alertas</w:t>
      </w:r>
      <w:r>
        <w:rPr>
          <w:bCs/>
          <w:b/>
        </w:rPr>
        <w:t xml:space="preserve">, v11).</w:t>
      </w:r>
    </w:p>
    <w:p>
      <w:pPr>
        <w:numPr>
          <w:ilvl w:val="0"/>
          <w:numId w:val="1006"/>
        </w:numPr>
        <w:pStyle w:val="Compact"/>
      </w:pPr>
      <w:r>
        <w:rPr>
          <w:iCs/>
          <w:i/>
        </w:rPr>
        <w:t xml:space="preserve">Sin guía anual (solo trimestral): el recorte por la guía de v9 no actúa.</w:t>
      </w:r>
      <w:r>
        <w:t xml:space="preserve"> </w:t>
      </w:r>
      <w:r>
        <w:t xml:space="preserve">No debilita la señal: el recorte de v9 solo baja la proyección, y la señal ya es Vender.</w:t>
      </w:r>
    </w:p>
    <w:p>
      <w:pPr>
        <w:numPr>
          <w:ilvl w:val="0"/>
          <w:numId w:val="1006"/>
        </w:numPr>
        <w:pStyle w:val="Compact"/>
      </w:pPr>
      <w:r>
        <w:rPr>
          <w:iCs/>
          <w:i/>
        </w:rPr>
        <w:t xml:space="preserve">Pagos en acciones del 24,4 % de las ventas.</w:t>
      </w:r>
      <w:r>
        <w:t xml:space="preserve"> </w:t>
      </w:r>
      <w:r>
        <w:t xml:space="preserve">El FCF de 84,5 M no los resta: con ellos, la empresa apenas genera caja para el accionista. Refuerza la señal.</w:t>
      </w:r>
    </w:p>
    <w:p>
      <w:pPr>
        <w:pStyle w:val="FirstParagraph"/>
      </w:pPr>
      <w:r>
        <w:rPr>
          <w:bCs/>
          <w:b/>
        </w:rPr>
        <w:t xml:space="preserve">Avisos de la prueba de robustez.</w:t>
      </w:r>
    </w:p>
    <w:p>
      <w:pPr>
        <w:numPr>
          <w:ilvl w:val="0"/>
          <w:numId w:val="1007"/>
        </w:numPr>
        <w:pStyle w:val="Compact"/>
      </w:pPr>
      <w:r>
        <w:rPr>
          <w:iCs/>
          <w:i/>
        </w:rPr>
        <w:t xml:space="preserve">La proyección mecánica queda un 25 % por debajo de la del informe (1.130 frente a 1.500 M).</w:t>
      </w:r>
      <w:r>
        <w:t xml:space="preserve"> </w:t>
      </w:r>
      <w:r>
        <w:t xml:space="preserve">Aquí la causa es concreta: la base no lleva Renesas. Debilita la cifra, pero no la señal: con la base pro forma sale −27 % y con las ventas del analista −29 %, las dos en Vender.</w:t>
      </w:r>
    </w:p>
    <w:p>
      <w:pPr>
        <w:numPr>
          <w:ilvl w:val="0"/>
          <w:numId w:val="1007"/>
        </w:numPr>
        <w:pStyle w:val="Compact"/>
      </w:pPr>
      <w:r>
        <w:rPr>
          <w:iCs/>
          <w:i/>
        </w:rPr>
        <w:t xml:space="preserve">El escenario bajista da −81 %.</w:t>
      </w:r>
      <w:r>
        <w:t xml:space="preserve"> </w:t>
      </w:r>
      <w:r>
        <w:t xml:space="preserve">Es una acción con caídas fuertes: ha estado entre 243,68 y 901,81 USD en un año.</w:t>
      </w:r>
    </w:p>
    <w:p>
      <w:pPr>
        <w:pStyle w:val="FirstParagraph"/>
      </w:pPr>
      <w:r>
        <w:rPr>
          <w:bCs/>
          <w:b/>
        </w:rPr>
        <w:t xml:space="preserve">Riesgos del negocio.</w:t>
      </w:r>
      <w:r>
        <w:t xml:space="preserve"> </w:t>
      </w:r>
      <w:r>
        <w:t xml:space="preserve">- Ciclo de los centros de datos de IA, con el 64 % de las ventas.</w:t>
      </w:r>
      <w:r>
        <w:t xml:space="preserve"> </w:t>
      </w:r>
      <w:r>
        <w:t xml:space="preserve">- Clientes concentrados: Apple ~17 % en 2025, y los diez mayores el 70 % [9].</w:t>
      </w:r>
      <w:r>
        <w:t xml:space="preserve"> </w:t>
      </w:r>
      <w:r>
        <w:t xml:space="preserve">- Integración de Renesas: depende de sus fábricas y pruebas durante varios trimestres, con un acuerdo de servicios transitorios [2][6].</w:t>
      </w:r>
      <w:r>
        <w:t xml:space="preserve"> </w:t>
      </w:r>
      <w:r>
        <w:t xml:space="preserve">- Que el inventario de los distribuidores esté inflado: los tres mayores son el 66 % de las ventas.</w:t>
      </w:r>
      <w:r>
        <w:t xml:space="preserve"> </w:t>
      </w:r>
      <w:r>
        <w:t xml:space="preserve">- Pagos en acciones altos.</w:t>
      </w:r>
      <w:r>
        <w:t xml:space="preserve"> </w:t>
      </w:r>
      <w:r>
        <w:t xml:space="preserve">- Directivos que venden.</w:t>
      </w:r>
      <w:r>
        <w:t xml:space="preserve"> </w:t>
      </w:r>
      <w:r>
        <w:t xml:space="preserve">- Que Renesas venda su paquete del 11,8 %: tiene derechos de registro para ello [2].</w:t>
      </w:r>
    </w:p>
    <w:p>
      <w:pPr>
        <w:pStyle w:val="BodyText"/>
      </w:pPr>
      <w:r>
        <w:rPr>
          <w:bCs/>
          <w:b/>
        </w:rPr>
        <w:t xml:space="preserve">Qué rompería la tesis (para una futura compra):</w:t>
      </w:r>
      <w:r>
        <w:t xml:space="preserve"> </w:t>
      </w:r>
      <w:r>
        <w:t xml:space="preserve">- Guía del 4T por debajo del consenso (311 M).</w:t>
      </w:r>
      <w:r>
        <w:t xml:space="preserve"> </w:t>
      </w:r>
      <w:r>
        <w:t xml:space="preserve">- Ventas sin Renesas que dejen de crecer de un trimestre a otro.</w:t>
      </w:r>
      <w:r>
        <w:t xml:space="preserve"> </w:t>
      </w:r>
      <w:r>
        <w:t xml:space="preserve">- Pérdida de un cliente grande de centros de datos.</w:t>
      </w:r>
    </w:p>
    <w:bookmarkEnd w:id="31"/>
    <w:bookmarkStart w:id="32" w:name="catalizadores-con-fecha"/>
    <w:p>
      <w:pPr>
        <w:pStyle w:val="Heading2"/>
      </w:pPr>
      <w:r>
        <w:t xml:space="preserve">12. Catalizadores con fecha</w:t>
      </w:r>
    </w:p>
    <w:p>
      <w:pPr>
        <w:numPr>
          <w:ilvl w:val="0"/>
          <w:numId w:val="1008"/>
        </w:numPr>
        <w:pStyle w:val="Compact"/>
      </w:pPr>
      <w:r>
        <w:rPr>
          <w:bCs/>
          <w:b/>
        </w:rPr>
        <w:t xml:space="preserve">4-nov-2026:</w:t>
      </w:r>
      <w:r>
        <w:t xml:space="preserve"> </w:t>
      </w:r>
      <w:r>
        <w:t xml:space="preserve">resultados del 3T, el primero con Renesas (guía de 285-295 M), y guía del 4T [15].</w:t>
      </w:r>
    </w:p>
    <w:p>
      <w:pPr>
        <w:numPr>
          <w:ilvl w:val="0"/>
          <w:numId w:val="1008"/>
        </w:numPr>
        <w:pStyle w:val="Compact"/>
      </w:pPr>
      <w:r>
        <w:rPr>
          <w:bCs/>
          <w:b/>
        </w:rPr>
        <w:t xml:space="preserve">Febrero de 2027:</w:t>
      </w:r>
      <w:r>
        <w:t xml:space="preserve"> </w:t>
      </w:r>
      <w:r>
        <w:t xml:space="preserve">resultados del 4T y posible primera guía de 2027.</w:t>
      </w:r>
    </w:p>
    <w:p>
      <w:pPr>
        <w:numPr>
          <w:ilvl w:val="0"/>
          <w:numId w:val="1008"/>
        </w:numPr>
        <w:pStyle w:val="Compact"/>
      </w:pPr>
      <w:r>
        <w:rPr>
          <w:bCs/>
          <w:b/>
        </w:rPr>
        <w:t xml:space="preserve">2027-28:</w:t>
      </w:r>
      <w:r>
        <w:t xml:space="preserve"> </w:t>
      </w:r>
      <w:r>
        <w:t xml:space="preserve">módulos ópticos de nueva generación y relojes integrados (chiplets, previstos para 2028-29) [10].</w:t>
      </w:r>
    </w:p>
    <w:p>
      <w:pPr>
        <w:numPr>
          <w:ilvl w:val="0"/>
          <w:numId w:val="1008"/>
        </w:numPr>
        <w:pStyle w:val="Compact"/>
      </w:pPr>
      <w:r>
        <w:rPr>
          <w:bCs/>
          <w:b/>
        </w:rPr>
        <w:t xml:space="preserve">Mientras tanto:</w:t>
      </w:r>
      <w:r>
        <w:t xml:space="preserve"> </w:t>
      </w:r>
      <w:r>
        <w:t xml:space="preserve">posible venta de acciones de Renesas. Tiene derechos de registro, con un máximo de tres colocaciones en 18 meses [2].</w:t>
      </w:r>
    </w:p>
    <w:bookmarkEnd w:id="32"/>
    <w:bookmarkStart w:id="33" w:name="encaje-en-cartera"/>
    <w:p>
      <w:pPr>
        <w:pStyle w:val="Heading2"/>
      </w:pPr>
      <w:r>
        <w:t xml:space="preserve">13. Encaje en cartera</w:t>
      </w:r>
    </w:p>
    <w:p>
      <w:pPr>
        <w:pStyle w:val="FirstParagraph"/>
      </w:pPr>
      <w:r>
        <w:rPr>
          <w:bCs/>
          <w:b/>
        </w:rPr>
        <w:t xml:space="preserve">No entra.</w:t>
      </w:r>
      <w:r>
        <w:t xml:space="preserve"> </w:t>
      </w:r>
      <w:r>
        <w:t xml:space="preserve">El bolsillo growth está lleno, en torno al 20 % de la cartera: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Valor</w:t>
            </w:r>
          </w:p>
        </w:tc>
        <w:tc>
          <w:tcPr/>
          <w:p>
            <w:pPr>
              <w:pStyle w:val="Compact"/>
              <w:jc w:val="left"/>
            </w:pPr>
            <w:r>
              <w:t xml:space="preserve">Rentabilidad ponderada al precio actual (v11)</w:t>
            </w:r>
          </w:p>
        </w:tc>
      </w:tr>
      <w:tr>
        <w:tc>
          <w:tcPr/>
          <w:p>
            <w:pPr>
              <w:pStyle w:val="Compact"/>
              <w:jc w:val="left"/>
            </w:pPr>
            <w:r>
              <w:t xml:space="preserve">Nu</w:t>
            </w:r>
          </w:p>
        </w:tc>
        <w:tc>
          <w:tcPr/>
          <w:p>
            <w:pPr>
              <w:pStyle w:val="Compact"/>
              <w:jc w:val="left"/>
            </w:pPr>
            <w:r>
              <w:t xml:space="preserve">+22 %</w:t>
            </w:r>
          </w:p>
        </w:tc>
      </w:tr>
      <w:tr>
        <w:tc>
          <w:tcPr/>
          <w:p>
            <w:pPr>
              <w:pStyle w:val="Compact"/>
              <w:jc w:val="left"/>
            </w:pPr>
            <w:r>
              <w:t xml:space="preserve">Axon</w:t>
            </w:r>
          </w:p>
        </w:tc>
        <w:tc>
          <w:tcPr/>
          <w:p>
            <w:pPr>
              <w:pStyle w:val="Compact"/>
              <w:jc w:val="left"/>
            </w:pPr>
            <w:r>
              <w:t xml:space="preserve">+35 %</w:t>
            </w:r>
          </w:p>
        </w:tc>
      </w:tr>
      <w:tr>
        <w:tc>
          <w:tcPr/>
          <w:p>
            <w:pPr>
              <w:pStyle w:val="Compact"/>
              <w:jc w:val="left"/>
            </w:pPr>
            <w:r>
              <w:t xml:space="preserve">Shopify</w:t>
            </w:r>
          </w:p>
        </w:tc>
        <w:tc>
          <w:tcPr/>
          <w:p>
            <w:pPr>
              <w:pStyle w:val="Compact"/>
              <w:jc w:val="left"/>
            </w:pPr>
            <w:r>
              <w:t xml:space="preserve">+19 %</w:t>
            </w:r>
          </w:p>
        </w:tc>
      </w:tr>
      <w:tr>
        <w:tc>
          <w:tcPr/>
          <w:p>
            <w:pPr>
              <w:pStyle w:val="Compact"/>
              <w:jc w:val="left"/>
            </w:pPr>
            <w:r>
              <w:t xml:space="preserve">Snowflake</w:t>
            </w:r>
          </w:p>
        </w:tc>
        <w:tc>
          <w:tcPr/>
          <w:p>
            <w:pPr>
              <w:pStyle w:val="Compact"/>
              <w:jc w:val="left"/>
            </w:pPr>
            <w:r>
              <w:t xml:space="preserve">+16 %</w:t>
            </w:r>
          </w:p>
        </w:tc>
      </w:tr>
      <w:tr>
        <w:tc>
          <w:tcPr/>
          <w:p>
            <w:pPr>
              <w:pStyle w:val="Compact"/>
              <w:jc w:val="left"/>
            </w:pPr>
            <w:r>
              <w:t xml:space="preserve">Samsara</w:t>
            </w:r>
          </w:p>
        </w:tc>
        <w:tc>
          <w:tcPr/>
          <w:p>
            <w:pPr>
              <w:pStyle w:val="Compact"/>
              <w:jc w:val="left"/>
            </w:pPr>
            <w:r>
              <w:t xml:space="preserve">+17 %</w:t>
            </w:r>
          </w:p>
        </w:tc>
      </w:tr>
    </w:tbl>
    <w:p>
      <w:pPr>
        <w:pStyle w:val="BodyText"/>
      </w:pPr>
      <w:r>
        <w:t xml:space="preserve">No hay liquidez libre, así que una compra solo podría entrar sustituyendo a otra. SiTime da Vender, con una ponderada de −47,5 % (−46,5 % al precio actual con el objetivo fijo). No sustituye a ninguna, tampoco a la más floja, Snowflake (+16 %, convicción media). Tampoco entra en la lista de suplentes:</w:t>
      </w:r>
    </w:p>
    <w:p>
      <w:pPr>
        <w:numPr>
          <w:ilvl w:val="0"/>
          <w:numId w:val="1009"/>
        </w:numPr>
        <w:pStyle w:val="Compact"/>
      </w:pPr>
      <w:r>
        <w:t xml:space="preserve">MongoDB</w:t>
      </w:r>
    </w:p>
    <w:p>
      <w:pPr>
        <w:numPr>
          <w:ilvl w:val="0"/>
          <w:numId w:val="1009"/>
        </w:numPr>
        <w:pStyle w:val="Compact"/>
      </w:pPr>
      <w:r>
        <w:t xml:space="preserve">Toast</w:t>
      </w:r>
    </w:p>
    <w:p>
      <w:pPr>
        <w:numPr>
          <w:ilvl w:val="0"/>
          <w:numId w:val="1009"/>
        </w:numPr>
        <w:pStyle w:val="Compact"/>
      </w:pPr>
      <w:r>
        <w:t xml:space="preserve">Zscaler</w:t>
      </w:r>
    </w:p>
    <w:p>
      <w:pPr>
        <w:numPr>
          <w:ilvl w:val="0"/>
          <w:numId w:val="1009"/>
        </w:numPr>
        <w:pStyle w:val="Compact"/>
      </w:pPr>
      <w:r>
        <w:t xml:space="preserve">Rubrik</w:t>
      </w:r>
    </w:p>
    <w:p>
      <w:pPr>
        <w:numPr>
          <w:ilvl w:val="0"/>
          <w:numId w:val="1009"/>
        </w:numPr>
        <w:pStyle w:val="Compact"/>
      </w:pPr>
      <w:r>
        <w:t xml:space="preserve">dLocal</w:t>
      </w:r>
    </w:p>
    <w:p>
      <w:pPr>
        <w:numPr>
          <w:ilvl w:val="0"/>
          <w:numId w:val="1009"/>
        </w:numPr>
        <w:pStyle w:val="Compact"/>
      </w:pPr>
      <w:r>
        <w:t xml:space="preserve">Dexcom</w:t>
      </w:r>
    </w:p>
    <w:p>
      <w:pPr>
        <w:numPr>
          <w:ilvl w:val="0"/>
          <w:numId w:val="1009"/>
        </w:numPr>
        <w:pStyle w:val="Compact"/>
      </w:pPr>
      <w:r>
        <w:t xml:space="preserve">argenx</w:t>
      </w:r>
    </w:p>
    <w:p>
      <w:pPr>
        <w:numPr>
          <w:ilvl w:val="0"/>
          <w:numId w:val="1009"/>
        </w:numPr>
        <w:pStyle w:val="Compact"/>
      </w:pPr>
      <w:r>
        <w:t xml:space="preserve">Datadog</w:t>
      </w:r>
    </w:p>
    <w:p>
      <w:pPr>
        <w:numPr>
          <w:ilvl w:val="0"/>
          <w:numId w:val="1009"/>
        </w:numPr>
        <w:pStyle w:val="Compact"/>
      </w:pPr>
      <w:r>
        <w:t xml:space="preserve">Reddit</w:t>
      </w:r>
    </w:p>
    <w:p>
      <w:pPr>
        <w:numPr>
          <w:ilvl w:val="0"/>
          <w:numId w:val="1009"/>
        </w:numPr>
        <w:pStyle w:val="Compact"/>
      </w:pPr>
      <w:r>
        <w:t xml:space="preserve">Saab</w:t>
      </w:r>
    </w:p>
    <w:p>
      <w:pPr>
        <w:numPr>
          <w:ilvl w:val="0"/>
          <w:numId w:val="1009"/>
        </w:numPr>
        <w:pStyle w:val="Compact"/>
      </w:pPr>
      <w:r>
        <w:t xml:space="preserve">Natera</w:t>
      </w:r>
    </w:p>
    <w:p>
      <w:pPr>
        <w:numPr>
          <w:ilvl w:val="0"/>
          <w:numId w:val="1009"/>
        </w:numPr>
        <w:pStyle w:val="Compact"/>
      </w:pPr>
      <w:r>
        <w:t xml:space="preserve">Ypsomed</w:t>
      </w:r>
    </w:p>
    <w:p>
      <w:pPr>
        <w:pStyle w:val="FirstParagraph"/>
      </w:pPr>
      <w:r>
        <w:rPr>
          <w:bCs/>
          <w:b/>
        </w:rPr>
        <w:t xml:space="preserve">Exposición a la IA.</w:t>
      </w:r>
      <w:r>
        <w:t xml:space="preserve"> </w:t>
      </w:r>
      <w:r>
        <w:t xml:space="preserve">Sumaría exposición a la inversión en centros de datos de IA, que en el bolsillo ya llevan Snowflake y Datadog (suplente). Alphabet se vende mañana y no cuenta. Pasaría a Comprar por debajo de 199 USD, o si los resultados del 4-nov y la guía de 2027 subieran mucho las ventas esperadas a mediados de 2028.</w:t>
      </w:r>
    </w:p>
    <w:p>
      <w:pPr>
        <w:pStyle w:val="BodyText"/>
      </w:pPr>
      <w:r>
        <w:rPr>
          <w:bCs/>
          <w:b/>
        </w:rPr>
        <w:t xml:space="preserve">Filtro previo.</w:t>
      </w:r>
      <w:r>
        <w:t xml:space="preserve"> </w:t>
      </w:r>
      <w:r>
        <w:t xml:space="preserve">Las cuatro pruebas se confirman con los datos completos: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Prueba</w:t>
            </w:r>
          </w:p>
        </w:tc>
        <w:tc>
          <w:tcPr/>
          <w:p>
            <w:pPr>
              <w:pStyle w:val="Compact"/>
              <w:jc w:val="left"/>
            </w:pPr>
            <w:r>
              <w:t xml:space="preserve">Resultado</w:t>
            </w:r>
          </w:p>
        </w:tc>
        <w:tc>
          <w:tcPr/>
          <w:p>
            <w:pPr>
              <w:pStyle w:val="Compact"/>
              <w:jc w:val="left"/>
            </w:pPr>
            <w:r>
              <w:t xml:space="preserve">¿Pasa?</w:t>
            </w:r>
          </w:p>
        </w:tc>
      </w:tr>
      <w:tr>
        <w:tc>
          <w:tcPr/>
          <w:p>
            <w:pPr>
              <w:pStyle w:val="Compact"/>
              <w:jc w:val="left"/>
            </w:pPr>
            <w:r>
              <w:t xml:space="preserve">A. Crecimiento</w:t>
            </w:r>
          </w:p>
        </w:tc>
        <w:tc>
          <w:tcPr/>
          <w:p>
            <w:pPr>
              <w:pStyle w:val="Compact"/>
              <w:jc w:val="left"/>
            </w:pPr>
            <w:r>
              <w:t xml:space="preserve">83 % en 12 meses, todo orgánico: Renesas entra el 1-jul, fuera de la ventana</w:t>
            </w:r>
          </w:p>
        </w:tc>
        <w:tc>
          <w:tcPr/>
          <w:p>
            <w:pPr>
              <w:pStyle w:val="Compact"/>
              <w:jc w:val="left"/>
            </w:pPr>
            <w:r>
              <w:t xml:space="preserve">Sí</w:t>
            </w:r>
          </w:p>
        </w:tc>
      </w:tr>
      <w:tr>
        <w:tc>
          <w:tcPr/>
          <w:p>
            <w:pPr>
              <w:pStyle w:val="Compact"/>
              <w:jc w:val="left"/>
            </w:pPr>
            <w:r>
              <w:t xml:space="preserve">B. EV/EBITDA frente a su historia</w:t>
            </w:r>
          </w:p>
        </w:tc>
        <w:tc>
          <w:tcPr/>
          <w:p>
            <w:pPr>
              <w:pStyle w:val="Compact"/>
              <w:jc w:val="left"/>
            </w:pPr>
            <w:r>
              <w:t xml:space="preserve">No aplica: no es rentable de forma estable</w:t>
            </w:r>
          </w:p>
        </w:tc>
        <w:tc>
          <w:tcPr/>
          <w:p>
            <w:pPr>
              <w:pStyle w:val="Compact"/>
              <w:jc w:val="left"/>
            </w:pPr>
            <w:r>
              <w:t xml:space="preserve">—</w:t>
            </w:r>
          </w:p>
        </w:tc>
      </w:tr>
      <w:tr>
        <w:tc>
          <w:tcPr/>
          <w:p>
            <w:pPr>
              <w:pStyle w:val="Compact"/>
              <w:jc w:val="left"/>
            </w:pPr>
            <w:r>
              <w:t xml:space="preserve">C. Mayor cliente final</w:t>
            </w:r>
          </w:p>
        </w:tc>
        <w:tc>
          <w:tcPr/>
          <w:p>
            <w:pPr>
              <w:pStyle w:val="Compact"/>
              <w:jc w:val="left"/>
            </w:pPr>
            <w:r>
              <w:t xml:space="preserve">Apple, 17 % de las ventas de 2025</w:t>
            </w:r>
          </w:p>
        </w:tc>
        <w:tc>
          <w:tcPr/>
          <w:p>
            <w:pPr>
              <w:pStyle w:val="Compact"/>
              <w:jc w:val="left"/>
            </w:pPr>
            <w:r>
              <w:t xml:space="preserve">Sí</w:t>
            </w:r>
          </w:p>
        </w:tc>
      </w:tr>
      <w:tr>
        <w:tc>
          <w:tcPr/>
          <w:p>
            <w:pPr>
              <w:pStyle w:val="Compact"/>
              <w:jc w:val="left"/>
            </w:pPr>
            <w:r>
              <w:t xml:space="preserve">D. Crecimiento descontado ÷ crecimiento</w:t>
            </w:r>
          </w:p>
        </w:tc>
        <w:tc>
          <w:tcPr/>
          <w:p>
            <w:pPr>
              <w:pStyle w:val="Compact"/>
              <w:jc w:val="left"/>
            </w:pPr>
            <w:r>
              <w:t xml:space="preserve">0,39 (32,3 % ÷ 83 %)</w:t>
            </w:r>
          </w:p>
        </w:tc>
        <w:tc>
          <w:tcPr/>
          <w:p>
            <w:pPr>
              <w:pStyle w:val="Compact"/>
              <w:jc w:val="left"/>
            </w:pPr>
            <w:r>
              <w:t xml:space="preserve">Sí</w:t>
            </w:r>
          </w:p>
        </w:tc>
      </w:tr>
    </w:tbl>
    <w:p>
      <w:pPr>
        <w:pStyle w:val="BodyText"/>
      </w:pPr>
      <w:r>
        <w:t xml:space="preserve">Aun así, da Vender. El filtro no ve dos cosas:</w:t>
      </w:r>
    </w:p>
    <w:p>
      <w:pPr>
        <w:numPr>
          <w:ilvl w:val="0"/>
          <w:numId w:val="1010"/>
        </w:numPr>
        <w:pStyle w:val="Compact"/>
      </w:pPr>
      <w:r>
        <w:rPr>
          <w:iCs/>
          <w:i/>
        </w:rPr>
        <w:t xml:space="preserve">El múltiplo frente a su propia historia.</w:t>
      </w:r>
      <w:r>
        <w:t xml:space="preserve"> </w:t>
      </w:r>
      <w:r>
        <w:t xml:space="preserve">Hoy cotiza a 14,1x, frente a ~10x de mediana; la prueba B solo se aplica a las rentables.</w:t>
      </w:r>
    </w:p>
    <w:p>
      <w:pPr>
        <w:numPr>
          <w:ilvl w:val="0"/>
          <w:numId w:val="1010"/>
        </w:numPr>
        <w:pStyle w:val="Compact"/>
      </w:pPr>
      <w:r>
        <w:rPr>
          <w:iCs/>
          <w:i/>
        </w:rPr>
        <w:t xml:space="preserve">Cuánto se frenará el crecimiento.</w:t>
      </w:r>
      <w:r>
        <w:t xml:space="preserve"> </w:t>
      </w:r>
      <w:r>
        <w:t xml:space="preserve">La prueba D divide por un crecimiento del 83 % que está en su pico.</w:t>
      </w:r>
    </w:p>
    <w:p>
      <w:pPr>
        <w:pStyle w:val="FirstParagraph"/>
      </w:pPr>
      <w:r>
        <w:t xml:space="preserve">Es el mismo patrón que Zeta. Para el filtro, la propuesta pendiente de «EV/ventas ≤ 1,5 veces su mediana» la habría dejado pasar (1,4 veces).</w:t>
      </w:r>
    </w:p>
    <w:p>
      <w:pPr>
        <w:pStyle w:val="BodyText"/>
      </w:pPr>
      <w:r>
        <w:rPr>
          <w:bCs/>
          <w:b/>
        </w:rPr>
        <w:t xml:space="preserve">Mejora de método propuesta (sin aplicar; necesita backtest).</w:t>
      </w:r>
      <w:r>
        <w:t xml:space="preserve"> </w:t>
      </w:r>
      <w:r>
        <w:t xml:space="preserve">En v12, cuando una compra se cierra después de la ventana de los últimos 12 meses, el tope «como mucho la proyección sin orgánico» anula la base pro forma. La regla mecánica parte de ventas sin el negocio comprado y llega a unas ventas a dos años (1.130 M) por debajo de las del año siguiente (1.247 M). Hay dos opciones:</w:t>
      </w:r>
    </w:p>
    <w:p>
      <w:pPr>
        <w:numPr>
          <w:ilvl w:val="0"/>
          <w:numId w:val="1011"/>
        </w:numPr>
        <w:pStyle w:val="Compact"/>
      </w:pPr>
      <w:r>
        <w:t xml:space="preserve">Que el tope de v11 use también la base pro forma cuando la compra se cerró fuera de la ventana.</w:t>
      </w:r>
    </w:p>
    <w:p>
      <w:pPr>
        <w:numPr>
          <w:ilvl w:val="0"/>
          <w:numId w:val="1011"/>
        </w:numPr>
        <w:pStyle w:val="Compact"/>
      </w:pPr>
      <w:r>
        <w:t xml:space="preserve">Que el escenario base nunca quede por debajo de las ventas de los 12 meses siguientes.</w:t>
      </w:r>
    </w:p>
    <w:p>
      <w:pPr>
        <w:pStyle w:val="FirstParagraph"/>
      </w:pPr>
      <w:r>
        <w:t xml:space="preserve">En SiTime no cambia la señal (sería −27 % en lugar de −47,5 %), pero sí cambia la cifra.</w:t>
      </w:r>
    </w:p>
    <w:bookmarkEnd w:id="33"/>
    <w:bookmarkStart w:id="34"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25</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16</w:t>
            </w:r>
          </w:p>
        </w:tc>
        <w:tc>
          <w:tcPr/>
          <w:p>
            <w:pPr>
              <w:pStyle w:val="Compact"/>
              <w:jc w:val="left"/>
            </w:pPr>
            <w:r>
              <w:t xml:space="preserve">20</w:t>
            </w:r>
          </w:p>
        </w:tc>
      </w:tr>
      <w:tr>
        <w:tc>
          <w:tcPr/>
          <w:p>
            <w:pPr>
              <w:pStyle w:val="Compact"/>
              <w:jc w:val="left"/>
            </w:pPr>
            <w:r>
              <w:t xml:space="preserve">C. Cambio de tendencia (4 de 8 señales)</w:t>
            </w:r>
          </w:p>
        </w:tc>
        <w:tc>
          <w:tcPr/>
          <w:p>
            <w:pPr>
              <w:pStyle w:val="Compact"/>
              <w:jc w:val="left"/>
            </w:pPr>
            <w:r>
              <w:t xml:space="preserve">10</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14</w:t>
            </w:r>
          </w:p>
        </w:tc>
        <w:tc>
          <w:tcPr/>
          <w:p>
            <w:pPr>
              <w:pStyle w:val="Compact"/>
              <w:jc w:val="left"/>
            </w:pPr>
            <w:r>
              <w:t xml:space="preserve">15</w:t>
            </w:r>
          </w:p>
        </w:tc>
      </w:tr>
      <w:tr>
        <w:tc>
          <w:tcPr/>
          <w:p>
            <w:pPr>
              <w:pStyle w:val="Compact"/>
              <w:jc w:val="left"/>
            </w:pPr>
            <w:r>
              <w:t xml:space="preserve">E. Caja y dilución (FCF positivo; dilución del 13,9 %)</w:t>
            </w:r>
          </w:p>
        </w:tc>
        <w:tc>
          <w:tcPr/>
          <w:p>
            <w:pPr>
              <w:pStyle w:val="Compact"/>
              <w:jc w:val="left"/>
            </w:pPr>
            <w:r>
              <w:t xml:space="preserve">5</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77</w:t>
            </w:r>
          </w:p>
        </w:tc>
        <w:tc>
          <w:tcPr/>
          <w:p>
            <w:pPr>
              <w:pStyle w:val="Compact"/>
              <w:jc w:val="left"/>
            </w:pPr>
            <w:r>
              <w:rPr>
                <w:bCs/>
                <w:b/>
              </w:rPr>
              <w:t xml:space="preserve">100</w:t>
            </w:r>
          </w:p>
        </w:tc>
      </w:tr>
    </w:tbl>
    <w:bookmarkEnd w:id="34"/>
    <w:bookmarkStart w:id="35" w:name="fuentes"/>
    <w:p>
      <w:pPr>
        <w:pStyle w:val="Heading2"/>
      </w:pPr>
      <w:r>
        <w:t xml:space="preserve">Fuentes</w:t>
      </w:r>
    </w:p>
    <w:p>
      <w:pPr>
        <w:pStyle w:val="FirstParagraph"/>
      </w:pPr>
      <w:r>
        <w:t xml:space="preserve">[1] SiTime, 10-Q del 2T26 (6-ago-2026, SEC EDGAR): balance, flujo de caja, convertible (0 %, 1.350 M, conversión a 1.040,47 USD, cobertura de opciones), clientes (tres distribuidores 66 %, diez clientes finales 70 %) y acciones en circulación a 1-ago (30,07 M).</w:t>
      </w:r>
      <w:r>
        <w:t xml:space="preserve"> </w:t>
      </w:r>
      <w:r>
        <w:t xml:space="preserve">[2] SiTime, 8-K del 1-jul-2026: cierre de la compra (1.500 M en efectivo y 3.558.691 acciones), línea de crédito de 200 M y derechos de registro de Renesas.</w:t>
      </w:r>
      <w:r>
        <w:t xml:space="preserve"> </w:t>
      </w:r>
      <w:r>
        <w:t xml:space="preserve">[3] SiTime, nota de prensa del 1-jul-2026: al menos 300 M en los 12 primeros meses, ~70 % de margen bruto, 10.000 clientes.</w:t>
      </w:r>
      <w:r>
        <w:t xml:space="preserve"> </w:t>
      </w:r>
      <w:r>
        <w:t xml:space="preserve">[4] SiTime, 8-K/A del 9-sep-2026: estados del negocio de temporización de Renesas y estados pro forma (precio contable 4.006 M).</w:t>
      </w:r>
      <w:r>
        <w:t xml:space="preserve"> </w:t>
      </w:r>
      <w:r>
        <w:t xml:space="preserve">[5] SiTime, nota de resultados del 2T26 (8-K, ex. 99.1, 5-ago-2026).</w:t>
      </w:r>
      <w:r>
        <w:t xml:space="preserve"> </w:t>
      </w:r>
      <w:r>
        <w:t xml:space="preserve">[6] Conferencia del 2T26 (5-ago-2026), resúmenes de Futurum Group, MarketBeat y Quiver Quant: guía del 3T.</w:t>
      </w:r>
      <w:r>
        <w:t xml:space="preserve"> </w:t>
      </w:r>
      <w:r>
        <w:t xml:space="preserve">[7] SEC, XBRL companyfacts de SiTime (ventas trimestrales, caja, inversiones, pagos en acciones, acciones, venta de acciones de 2025).</w:t>
      </w:r>
      <w:r>
        <w:t xml:space="preserve"> </w:t>
      </w:r>
      <w:r>
        <w:t xml:space="preserve">[8] Yahoo Finance, estimaciones de analistas de SITM (consultado el 15-oct-2026).</w:t>
      </w:r>
      <w:r>
        <w:t xml:space="preserve"> </w:t>
      </w:r>
      <w:r>
        <w:t xml:space="preserve">[9] SiTime, 10-K de 2025 (11-feb-2026): Apple ~17 % de las ventas de 2025.</w:t>
      </w:r>
      <w:r>
        <w:t xml:space="preserve"> </w:t>
      </w:r>
      <w:r>
        <w:t xml:space="preserve">[10] Resumen de la intervención de SiTime en la conferencia Goldman Sachs Communacopia + Technology (sep-2026, Quartr).</w:t>
      </w:r>
      <w:r>
        <w:t xml:space="preserve"> </w:t>
      </w:r>
      <w:r>
        <w:t xml:space="preserve">[11] StockAnalysis, previsiones de SITM (actualizado el 29-sep-2026).</w:t>
      </w:r>
      <w:r>
        <w:t xml:space="preserve"> </w:t>
      </w:r>
      <w:r>
        <w:t xml:space="preserve">[12] Yahoo Finance, API de gráficos (SITM, QQQ, SOXX), y Nasdaq.com (cierre del 14-oct, 524,93 USD).</w:t>
      </w:r>
      <w:r>
        <w:t xml:space="preserve"> </w:t>
      </w:r>
      <w:r>
        <w:t xml:space="preserve">[13] StockTwits, mensajes de SITM del 1 al 14-oct-2026.</w:t>
      </w:r>
      <w:r>
        <w:t xml:space="preserve"> </w:t>
      </w:r>
      <w:r>
        <w:t xml:space="preserve">[14] Benzinga, informe de SITM (26-sep-2026).</w:t>
      </w:r>
      <w:r>
        <w:t xml:space="preserve"> </w:t>
      </w:r>
      <w:r>
        <w:t xml:space="preserve">[15] MarketBeat (9-oct-2026) y Quiver Quant: caídas de octubre; fecha de resultados del 3T (4-nov).</w:t>
      </w:r>
      <w:r>
        <w:t xml:space="preserve"> </w:t>
      </w:r>
      <w:r>
        <w:t xml:space="preserve">[16] SEC EDGAR, formularios 4 y 144 (jul-oct 2026) y Schedule 13D de Renesas (9-jul-2026).</w:t>
      </w:r>
      <w:r>
        <w:t xml:space="preserve"> </w:t>
      </w:r>
      <w:r>
        <w:t xml:space="preserve">[17] Yahoo Finance, «SiTime tech could go into billions of Renesas chips, SiTime CEO says» (2026).</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2026-10-15T08:31:14Z</dcterms:created>
  <dcterms:modified xsi:type="dcterms:W3CDTF">2026-10-15T08:31:14Z</dcterms:modified>
</cp:coreProperties>
</file>

<file path=docProps/custom.xml><?xml version="1.0" encoding="utf-8"?>
<Properties xmlns="http://schemas.openxmlformats.org/officeDocument/2006/custom-properties" xmlns:vt="http://schemas.openxmlformats.org/officeDocument/2006/docPropsVTypes"/>
</file>