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Check Point Software Technologies Ltd.</w:t>
      </w:r>
    </w:p>
    <w:p>
      <w:pPr>
        <w:spacing w:after="60"/>
        <w:rPr>
          <w:color w:val="52514E"/>
          <w:sz w:val="22"/>
          <w:szCs w:val="22"/>
        </w:rPr>
      </w:pPr>
      <w:r>
        <w:rPr>
          <w:color w:val="52514E"/>
          <w:sz w:val="22"/>
          <w:szCs w:val="22"/>
        </w:rPr>
        <w:t xml:space="preserve">CHKP · Nasdaq Global Select · ISIN IL0010824113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134,08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161,83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+20,7 % (base +23,2 %)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130,70 USD · mercado 145,96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13.757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Check Point Software Technologies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CHKP / IL0010824113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sistemas (ciberseguridad)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Tel Aviv (Israel)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https://www.checkpoint.com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134,08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112,23 – 210,66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161,83 USD</w:t>
      </w:r>
      <w:r>
        <w:t xml:space="preserve"> frente a 134,08 · Rentabilidad a 12 meses </w:t>
      </w:r>
      <w:r>
        <w:rPr>
          <w:b/>
          <w:bCs/>
        </w:rPr>
        <w:t xml:space="preserve">+20,7 % (base +23,2 %)</w:t>
      </w:r>
      <w:r>
        <w:t xml:space="preserve"> · Valor intrínseco 130,70 USD · con la prima implícita del mercado: 145,96 (+8,9 %) · Alcista / bajista +15,6 % / -26,5 %</w:t>
      </w:r>
    </w:p>
    <w:p>
      <w:pPr>
        <w:spacing w:after="100"/>
      </w:pPr>
      <w:r>
        <w:rPr>
          <w:b/>
        </w:rPr>
        <w:t xml:space="preserve">La recomendación y por qué.</w:t>
      </w:r>
      <w:r>
        <w:t xml:space="preserve"> Mantener, con convicción media. El objetivo a 12 meses es de 161,83 USD (rentabilidad ponderada del 20,7 % y del 23,2 % en el base), por encima del objetivo medio de 38 analistas (145,83), pero el valor intrínseco es de 130,70 USD, un 2,5 % por debajo del precio de 134,08 (cierre del 14-oct). La regla no da Comprar por un solo filtro: el valor real no llega al precio. La rentabilidad a 12 meses sale de que el PER adelantado vuelva de 16,7 a 18,4 veces, no del valor del negocio. La convicción es media porque las dos reglas coinciden y estamos lejos de sus umbrales; subiría si la acción bajara de 130,70 USD o si el 4T26 devolviera los productos a crecer.</w:t>
      </w:r>
    </w:p>
    <w:p>
      <w:pPr>
        <w:spacing w:after="100"/>
      </w:pPr>
      <w:r>
        <w:rPr>
          <w:b/>
        </w:rPr>
        <w:t xml:space="preserve">El negocio.</w:t>
      </w:r>
      <w:r>
        <w:t xml:space="preserve"> Margen operativo GAAP del 30,5 %, caja neta de 2.203 M USD y flujo libre del 129 % del beneficio [2, 3]. El ROIC del motor (320,8 %) no es útil por los ingresos diferidos; calculado sin ellos y con el impuesto normalizado es del ≈24 %, 14 puntos sobre el WACC del 9,86 % (estimación propia): veredicto de calidad Sí. La calidad sostiene el crecimiento que proyectamos (sostenibilidad Sí): un 4,1 % de media, por debajo de su historia y del mercado (7,2 %), sin capital. El problema no es la rentabilidad sino la cuota: productos −14 % en el 2T26 mientras Fortinet y Palo Alto ganan la renovación [3].</w:t>
      </w:r>
    </w:p>
    <w:p>
      <w:pPr>
        <w:spacing w:after="100"/>
      </w:pPr>
      <w:r>
        <w:rPr>
          <w:b/>
        </w:rPr>
        <w:t xml:space="preserve">Finanzas y equipo.</w:t>
      </w:r>
      <w:r>
        <w:t xml:space="preserve"> Ingresos +6,3 % en 2025, pero guía de 2026 rebajada a 2.770-2.850 M (+1,6 % a +4,6 %) tras la reorganización comercial de Zafrir, que ha costado la salida del director comercial [4, 23]. El BPA de 2025 (9,62) lleva 1,90 USD de impuesto no recurrente; el normalizado es 7,40 [5]. Shwed conserva el 23,9 %; consejeros y directivos han vendido 12,2 M USD en 12 meses [20].</w:t>
      </w:r>
    </w:p>
    <w:p>
      <w:pPr>
        <w:spacing w:after="100"/>
      </w:pPr>
      <w:r>
        <w:rPr>
          <w:b/>
        </w:rPr>
        <w:t xml:space="preserve">Valoración.</w:t>
      </w:r>
      <w:r>
        <w:t xml:space="preserve"> El DCF da 131,69 USD y el DCF inverso dice que el precio descuenta un 4,7 % de crecimiento anual, casi nuestro 4,4 %: precio justo. A 16,7 veces nuestro BPA de 2027e cotiza en el mínimo de la década (mediana adelantada de 20,5), y por eso la regla a 12 meses da recorrido; la v2, de control, da un 16,1 % (11,9 % en el base). Nuestro BPA de 2028e (8,98) va un 9 % por debajo del consenso por el coste comercial.</w:t>
      </w:r>
    </w:p>
    <w:p>
      <w:pPr>
        <w:spacing w:after="100"/>
      </w:pPr>
      <w:r>
        <w:rPr>
          <w:b/>
        </w:rPr>
        <w:t xml:space="preserve">Riesgos y catalizadores.</w:t>
      </w:r>
      <w:r>
        <w:t xml:space="preserve"> El mayor riesgo es perder la renovación de cortafuegos durante la reorganización (bajista: 98,55 USD, −26,5 %). La IA es un riesgo mixto de exposición media: atacantes más rápidos y agentes que administran redes de varios fabricantes pueden restar valor a la consola, pero la seguridad de la IA (Lakera, Cyata; ARR +40 %) es la palanca de crecimiento; no creemos que la IA se coma el negocio en cinco años. Riesgo Israel (1 punto de prima en el WACC) y la vulnerabilidad del VPN de junio [14]. El sentimiento está dividido, sin euforia ni capitulación. Catalizadores: 3T26 el 2-nov y guía de 2027 en febrero.</w:t>
      </w:r>
    </w:p>
    <w:p>
      <w:pPr>
        <w:spacing w:after="100"/>
      </w:pPr>
      <w:r>
        <w:rPr>
          <w:b/>
        </w:rPr>
        <w:t xml:space="preserve">Qué cambiaría la decisión.</w:t>
      </w:r>
      <w:r>
        <w:t xml:space="preserve"> Compraríamos por debajo de 130,70 USD (con la v2, el límite robusto es más bajo) y venderíamos por encima de 179,81. Revisaríamos al alza si productos vuelve a crecer en el 4T26 y la guía de 2027 supera el 6 %; a la baja si queda por debajo del 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161,83 USD</w:t>
      </w:r>
      <w:r>
        <w:t xml:space="preserve"> (rentabilidad +20,7 % (base +23,2 %)) · Valor intrínseco: 130,70 USD (-2,5 % sobre 134,08) · con la prima implícita del mercado: 145,96 (+8,9 %)</w:t>
      </w:r>
    </w:p>
    <w:p>
      <w:pPr>
        <w:spacing w:after="100"/>
      </w:pPr>
      <w:r>
        <w:t xml:space="preserve">Check Point es el veterano rentable de los cortafuegos: 2.725 M USD de ingresos en 2025, un margen operativo GAAP del 30,5 %, un flujo libre del 129 % del beneficio y 2.203 M de caja neta, todo devuelto con recompras que han reducido las acciones un 5 % al año [1, 2, 3]. Su debilidad es el crecimiento: un 5 % anual, con los productos cayendo un 14 % en el 2T26 mientras Fortinet y Palo Alto ganan la renovación de equipos [3].</w:t>
      </w:r>
    </w:p>
    <w:p>
      <w:pPr>
        <w:spacing w:after="100"/>
      </w:pPr>
      <w:r>
        <w:t xml:space="preserve">El precio, 134,08 USD tras caer un 29,5 % en un año, descuenta poco: 16,7 veces nuestro BPA de 2027e, el mínimo de la década, y en el DCF inverso un crecimiento del 4,7 % anual, casi nuestro 4,4 % [24].</w:t>
      </w:r>
    </w:p>
    <w:p>
      <w:pPr>
        <w:spacing w:after="100"/>
      </w:pPr>
      <w:r>
        <w:t xml:space="preserve">El mercado ya no cree en el giro de Zafrir. Para ganar dinero hay que creer que la reorganización comercial devuelve los productos a crecer en el 4T26 y que la seguridad de la IA acelera la suscripción; si eso ocurre, el múltiplo vuelve hacia 18-20 veces. Si no, la recompra sostiene el BPA, pero el valor no da margen.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7,91 = 116,28 · 18,4x × 8,98 = 165,23 · 20,7x × 9,69 = 200,58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 / 23,2 %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145,83 (nuestro base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9,9 %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130,70 y 179,81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179,81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130,70 USD (valor intrínseco), pasaríamos a Comprar con los demás requisitos cumplidos.</w:t>
      </w:r>
    </w:p>
    <w:p>
      <w:pPr>
        <w:pStyle w:val="ListParagraph"/>
        <w:numPr>
          <w:ilvl w:val="0"/>
          <w:numId w:val="2"/>
        </w:numPr>
        <w:spacing w:after="60"/>
      </w:pPr>
      <w:r>
        <w:t xml:space="preserve">Si productos vuelve a crecer en el 4T26 y la guía de 2027 supera el 6 %, revisaríamos al alza el DCF.</w:t>
      </w:r>
    </w:p>
    <w:p>
      <w:pPr>
        <w:pStyle w:val="ListParagraph"/>
        <w:numPr>
          <w:ilvl w:val="0"/>
          <w:numId w:val="2"/>
        </w:numPr>
        <w:spacing w:after="60"/>
      </w:pPr>
      <w:r>
        <w:t xml:space="preserve">Si la guía de 2027 queda por debajo del 3 % o el margen operativo GAAP baja del 25 %, pasaríamos a Vender por encima de ≈120 USD.</w:t>
      </w:r>
    </w:p>
    <w:p>
      <w:pPr>
        <w:pStyle w:val="ListParagraph"/>
        <w:numPr>
          <w:ilvl w:val="0"/>
          <w:numId w:val="2"/>
        </w:numPr>
        <w:spacing w:after="60"/>
      </w:pPr>
      <w:r>
        <w:t xml:space="preserve">Si la acción supera 179,81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en declive lento que pierde la renovación de cortafuegos frente a Fortinet y Palo Alto, con una dirección que ha rebajado la guía y un riesgo país creciente: 16,7 veces el beneficio GAAP de 2027e y un crecimiento del 4,7 % en el DCF inverso.</w:t>
      </w:r>
    </w:p>
    <w:p>
      <w:pPr>
        <w:keepNext/>
        <w:spacing w:after="100"/>
      </w:pPr>
      <w:r>
        <w:rPr>
          <w:b/>
          <w:bCs/>
        </w:rPr>
        <w:t xml:space="preserve">Lo que creemos nosotros.</w:t>
      </w:r>
    </w:p>
    <w:p>
      <w:pPr>
        <w:spacing w:after="100"/>
      </w:pPr>
      <w:r>
        <w:t xml:space="preserve">Coincidimos en el valor (131,69 USD en el DCF), pero creemos que el mercado exagera el múltiplo bajo: el beneficio por acción seguirá creciendo un 6-8 % anual por las recompras y las suscripciones, y un PER de 18 veces, todavía por debajo de su mediana de cinco años, daría una rentabilidad del 20 % a 12 meses.</w:t>
      </w:r>
    </w:p>
    <w:p>
      <w:pPr>
        <w:keepNext/>
        <w:spacing w:after="100"/>
      </w:pPr>
      <w:r>
        <w:rPr>
          <w:b/>
          <w:bCs/>
        </w:rPr>
        <w:t xml:space="preserve">Por qué podemos tener razón.</w:t>
      </w:r>
    </w:p>
    <w:p>
      <w:pPr>
        <w:spacing w:after="100"/>
      </w:pPr>
      <w:r>
        <w:t xml:space="preserve">Las suscripciones crecen al 11-12 % aunque caigan los productos; el mantenimiento se renueva; la recompra retira ≈10 % de las acciones en dos años; y el giro hacia la seguridad de la IA (ARR +40 %) aún no aparece en las cifras. Pero sin margen frente al valor intrínseco, la tesis es de múltiplo, y eso no basta para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34,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de primera</w:t>
      </w:r>
      <w:r>
        <w:t xml:space="preserve">: margen operativo GAAP del 30,5 % frente al 7,1 % de Palo Alto [2, 12].</w:t>
      </w:r>
    </w:p>
    <w:p>
      <w:pPr>
        <w:pStyle w:val="ListParagraph"/>
        <w:numPr>
          <w:ilvl w:val="0"/>
          <w:numId w:val="2"/>
        </w:numPr>
        <w:spacing w:after="60"/>
      </w:pPr>
      <w:r>
        <w:rPr>
          <w:b/>
        </w:rPr>
        <w:t xml:space="preserve">Caja neta de 2.203 M USD</w:t>
      </w:r>
      <w:r>
        <w:t xml:space="preserve"> (≈21 USD por acción) y convertibles al 0 % hasta 2030 [3].</w:t>
      </w:r>
    </w:p>
    <w:p>
      <w:pPr>
        <w:pStyle w:val="ListParagraph"/>
        <w:numPr>
          <w:ilvl w:val="0"/>
          <w:numId w:val="2"/>
        </w:numPr>
        <w:spacing w:after="60"/>
      </w:pPr>
      <w:r>
        <w:rPr>
          <w:b/>
        </w:rPr>
        <w:t xml:space="preserve">Recompra del ≈10 % del capital</w:t>
      </w:r>
      <w:r>
        <w:t xml:space="preserve"> con los ≈1.475 M USD que quedan del programa de mayo de 2026 [21].</w:t>
      </w:r>
    </w:p>
    <w:p>
      <w:pPr>
        <w:pStyle w:val="ListParagraph"/>
        <w:numPr>
          <w:ilvl w:val="0"/>
          <w:numId w:val="2"/>
        </w:numPr>
        <w:spacing w:after="60"/>
      </w:pPr>
      <w:r>
        <w:rPr>
          <w:b/>
        </w:rPr>
        <w:t xml:space="preserve">Suscripciones +12 % en el 2T26</w:t>
      </w:r>
      <w:r>
        <w:t xml:space="preserve">, con las tecnologías emergentes creciendo más del 40 % [3, 9].</w:t>
      </w:r>
    </w:p>
    <w:p>
      <w:pPr>
        <w:pStyle w:val="ListParagraph"/>
        <w:numPr>
          <w:ilvl w:val="0"/>
          <w:numId w:val="2"/>
        </w:numPr>
        <w:spacing w:after="60"/>
      </w:pPr>
      <w:r>
        <w:rPr>
          <w:b/>
        </w:rPr>
        <w:t xml:space="preserve">PER adelantado de 16,7 veces</w:t>
      </w:r>
      <w:r>
        <w:t xml:space="preserve">, mínimo de la década frente a una mediana de 20,5 [24].</w:t>
      </w:r>
    </w:p>
    <w:p>
      <w:pPr>
        <w:pStyle w:val="Heading2"/>
      </w:pPr>
      <w:r>
        <w:t xml:space="preserve">En contra</w:t>
      </w:r>
    </w:p>
    <w:p>
      <w:pPr>
        <w:pStyle w:val="ListParagraph"/>
        <w:numPr>
          <w:ilvl w:val="0"/>
          <w:numId w:val="2"/>
        </w:numPr>
        <w:spacing w:after="60"/>
      </w:pPr>
      <w:r>
        <w:rPr>
          <w:b/>
        </w:rPr>
        <w:t xml:space="preserve">Productos −14 % en el 2T26</w:t>
      </w:r>
      <w:r>
        <w:t xml:space="preserve"> mientras Fortinet y Palo Alto renuevan cortafuegos [3].</w:t>
      </w:r>
    </w:p>
    <w:p>
      <w:pPr>
        <w:pStyle w:val="ListParagraph"/>
        <w:numPr>
          <w:ilvl w:val="0"/>
          <w:numId w:val="2"/>
        </w:numPr>
        <w:spacing w:after="60"/>
      </w:pPr>
      <w:r>
        <w:rPr>
          <w:b/>
        </w:rPr>
        <w:t xml:space="preserve">Guía de ingresos rebajada</w:t>
      </w:r>
      <w:r>
        <w:t xml:space="preserve"> a 2.770-2.850 M USD (+1,6 % a +4,6 %) [23].</w:t>
      </w:r>
    </w:p>
    <w:p>
      <w:pPr>
        <w:pStyle w:val="ListParagraph"/>
        <w:numPr>
          <w:ilvl w:val="0"/>
          <w:numId w:val="2"/>
        </w:numPr>
        <w:spacing w:after="60"/>
      </w:pPr>
      <w:r>
        <w:rPr>
          <w:b/>
        </w:rPr>
        <w:t xml:space="preserve">Margen EBITDA contable del 30,5 %</w:t>
      </w:r>
      <w:r>
        <w:t xml:space="preserve">, desde el 48,5 % de 2018, y con 4 puntos de subvenciones [2, 3].</w:t>
      </w:r>
    </w:p>
    <w:p>
      <w:pPr>
        <w:pStyle w:val="ListParagraph"/>
        <w:numPr>
          <w:ilvl w:val="0"/>
          <w:numId w:val="2"/>
        </w:numPr>
        <w:spacing w:after="60"/>
      </w:pPr>
      <w:r>
        <w:rPr>
          <w:b/>
        </w:rPr>
        <w:t xml:space="preserve">Valor intrínseco de 130,70 USD</w:t>
      </w:r>
      <w:r>
        <w:t xml:space="preserve">, un 2,5 % por debajo del precio: sin margen de seguridad.</w:t>
      </w:r>
    </w:p>
    <w:p>
      <w:pPr>
        <w:pStyle w:val="ListParagraph"/>
        <w:numPr>
          <w:ilvl w:val="0"/>
          <w:numId w:val="2"/>
        </w:numPr>
        <w:spacing w:after="60"/>
      </w:pPr>
      <w:r>
        <w:rPr>
          <w:b/>
        </w:rPr>
        <w:t xml:space="preserve">Riesgo Israel y vulnerabilidad del VPN</w:t>
      </w:r>
      <w:r>
        <w:t xml:space="preserve"> de junio de 2026 [14].</w:t>
      </w:r>
    </w:p>
    <w:p>
      <w:pPr>
        <w:pStyle w:val="Heading2"/>
      </w:pPr>
      <w:r>
        <w:t xml:space="preserve">Qué tiene que pasar para que la tesis funcione</w:t>
      </w:r>
    </w:p>
    <w:p>
      <w:pPr>
        <w:spacing w:after="100"/>
      </w:pPr>
      <w:r>
        <w:t xml:space="preserve">La tesis depende de que productos deje de caer y la facturación vuelva a crecer. La señal está en el 3T26 (2-nov) y, sobre todo, en el 4T26: si productos crece y la facturación corriente sube del 5 %, la reorganización funciona y el múltiplo puede volver hacia 18-20 veces; si productos sigue cayendo y la guía de 2027 queda por debajo del 4 %, el bajista (98,55 USD)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productos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promete volver a crecer en el 4T.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seguridad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calculada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contratación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100 M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sostiene 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 / 16,1x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Check Point nació en 1993 en Israel con FireWall-1, el primer cortafuegos comercial con inspección de estado, y salió a bolsa en el Nasdaq en 1996 [1]. Durante tres décadas Gil Shwed la dirigió con una disciplina poco habitual en el sector: margen operativo ajustado del 40 %, crecimiento del 5-6 % y casi todo el flujo de caja en recompras (≈230 M de acciones por 17.400 M USD) [21]. Esa disciplina la dejó atrás en la nube y el puesto de trabajo, donde Palo Alto, Fortinet, Zscaler y CrowdStrike crecieron mucho más deprisa. Desde 2021 compra para ponerse al día (Avanan, Perimeter 81, Cyberint, Veriti, Lakera) [1]. En diciembre de 2024 Nadav Zafrir, fundador de Team8, sustituyó a Shwed, que sigue como presidente ejecutivo con el 23,9 % [1]. El primer gran cambio de Zafrir, la reorganización comercial de enero de 2026, ha costado dos trimestres de caída de productos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Shwed, Marius Nacht y Shlomo Kramer fundan Check Point en Israel; FireWall-1 populariza la inspección con estado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(CHKP)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años de recompra continua de ≈1.000 M USD anuales; desde el inicio del programa ha recomprado ≈230 M de acciones por ≈17.400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Avanan (correo), Spectral, Perimeter 81 (SASE, 503 M USD en 2023), Atmosec y Cyberint (2024) para salir del cortafuegos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Nadav Zafrir (fundador de Team8 y del Mando Ciberespacial israelí) sustituye a Gil Shwed como consejero delegado; Shwed pasa a presidente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Veriti (junio) y Lakera (octubre, ≈190 M USD); emite 2.000 M USD en convertibles al 0 % y gana con Israel Canada el concurso de un solar junto a su sede para un campus que terminará en 2032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comerciales en enero que hunden la venta de cortafuegos (−14 % en el 2T); rebaja de la guía de ingresos el 30-abr (−19,6 % en bolsa); vulnerabilidad del VPN en junio; compra Cyata, Cyclops y Rotate [1, 13, 14].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Check Point vende seguridad informática a más de 100.000 organizaciones a través de socios de canal [1]. Su oferta se ordena ahora en cuatro pilares: red híbrida (cortafuegos físicos Quantum, cortafuegos en la nube y SASE), puesto de trabajo (Harmony: correo, puesto y navegador), gestión de la exposición (CTEM, con Cyberint, Veriti y Cyclops) y seguridad de la IA (Lakera y Cyata, cortafuegos de red para IA) [1, 9]. Todo se gestiona desde la plataforma Infinity. Los ingresos se reparten en productos y licencias (20 % en 2025), suscripciones de seguridad (45 %) y actualizaciones y mantenimiento (35 %) [1]. Vende sobre todo en Europa (43 %) y América (42 %), con la I+D concentrada en Israel; 6.825 empleados a finales de 2025 [1].</w:t>
      </w:r>
    </w:p>
    <w:p>
      <w:pPr>
        <w:pStyle w:val="Heading2"/>
      </w:pPr>
      <w:r>
        <w:t xml:space="preserve">Cómo gana dinero</w:t>
      </w:r>
    </w:p>
    <w:p>
      <w:pPr>
        <w:spacing w:after="100"/>
      </w:pPr>
      <w:r>
        <w:t xml:space="preserve">El cortafuegos es la puerta de entrada: se vende una vez (productos, con margen bruto ≈80 %) y arrastra durante años el mantenimiento (35 % de las ventas, plano desde 2022) y las suscripciones de prevención de amenazas (45 %, +10 % en 2025 y +12 % en el 2T26), que se facturan por adelantado y dejan 2.180 M USD de ingresos diferidos [1, 3]. Con un 80 % de ingresos recurrentes, el margen depende sobre todo del gasto comercial (35 % de las ventas en 2025) y de los pagos en acciones (7,5 %), que suben con la estrategia de Zafrir [2]. La renovación de los equipos sigue un ciclo de 4-6 años; cuando se retrasa, caen los productos y, con un año de retraso, la base de suscripciones.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y 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seguridad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Actualizaciones, mantenimiento y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y 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seguridad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Actualizaciones, mantenimiento y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Más de 100.000 organizaciones, sin ningún cliente significativo; vende casi todo por distribuidores y socios, y el reparto geográfico es por la ubicación del socio [1]. El poder de precios se ve en la suscripción, que crece por encima del volumen de clientes, y en un margen bruto estable del 87 % [2]. La debilidad es la renovación de equipos: en 2026 la demanda de cortafuegos físicos ha caído (−14 % en el 2T) y un contrato grande pasó de facturación anual a trimestral [9]. La empresa no publica la retención bruta ni neta.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suscripciones de seguridad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49 % de los ingresos del trimestre; +11 % en el 1T26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productos y licencias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demanda de cortafuegos físicos y desorden comercial tras los cambios de enero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desempeño pendientes (RPO)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 M USD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corriente, 1.600 M (+4 %)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calculada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contrato grande pasó a facturación trimestral (−2 puntos) [9]. En 2025, 2.906 M (+9 %)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tecnologías emergentes (correo, CTEM,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interanual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facturación calculada +35 % [9]; la empresa no da el importe.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(2025); 8,6 %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205,6 M USD en 2025 y 115,7 M en el 1S26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seguridad de red: cortafuegos físicos y virtuales, seguridad desde la nube (SASE/SSE) y los servicios de prevención que se venden encima, con el puesto de trabajo y el correo como mercados contiguos. Usamos el tamaño de MarketsandMarkets para la seguridad de red mundial (84.500 M USD en 2025) porque cubre a la vez el cortafuegos y SASE, los dos negocios centrales de Check Point [10]; Dell'Oro da el contraste para el cortafuegos (+8 % anual hasta 2029) [11]. Las cuotas se calculan sobre ese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≈84.500 M USD en 2025 (seguridad de red, mundial) [10]; dentro, el cortafuegos crece ≈8 % anual y superará 20.000 M en 2030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y agentes de IA en la red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Check Point lanza un cortafuegos de red para IA y lo integra con NVIDIA; el ARR de sus tecnologías emergentes crece más del 40 %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perímetro a la nube (SASE/SSE)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presupuesto del equipo físico a la suscripción; Zscaler y Palo Alto lideran y Check Point llega con Perimeter 81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de cortafuegos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−14 % en el 2T26 frente a Fortinet en plena renovación; la empresa espera volver a crecer en el 4T26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reducen proveedores; gana quien tiene red, puesto y nube a la vez (Palo Alto, Fortinet)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Amenazas geopolíticas y regulación (NIS2, DORA)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seguridad de red +7,2 % anual hasta 2030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Palo Alto, Fortinet, Cisco y Zscaler compiten por precio y plataforma; Fortinet usa chips propios para vender más barato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negocian suites completas, pero el coste de migrar reglas de cortafuegos es alto.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Hardware estándar y nube pública; la memoria ha encarecido los equipos en 2026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 es difícil (certificaciones, base instalada); en IA y SASE entran empresas nuevas cada año, que Check Point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seguridad nativa de la nube y la incluida en Microsoft sustituyen parte del perímetro y del correo.</w:t>
            </w:r>
          </w:p>
        </w:tc>
      </w:tr>
    </w:tbl>
    <w:p>
      <w:pPr>
        <w:spacing w:after="160" w:before="0"/>
      </w:pPr>
    </w:p>
    <w:p>
      <w:pPr>
        <w:pStyle w:val="Heading2"/>
      </w:pPr>
      <w:r>
        <w:t xml:space="preserve">Ciclo</w:t>
      </w:r>
    </w:p>
    <w:p>
      <w:pPr>
        <w:spacing w:after="100"/>
      </w:pPr>
      <w:r>
        <w:t xml:space="preserve">Gasto en seguridad poco cíclico: en 2009 y 2020 los ingresos de Check Point siguieron creciendo; en 2022 el cortafuegos creció por la escasez de chips y en 2023 los productos cayeron un 10 % al normalizarse los inventarios [7]. Hoy la renovación de equipos de 2025-2027 favorece a Fortinet y Palo Alto, y Check Point pierde cuota mientras reorganiza su red comercial.</w:t>
      </w:r>
    </w:p>
    <w:p>
      <w:pPr>
        <w:pStyle w:val="Heading2"/>
      </w:pPr>
      <w:r>
        <w:t xml:space="preserve">Regulación</w:t>
      </w:r>
    </w:p>
    <w:p>
      <w:pPr>
        <w:spacing w:after="100"/>
      </w:pPr>
      <w:r>
        <w:t xml:space="preserve">NIS2 en la UE (desde octubre de 2024) y DORA en el sector financiero (desde enero de 2025) obligan a medidas de seguridad y a notificar incidentes, lo que sostiene la demanda europea (43 % de las ventas) [1]. En EE. UU., la SEC exige comunicar incidentes materiales en cuatro días (Check Point lo hizo con la vulnerabilidad del VPN en junio de 2026) [14]. En Israel, la nueva ley de incentivos a la I+D de marzo de 2026 da créditos fiscales que ya restan 55 M USD de gasto en el 1S26 [3], y el impuesto mínimo global del 15 % (Pilar Dos) fija el tipo efectivo.</w:t>
      </w:r>
    </w:p>
    <w:p>
      <w:pPr>
        <w:pStyle w:val="Heading2"/>
      </w:pPr>
      <w:r>
        <w:t xml:space="preserve">Tendencias y disrupción</w:t>
      </w:r>
    </w:p>
    <w:p>
      <w:pPr>
        <w:spacing w:after="100"/>
      </w:pPr>
      <w:r>
        <w:t xml:space="preserve">Tres cambios a la vez: la seguridad se compra como plataforma y no por productos; el perímetro pasa a la nube (SASE); y la IA crea a la vez una superficie nueva (agentes, modelos, datos) y atacantes más rápidos. Check Point responde comprando (Lakera, Cyata, Veriti) y con una gestión abierta que administra cortafuegos de otros fabricantes [9]. Gana con la seguridad de la IA si consigue vender su plataforma a la base instalada; pierde en el cortafuegos físico si la renovación se va a Fortinet. Fuera de nuestro perímetro, Wiz (Google) domina la nube y CrowdStrike el puesto.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o cuarto fabricante de cortafuegos del mundo tras Palo Alto, Fortinet y Cisco (estimación propia por ingresos); ≈3,2 % del mercado de seguridad de red en 2025 (2.725 M sobre 84.500 M USD)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cortafuegos de nueva generación, SASE (Prisma) y operaciones (Cortex); consolida plataformas comprando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Fortinet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FTNT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unidades de cortafuegos con chips propios (coste bajo); el rival directo en la renovación de equipos de 2025-2027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Cisco (seguridad)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Cortafuegos y Splunk; compite por el presupuesto de red de las grandes empresas.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Zscaler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desde la nube (SSE) que sustituye parte del cortafuegos perimetral.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CRWD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Puesto de trabajo, identidad y gestión de exposición; compite con Harmony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Microsoft (Defender)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Seguridad del correo y del puesto incluida en las licencias E5: presión de precio sobre Harmony Email.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ThreatCloud comparte inteligencia de amenazas entre clientes; ventaja real pero replicable por todos los grandes.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políticas y personal formado en la consola de Check Point; el mantenimiento (958 M USD) se renueva casi entero cada año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prevención; la vulnerabilidad del VPN de 2026 la daña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en Israel y margen operativo GAAP del 30,5 % frente al 7,1 % de Palo Alto [A2,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pequeña frente a Palo Alto (11.480 M USD de ingresos) y Fortinet; su cuota cae [B4].</w:t>
            </w:r>
          </w:p>
        </w:tc>
      </w:tr>
    </w:tbl>
    <w:p>
      <w:pPr>
        <w:spacing w:after="160" w:before="0"/>
      </w:pPr>
    </w:p>
    <w:p>
      <w:pPr>
        <w:pStyle w:val="Heading2"/>
      </w:pPr>
      <w:r>
        <w:t xml:space="preserve">Amenazas</w:t>
      </w:r>
    </w:p>
    <w:p>
      <w:pPr>
        <w:spacing w:after="100"/>
      </w:pPr>
      <w:r>
        <w:t xml:space="preserve">La principal es perder la renovación de cortafuegos de 2025-2027 frente a Fortinet y Palo Alto mientras reorganiza su red comercial: los productos caen y, detrás, caerán las suscripciones de esos equipos (probabilidad media). La segunda es que la consolidación favorezca a quien tiene red, puesto y nube, donde Check Point llega tarde (probabilidad alta, efecto lento). La tercera, la reputación tras la vulnerabilidad del VPN de junio de 2026, con accesos no autorizados a entornos de clientes [14]. A favor: costes de cambio altos y una base de 100.000 clientes que sigue pagando el mantenimiento.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2018-2025: ingresos </w:t>
      </w:r>
      <w:r>
        <w:rPr>
          <w:b/>
          <w:bCs/>
        </w:rPr>
        <w:t xml:space="preserve">5,2 %</w:t>
      </w:r>
      <w:r>
        <w:t xml:space="preserve">, EBITDA </w:t>
      </w:r>
      <w:r>
        <w:rPr>
          <w:b/>
          <w:bCs/>
        </w:rPr>
        <w:t xml:space="preserve">-0,2 %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5,2 % anual en 2018-2025, con un 1-2 % de compras al año desde 2021; el mantenimiento está plano y todo el crecimiento sale de las suscripciones (+9-14 % anual) [1, 2, 6, 7, 8]. El margen EBITDA contable ha caído del 48,5 % de 2018 al 33,9 % de 2025 y al 30,5 % del 1S26 (26,4 % sin las subvenciones de I+D): suben el gasto comercial, los pagos en acciones (de 89 a 206 M USD) y la amortización de compras, y no sube el precio en productos [2, 3]. 2026 es un año de transición: la guía de ingresos bajó en abril a 2.770-2.850 M USD (+1,6 % a +4,6 %) y el 2T creció un 1,3 % [3, 23]. El beneficio neto se sostiene por los ingresos financieros (114 M en 2025) y por las recompras.</w:t>
      </w:r>
    </w:p>
    <w:p>
      <w:pPr>
        <w:pStyle w:val="Heading2"/>
      </w:pPr>
      <w:r>
        <w:t xml:space="preserve">Ajustes y partidas no recurrentes</w:t>
      </w:r>
    </w:p>
    <w:p>
      <w:pPr>
        <w:spacing w:after="100"/>
      </w:pPr>
      <w:r>
        <w:t xml:space="preserve">Usamos cifras GAAP. El BPA de 2025 (9,62 USD) lleva 1,90 USD de beneficio fiscal no recurrente (acuerdo con la Hacienda israelí sobre 2016-2020, rebaja de tipo y revisión de provisiones) [5]: el BPA normalizado al 14 % de impuesto es de 7,40 USD, el que usamos en la historia del PER. La empresa publica un BPA ajustado (11,89 en 2025) que excluye pagos en acciones, amortización de compras y costes de adquisición [5]; no lo usamos. En 2026 el gasto de I+D incluye 55 M USD de subvenciones (créditos fiscales israelíes) en el 1S26 [3]: las tratamos como recurrentes porque la ley es permanente, pero son un apoyo de ≈4 puntos de margen.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(30-jul) la dirección cambió de tono respecto al 1T: Zafrir dijo que la ejecución comercial «mejora» y anunció ≈300 contrataciones comerciales cuyo efecto se verá en el 1S27, no en 2026 [9]. Mantuvo la guía anual de mayo (2.770-2.850 M USD), que exige crecer un 6,5 % en el 4T, y dio un 3T de 665-685 M con BPA ajustado de 2,43-2,53 [9, 23]. Las tecnologías emergentes (correo, CTEM, seguridad de la IA) crecen más del 40 % en ARR y CTEM casi un 100 %; presentó el cortafuegos de red para IA y la colaboración con NVIDIA [9]. Los analistas preguntaron sobre todo por la caída de productos (−14 %), el calendario de la contratación, si Check Point se percibe como «heredada» y la facturación plana. La dirección evitó cifrar el efecto de la contratación en el margen de 2027, dar guía de facturación y dar objetivos más allá de 2026. En el 1T (30-abr) había culpado de la caída de productos a los cambios comerciales de enero y rebajado la guía de ingresos desde 2.830-2.950 M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el activo total crece un 36 % y los ingresos un 6 %).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4.203,4 M USD de caja y valores frente a 2.000 M de convertibles, 2.203 M netos a 30-jun-2026 (≈21 USD por acción) [3]. El circulante es muy negativo (−52,8 % de las ventas) porque los clientes pagan por adelantado: el crecimiento libera caja. La caja bajó de 4.034 M en 2018 a 2.784 M en 2024 porque la empresa recompra más de lo que genera (10.349 M en recompras con 8.831 M de flujo libre en 2018-2025); en 2025 se endeudó por primera vez para seguir recomprando. Los días de cobro (103) son estacionales por la facturación del 4T.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8.831</w:t>
      </w:r>
      <w:r>
        <w:t xml:space="preserve">, conversión </w:t>
      </w:r>
      <w:r>
        <w:rPr>
          <w:b/>
          <w:bCs/>
        </w:rPr>
        <w:t xml:space="preserve">129 %</w:t>
      </w:r>
      <w:r>
        <w:t xml:space="preserve"> del beneficio neto; adquisiciones 1.401, dividendos 0, recompras 10.349.</w:t>
      </w:r>
    </w:p>
    <w:p>
      <w:pPr>
        <w:spacing w:after="100"/>
      </w:pPr>
      <w:r>
        <w:t xml:space="preserve">La conversión es excelente: el flujo de caja libre fue el 129 % del beneficio neto en 2018-2025 porque los pagos en acciones no son caja y los ingresos diferidos crecen [2]. Capex mínimo (0,8-1,0 % de las ventas), pero la inversión real incluye las compras (1.401 M USD en 2018-2025, ≈175 M al año) y, desde 2025, el solar del nuevo campus (≈160 M) y su construcción hasta 2032 [1]. Por eso en el DCF el capex es del 4,5 % de las ventas en 2026-2028 (1 % de inmovilizado, ≈1,5 % de campus y ≈2 % de compras pequeñas) y baja al 3,0 % al final, por encima de la amortización. El flujo de 2025 incluye 66 M USD de pago por el acuerdo fiscal y 51 M de cobertura de divisa [5]; el del 1S26, 618 M de flujo libre ajustado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Kost Forer Gabbay &amp; Kasierer (EY)</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fiables: EY Israel (Kost Forer Gabbay &amp; Kasierer) da opinión favorable sobre las cuentas y el control interno de 2025 [1]. No capitaliza I+D salvo una cifra mínima de software de uso interno desde 2026 (3,6 M en el 1S26) [3]. Lo que distorsiona las cifras es el impuesto: el −11,8 % de 2025 por el acuerdo con Hacienda y una provisión fiscal de 390 M; y, desde 2026, las subvenciones de I+D que restan gasto (55 M en el 1S26) [3]. Los pagos en acciones (7,5 % de las ventas) quedan fuera de las métricas ajustadas que guía la empresa. Altman Z de 5,39 (zona segura); Piotroski F de 5 (cae el margen y la rotación, y en 2025 entró deuda); Beneish M de −2,68, sin señales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no recurrente de 1,90 USD por acción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publicado (9,62) frente al normalizado (7,40)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 de I+D contabilizadas como menos gasto (55 M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el margen ≈4 puntos; dependen de una ley israelí reciente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 alza (de 150 M en 2024 a 206 M en 2025 y 116 M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(11,89) es un 24 % mayor que el GAAP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fiscal de 390 M USD por posiciones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inspección de 2021-2025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1.904 M en 2025 (el 695 % del capital invertido medio); ha subido más de un 5 % en 4 de 7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12,3 % · </w:t>
      </w:r>
      <w:r>
        <w:rPr>
          <w:b/>
          <w:bCs/>
        </w:rPr>
        <w:t xml:space="preserve">WACC</w:t>
      </w:r>
      <w:r>
        <w:t xml:space="preserve">: 9,9 %.</w:t>
      </w:r>
    </w:p>
    <w:p>
      <w:pPr>
        <w:spacing w:after="100"/>
      </w:pPr>
      <w:r>
        <w:t xml:space="preserve">El ROIC del motor (320,8 % en 2025) no es interpretable: el capital invertido medio es casi nulo (259 M USD) porque los 2.180 M de ingresos diferidos financian el negocio, y el NOPAT de 2025 lleva el impuesto negativo [2]. Calculado a mano (estimación propia), con el EBIT de 2025 (831 M) al 14 % de impuesto (NOPAT de 715 M) y sin restar los ingresos diferidos (capital de ≈2.942 M: inmovilizado, fondo de comercio e intangibles y clientes menos proveedores), el ROIC es del ≈24 %, unos 14 puntos por encima del WACC del 9,86 %; sin el fondo de comercio de las compras pasaría del 70 %. Crea valor de sobra en el negocio heredado, pero el ROIC incremental histórico es del 12,3 %: las compras de 2021-2025 (1.400 M) apenas han acelerado el crecimiento. El ROE del 37,3 % está inflado por las recompras y el impuesto. Fortinet tiene un ROIC del 57,9 % y crece más [12].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596,3 M USD + valores negociables y depósitos a corto 1.683,2 M y a largo 1.923,9 M = 4.203,4 M USD a 30-jun-2026 [3]; deuda: 2.000 M de bonos convertibles al 0 % con vencimiento en 2030 (precio de conversión ≈243,65 USD; opción de compra con techo de 334,43 USD)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la única deuda son 2.000 M USD de bonos convertibles al 0 % con vencimiento en 2030, convertibles a ≈243,65 USD y cubiertos por una opción de compra con techo de 334,43 USD [1]. Provisión fiscal a largo plazo de 390 M USD (posiciones fiscales inciertas) tras cerrar con Hacienda los ejercicios 2016-2020; no la llevamos al puente, pero es un pasivo real si se inspeccionan 2021-2025 [1, 3]. Pagos en acciones pendientes y opciones de directivos (3,02 M de opciones a 114-223 USD) [1]. El nuevo campus de Tel Aviv exigirá una inversión «significativa» hasta 2032 que la empresa no cuantifica [1]; la incluimos en el capex. Sin pensiones relevantes ni factoring.</w:t>
      </w:r>
    </w:p>
    <w:p>
      <w:pPr>
        <w:pStyle w:val="Heading1"/>
      </w:pPr>
      <w:r>
        <w:t xml:space="preserve">12. Asignación de capital</w:t>
      </w:r>
    </w:p>
    <w:p>
      <w:pPr>
        <w:pStyle w:val="Confianza"/>
        <w:spacing w:after="100"/>
      </w:pPr>
      <w:r>
        <w:t xml:space="preserve">Confianza: Alta</w:t>
      </w:r>
    </w:p>
    <w:p>
      <w:pPr>
        <w:spacing w:after="100"/>
      </w:pPr>
      <w:r>
        <w:t xml:space="preserve">Sin dividendo: toda la caja libre, y más, va a recomprar acciones. Recompra ≈1.300 M USD al año desde 2021 (1.400 M en 2025) y en mayo de 2026 el consejo amplió el programa en 2.000 M tras terminar el de julio de 2024 [1, 21]. En el 1S26 recompró 4,4 M de acciones por 650 M (≈148 USD de media) [3]. En diciembre de 2025 emitió 2.000 M en convertibles al 0 %, con 100 M de recompra simultánea, para financiar compras y recompras sin vender inversiones [5]. Prioridades declaradas: compras de tecnología (IA, exposición) y recompra.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Cyata (agentes de IA) y Cyclops (gestión de activos, CAASM); talento de Rotate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gestión de exposición; CTEM crece casi un 100 % [4,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Lakera (seguridad de aplicaciones de IA,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pilar de seguridad de la IA; demasiado pronto para medirlo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Veriti (mitigación de exposición multifabricante)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Cyberint en la oferta de exposición; pago de 83,7 M en el 2T25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Cyberint (gestión de riesgos externos)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Infinity External Risk Management;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Perimeter 81 (SASE)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entrada en SASE; la dirección aún no da cifras de adopción [1, 9].</w:t>
            </w:r>
          </w:p>
        </w:tc>
      </w:tr>
    </w:tbl>
    <w:p>
      <w:pPr>
        <w:spacing w:after="160" w:before="0"/>
      </w:pPr>
    </w:p>
    <w:p>
      <w:pPr>
        <w:spacing w:after="100"/>
      </w:pPr>
      <w:r>
        <w:t xml:space="preserve">Asignación disciplinada pero que no ha creado crecimiento: en 2018-2025 generó 8.831 M USD de flujo libre y devolvió 10.349 M en recompras, más 1.401 M en compras. Las acciones diluidas bajaron de 159,4 M a 109,9 M (−5 % anual), lo que explica que el BPA crezca más que el beneficio. Pero recompras a 20-25 veces beneficios no han impedido una rentabilidad total del 2 % anual en cinco años [24], y las compras (ROIC incremental del 12,3 %) llegan tarde: el crecimiento sigue en el 5 %. Endeudarse en 2025 para seguir recomprando a 185 USD, un 38 % por encima del precio de hoy, fue caro. A 134 USD y 16,7 veces el beneficio de 2027e, la recompra rinde más.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Nadav Zafrir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Team8 (capital riesgo en ciberseguridad) y del Mando Ciberespacial del ejército israelí; consejero delegado desde diciembre de 2024. En su primer año completo los ingresos crecieron un 6 % y en 2026 la reorganización comercial ha llevado a rebajar la guía [1,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 Shwed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consejero delegado de 1993 a 2024. Construyó un negocio con un 40 % de margen operativo ajustado y devolvió ≈17.400 M USD en recompras [1,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Roei Golan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Check Point desde hace más de una década (finanzas y relación con inversores); director financiero desde 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Nataly Kremer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producto 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producto e investigación; el lanzamiento del cortafuegos de red para IA y el plano de defensa de IA de 2026 son su hoja de ruta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Sherif Seddik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ventas internacionales desde 2023; sustituye a Itai Greenberg el 1-may-2026 tras el mal 1T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2.830-2.950 M USD y BPA ajustado 10,05-10,85 (febrero); rebaja a 2.770-2.850 M el 30-abr [23]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1.342 M (+3,0 %); BPA ajustado 5,05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en transición. Shwed, fundador con el 23,9 %, sigue como presidente ejecutivo y alinea intereses; Zafrir aporta credibilidad en ciberseguridad e IA, pero su primera gran decisión, la reorganización comercial de enero de 2026, ha costado dos trimestres de caída de productos, la salida del director comercial y la rebaja de la guía de ingresos [4, 23]. El director financiero y la directora de producto son de la casa. La guía de 2026 se ha incumplido en ingresos (rebajada en abril), aunque el BPA ajustado se mantiene. La sucesión de Shwed está hecha; lo que falta demostrar es la ejecución.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 Shwed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Nadav Zafrir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Yoav Chelouche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Dafna Gruber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(ley israelí)</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Tzipi Ozer-Armon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 Rothrock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(ley israelí)</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 Shavit Shenhav</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Jill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Jerry Ungerman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Yoram Tietz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Jerry Ungerman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 Shwed (fundador y presidente ejecutivo)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sin ventas en 12 meses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12,2 M USD en 12 meses, ninguna compra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Sherif Seddik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Roei Golan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Nataly Kremer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 Shavit Shenhav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Jerry Ungerman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Yoav Chelouche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un fijo de 1,44 M de séqueles (≈0,45 M USD), un bonus objetivo de 1,5 M de séqueles (hasta el 200 % del fijo; política aprobada de nuevo en la junta de 2026 [18]) y, al entrar en 2024, acciones restringidas por 4,4 M USD y acciones por objetivos por 4 M [1]. El gasto contable de 2025 fue de ≈7,5 M USD, casi todo en acciones [1]. Las métricas de las acciones por objetivos no se publican con detalle y no incluyen el ROIC ni la rentabilidad para el accionista. La ley israelí obliga a aprobar en junta la remuneración del consejero delegado y del presidente ejecutivo: en 2026 se aprobaron las cinco propuestas con el 79,5 % del capital presente, sin desglose de votos [19].</w:t>
      </w:r>
    </w:p>
    <w:p>
      <w:pPr>
        <w:pStyle w:val="Heading2"/>
      </w:pPr>
      <w:r>
        <w:t xml:space="preserve">Operaciones vinculadas, estructura de control y defensas</w:t>
      </w:r>
    </w:p>
    <w:p>
      <w:pPr>
        <w:spacing w:after="100"/>
      </w:pPr>
      <w:r>
        <w:t xml:space="preserve">Una acción, un voto, sin clases [1]. Gil Shwed tiene el 23,86 % (25,0 % con opciones) y el consejo y la dirección, el 25,4 %: no controla la junta, pero ningún cambio de control prospera sin él [1]. Como emisor extranjero sigue la práctica israelí en algunas materias (Item 16G) y tiene dos consejeros externos exigidos por la ley de sociedades [1]. Hay consejero coordinador independiente (Yoav Chelouche), y en septiembre de 2026 entró Yoram Tietz como consejero [22]. La ley israelí y la necesidad de aprobación de la Autoridad de Innovación para transferir tecnología financiada dificultan una opa [1]. Sin operaciones vinculadas relevantes.</w:t>
      </w:r>
    </w:p>
    <w:p>
      <w:pPr>
        <w:pStyle w:val="Heading2"/>
      </w:pPr>
      <w:r>
        <w:t xml:space="preserve">Señales de alerta</w:t>
      </w:r>
    </w:p>
    <w:p>
      <w:pPr>
        <w:pStyle w:val="ListParagraph"/>
        <w:numPr>
          <w:ilvl w:val="0"/>
          <w:numId w:val="2"/>
        </w:numPr>
        <w:spacing w:after="60"/>
      </w:pPr>
      <w:r>
        <w:t xml:space="preserve">Ventas de consejeros y directivos por 12,2 M USD en 12 meses, sin plan 10b5-1 declarado y ninguna compra; tres consejeros vendieron 25.000 acciones cada uno en junio, a 123-140 USD [20].</w:t>
      </w:r>
    </w:p>
    <w:p>
      <w:pPr>
        <w:pStyle w:val="ListParagraph"/>
        <w:numPr>
          <w:ilvl w:val="0"/>
          <w:numId w:val="2"/>
        </w:numPr>
        <w:spacing w:after="60"/>
      </w:pPr>
      <w:r>
        <w:t xml:space="preserve">Rotación comercial: el director comercial (Itai Greenberg) dejó el cargo el 1-may-2026 tras el 1T, en mitad de la reorganización de ventas [4].</w:t>
      </w:r>
    </w:p>
    <w:p>
      <w:pPr>
        <w:pStyle w:val="ListParagraph"/>
        <w:numPr>
          <w:ilvl w:val="0"/>
          <w:numId w:val="2"/>
        </w:numPr>
        <w:spacing w:after="60"/>
      </w:pPr>
      <w:r>
        <w:t xml:space="preserve">Vulnerabilidad del VPN de acceso remoto (junio de 2026) con accesos no autorizados a entornos de clientes: riesgo de reputación y de reclamaciones.</w:t>
      </w:r>
    </w:p>
    <w:p>
      <w:pPr>
        <w:pStyle w:val="ListParagraph"/>
        <w:numPr>
          <w:ilvl w:val="0"/>
          <w:numId w:val="2"/>
        </w:numPr>
        <w:spacing w:after="60"/>
      </w:pPr>
      <w:r>
        <w:t xml:space="preserve">Remuneración: el variable a largo plazo del consejero delegado son acciones restringidas y acciones por objetivos sin métricas de rentabilidad (ROIC o TSR) publicadas en el 20-F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(30-abr, mantenida el 30-jul): ingresos de 2.770-2.850 M USD (antes 2.830-2.950 M) y BPA ajustado de 10,05-10,85 USD [9, 23]. Para el 3T26: ingresos de 665-685 M, suscripciones de 332-343 M y BPA ajustado de 2,43-2,53 [9]. El BPA GAAP queda ≈0,70 USD por trimestre por debajo del ajustado. La empresa no da objetivos para 2027 ni a medio plazo; espera que productos vuelva a crecer en el 4T26 y que los comerciales nuevos rindan en el 1S27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 analistas; EBITDA y EBIT ajustados, sin pagos en acciones ni amortización de compras; BPA GAAP)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Recortes: tras el 1T (30-abr) el consenso bajó los ingresos de 2026 al rebajar la empresa la guía y la acción cayó un 19,6 % en un día [23, 24]; tras el 2T la guía del 3T quedó por debajo de lo esperado (−8,2 % en bolsa). BofA y Raymond James rebajaron la recomendación (mayo y julio) y Guggenheim la subió por valoración (julio) [13]. El consenso actual (MarketScreener, 38 analistas) espera un BPA GAAP de 7,72 USD en 2026, 8,51 en 2027 y 9,91 en 2028, y un objetivo medio de 145,83 USD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Check Point ha perdido un 29,5 % en un año frente a un +16,9 % del S&amp;P 500 y un +37,8 % del índice de ciberseguridad (CIBR) [24]. La caída máxima del 51,8 % va del 6-jun-2025 al 30-abr-2026; las peores sesiones fueron los resultados del 1T26 (−19,6 %), del 2T26 (−8,2 %) y del 4T25 (−6,8 %) [24]. En cinco años ha rentado un 2 % anual frente al 13 % del índice: el mercado castiga el crecimiento del 5 % y la pérdida de cuota mientras premia a Palo Alto, Fortinet y CrowdStrike. La beta mensual de cinco años es baja (0,46) pero la volatilidad de un año (41,3 %) es la de un valor en crisis.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Check Point cotizaba a 19-22 veces el beneficio del año siguiente en 2018-2023 y subió a 24-25 veces en 2024-2025 con la llegada de Zafrir y la apuesta por la IA. Hoy, a 16,7 veces nuestro BPA de 2027e, está en el mínimo de la década: el mercado ya no paga el crecimiento que prometía el nuevo equipo y descuenta que productos siga cayendo. El cambio no es estructural en el beneficio (que sigue creciendo por las recompras), sino en la confianza en la ejecución; por eso la regla toma la mitad del camino hacia la mediana (20,5 veces) y no la mediana entera.</w:t>
      </w:r>
    </w:p>
    <w:p>
      <w:pPr>
        <w:pStyle w:val="Heading1"/>
      </w:pPr>
      <w:r>
        <w:t xml:space="preserve">18. Comparables cotizados</w:t>
      </w:r>
    </w:p>
    <w:p>
      <w:pPr>
        <w:pStyle w:val="Confianza"/>
        <w:spacing w:after="100"/>
      </w:pPr>
      <w:r>
        <w:t xml:space="preserve">Confianza: Baja</w:t>
      </w:r>
    </w:p>
    <w:p>
      <w:pPr>
        <w:spacing w:after="100"/>
      </w:pPr>
      <w:r>
        <w:t xml:space="preserve">Siete cotizadas de ciberseguridad de EE. UU.: los dos rivales directos en red (Fortinet y Palo Alto), la plataforma de puesto que compite en consolidación (CrowdStrike), Okta (identidad) y los tres especialistas rentables o maduros en exposición (Qualys, Tenable y Rapid7). Fuera Cisco (la seguridad es una parte pequeña) y Zscaler (sin beneficio GAAP comparable). Datos de Stock Analysis al 14-oct-2026 y del informe de Qualys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Okta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 / 65,6x / 101,4x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 / 52,0x / 71,0x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 / 11,3x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Check Point es la más barata del grupo de calidad: 13,1 veces el EBITDA LTM y 16,1 veces el beneficio GAAP de los próximos 12 meses, frente a 50,7 y 52,4 veces de Fortinet, que crece más y tiene un ROIC del 57,9 % [12]. Solo Rapid7 y Tenable, sin márgenes, cotizan más bajo. La comparación de PER mezcla bases (el de los rivales es ajustado, sin pagos en acciones) y crecimientos del 15-25 %, por eso pesa 0 en el valor: aplicada a Check Point daría valores de 200-590 USD sin sentido. Lo útil es que el descuento frente a Fortinet y Palo Alto es de crecimiento, no de rentabilidad: si Check Point volviera a crecer al 7-8 %, el múltiplo podría subir mucho.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de la nube sin beneficios creciendo más del 50 %: interés estratégico, no múltiplo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Darktrace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7,75 USD por acción; prima del 44 % sobre la media de tres meses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SailPoint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veces las ventas LTM según 451 Research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Proofpoint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USD por acción en efectivo [30].</w:t>
            </w:r>
          </w:p>
        </w:tc>
      </w:tr>
    </w:tbl>
    <w:p>
      <w:pPr>
        <w:spacing w:after="160" w:before="0"/>
      </w:pPr>
    </w:p>
    <w:p>
      <w:pPr>
        <w:spacing w:after="160" w:before="0"/>
      </w:pPr>
    </w:p>
    <w:p>
      <w:pPr>
        <w:spacing w:after="100"/>
      </w:pPr>
      <w:r>
        <w:t xml:space="preserve">Las operaciones de capital riesgo en ciberseguridad se han pagado caras (SailPoint a 16 veces ventas, Darktrace con un 44 % de prima) [28, 29]. Check Point, con caja neta, un fundador con el 24 % y la ley israelí, no es un objetivo fácil, y a 4,2 veces sus ventas sería una compra grande (≈14.000 M USD con prima). No le damos peso.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(2.770-2.850 M USD) en su mitad baja, 2.790 M (+2,4 %), porque el 1S26 creció un 3,0 % y el 4T exige un +6,5 % [3, 23]. Después, 5,0 % en 2027 y 5,5 % en 2028 (consenso +5,8 % y +5,3 %) [25], con suscripciones al 10-11 %, mantenimiento plano y productos estables, y bajando al 3,0 % en 2033. Es algo menos que el 5,2 % anual de 2018-2025 y que el mercado (+7,2 %) [10]: la cuota baja del 3,2 % al 2,6 %. El puente: volumen de 2,5-3 puntos (suscripciones nuevas), precio de 1,5 y compras de 0,5-1.</w:t>
      </w:r>
    </w:p>
    <w:p>
      <w:pPr>
        <w:keepNext/>
        <w:spacing w:after="100"/>
      </w:pPr>
      <w:r>
        <w:rPr>
          <w:b/>
          <w:bCs/>
        </w:rPr>
        <w:t xml:space="preserve">Márgenes.</w:t>
      </w:r>
    </w:p>
    <w:p>
      <w:pPr>
        <w:spacing w:after="100"/>
      </w:pPr>
      <w:r>
        <w:t xml:space="preserve">Margen EBITDA contable (después de pagos en acciones y con las subvenciones de I+D) del 30,5 % en 2026, como en el 1S26, y del 30,0 % en 2027 por los 300 comerciales nuevos [3, 9]; sube al 32 % en 2030 por escala. Muy por debajo del 39-48 % de 2018-2023, porque los pagos en acciones (7,5-8,5 % de las ventas) y el gasto comercial han venido para quedarse.</w:t>
      </w:r>
    </w:p>
    <w:p>
      <w:pPr>
        <w:keepNext/>
        <w:spacing w:after="100"/>
      </w:pPr>
      <w:r>
        <w:rPr>
          <w:b/>
          <w:bCs/>
        </w:rPr>
        <w:t xml:space="preserve">Inversión y circulante.</w:t>
      </w:r>
    </w:p>
    <w:p>
      <w:pPr>
        <w:spacing w:after="100"/>
      </w:pPr>
      <w:r>
        <w:t xml:space="preserve">Capex del 4,5 % de las ventas en 2026-2028 (≈1 % de inmovilizado, ≈1,5 % del campus de Tel Aviv hasta 2032 y ≈2 % de compras pequeñas recurrentes, frente a ≈6 % de compras en 2018-2025), bajando al 3,0 % en 2033, por encima de la amortización (2,5 %) [1]. Circulante del −52 % de las ventas (−52,8 % en 2025): los ingresos diferidos crecen con las ventas. Impuesto del 15 % (14,8 % en el 1S26 e impuesto mínimo del Pilar Dos) [3].</w:t>
      </w:r>
    </w:p>
    <w:p>
      <w:pPr>
        <w:keepNext/>
        <w:spacing w:after="100"/>
      </w:pPr>
      <w:r>
        <w:rPr>
          <w:b/>
          <w:bCs/>
        </w:rPr>
        <w:t xml:space="preserve">Coste del capital.</w:t>
      </w:r>
    </w:p>
    <w:p>
      <w:pPr>
        <w:spacing w:after="100"/>
      </w:pPr>
      <w:r>
        <w:t xml:space="preserve">Tasa libre del 5,21 % (bono de EE. UU. a 10 años del 13-oct-2026) [26], prima de mercado del 5,5 %, beta de 0,8 (la mensual de cinco años es 0,46 y la ajustada 0,64, pero la volatilidad de un año es del 41 %) [24] y 1 punto de prima por el riesgo de Israel, donde están la sede y la I+D: coste del capital del 10,61 %. Deuda del 12,7 % (convertibles a valor nominal) a un 5,5 % antes de impuestos: WACC del 9,86 %. Con la prima implícita del mercado (4,20 %) el WACC sería del 8,95 % [27].</w:t>
      </w:r>
    </w:p>
    <w:p>
      <w:pPr>
        <w:keepNext/>
        <w:spacing w:after="100"/>
      </w:pPr>
      <w:r>
        <w:rPr>
          <w:b/>
          <w:bCs/>
        </w:rPr>
        <w:t xml:space="preserve">Valor terminal.</w:t>
      </w:r>
    </w:p>
    <w:p>
      <w:pPr>
        <w:spacing w:after="100"/>
      </w:pPr>
      <w:r>
        <w:t xml:space="preserve">Gordon con un 2,5 % de crecimiento a perpetuidad (inflación de EE. UU. y algo de volumen), por debajo de la tasa libre menos medio punto. El valor terminal es el 61 % del total. Implica unas 13 veces el FCFF; un múltiplo de salida de 12 veces el EBITDA daría algo menos.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(reinvierte el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(histórico: 12,3 %)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(hoy: 3,2 %)</w:t>
            </w:r>
          </w:p>
        </w:tc>
      </w:tr>
    </w:tbl>
    <w:p>
      <w:pPr>
        <w:spacing w:after="160" w:before="0"/>
      </w:pPr>
    </w:p>
    <w:p>
      <w:pPr>
        <w:spacing w:after="100"/>
      </w:pPr>
      <w:r>
        <w:t xml:space="preserve">La proyección apenas necesita inversión neta de la amortización (reinversión acumulada de -175 M, con un capex bruto medio del 3,9 % de las ventas). En un negocio de activos ligeros, el crecimiento medio del 4,1 % tiene que salir de subir precios y de ganar volumen sin capital nuevo, y la prueba es el poder de precios y la cuota (2,6 % del mercado en 2033e, frente al 3,2 %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productos −10 % en el año, suscripciones +11 %, mantenimiento plano; compras de Cyata y Cyclops (0,4 puntos) [3,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Rinden los 300 comerciales nuevos (1S27) y vuelve a crecer productos; tecnologías emergentes +40 %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+10 %; precio ligado a la inflación (1,5 puntos) y compras pequeñas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 hacia el mercado sin ganar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peso de compras; precio estable.</w:t>
            </w:r>
          </w:p>
        </w:tc>
      </w:tr>
    </w:tbl>
    <w:p>
      <w:pPr>
        <w:spacing w:after="160" w:before="0"/>
      </w:pPr>
    </w:p>
    <w:p>
      <w:pPr>
        <w:spacing w:after="100"/>
      </w:pPr>
      <w:r>
        <w:t xml:space="preserve">Sí: el crecimiento proyectado (4,1 % de media) está por debajo del histórico (5,2 %) y del mercado (7,2 %), con una cuota que baja del 3,2 % al 2,6 % en 2033, así que no exige ganar terreno [10]. El negocio apenas necesita capital (los clientes pagan por adelantado) y el capex del 4,5 % ya incluye compras pequeñas y el campus. Lo prueba el poder de precios en suscripciones (+12 % en el 2T26 con productos −14 %) y un margen GAAP del 30 % que sigue entre los mejores del sector [3, 12]. El motor llega al mismo veredicto. El riesgo para el crecimiento es de ejecución comercial y de competencia, no de financiación, y está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9,9 %)</w:t>
            </w:r>
          </w:p>
        </w:tc>
      </w:tr>
    </w:tbl>
    <w:p>
      <w:pPr>
        <w:spacing w:after="160" w:before="0"/>
      </w:pPr>
    </w:p>
    <w:p>
      <w:pPr>
        <w:spacing w:after="100"/>
      </w:pPr>
      <w:r>
        <w:t xml:space="preserve">El DCF da 131,69 USD por acción, un 1,8 % por debajo del precio de 134,08, con un 61 % del valor en el terminal. El DCF inverso dice que el precio descuenta un crecimiento del 4,7 % anual en 2027-2033 con nuestros márgenes (nuestro base: 4,4 %), o un margen EBITDA del 32,7 % con nuestro crecimiento; la rentabilidad implícita es del 9,7 %, casi igual al WACC (9,86 %) y por encima del 8,95 % que pide el mercado. No es exigente ni conservador: el precio descuenta exactamente lo que proyectamos, un negocio que crece algo menos que su historia. Con la prima del mercado el valor sube a 147,22 USD. La sensibilidad es alta: con un WACC del 9,4 % y el mismo terminal, 139,73 USD. La conclusión es que Check Point está a su precio justo: barata frente a su historia y sus rivales, pero no frente a sus flujos.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no vuelve a crecer y la reorganización comercial falla: los clientes renuevan cortafuegos con Fortinet y Palo Alto, las suscripciones se frenan al 5 % y el margen baja 3 puntos por el gasto comercial. Le pasó a la propia Check Point en 2023 (productos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se estabiliza en 2027, las suscripciones crecen al 10 % y la empresa crece al 5 % con un margen EBITDA contable del 30-32 % y recompras de 1.300 M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comercial y la seguridad de la IA aceleran la suscripción: crecimiento del 7 % en 2027-2028 y margen del 32-33 %, como en 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34,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129,22 USD (-3,6 %).</w:t>
      </w:r>
    </w:p>
    <w:p>
      <w:pPr>
        <w:spacing w:after="100"/>
      </w:pPr>
      <w:r>
        <w:t xml:space="preserve">La asimetría a largo plazo es desfavorable: el alcista (154,93 USD) gana un 15,6 % y el bajista (98,55) pierde un 26,5 %; el valor ponderado de los escenarios es de 129,22 USD. A 12 meses la cuenta cambia (alcista +49,6 %, bajista −13,3 %) porque la regla supone que el PER vuelve en parte a su historia: la rentabilidad a un año depende del múltiplo, no del valor del negocio.</w:t>
      </w:r>
    </w:p>
    <w:p>
      <w:pPr>
        <w:pStyle w:val="Heading1"/>
      </w:pPr>
      <w:r>
        <w:t xml:space="preserve">22. Suma de partes</w:t>
      </w:r>
    </w:p>
    <w:p>
      <w:pPr>
        <w:pStyle w:val="Confianza"/>
        <w:spacing w:after="100"/>
      </w:pPr>
      <w:r>
        <w:t xml:space="preserve">Confianza: Alta</w:t>
      </w:r>
    </w:p>
    <w:p>
      <w:pPr>
        <w:spacing w:after="100"/>
      </w:pPr>
      <w:r>
        <w:t xml:space="preserve">No aplica: un solo segmento según US GAAP; productos, suscripciones y mantenimiento se venden juntos a los mismos clientes y comparten I+D, canal y margen.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34,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130,70 USD (-2,5 % sobre 134,08).</w:t>
      </w:r>
    </w:p>
    <w:p>
      <w:pPr>
        <w:spacing w:after="100"/>
      </w:pPr>
      <w:r>
        <w:t xml:space="preserve">El valor intrínseco (130,70 USD) sale del DCF (60 %) y de los escenarios (40 %). Los comparables pesan 0: sus PER están en base ajustada y con crecimientos del 15-25 %, y aplicados al BPA GAAP de Check Point darían 200-590 USD. Las transacciones tampoco pesan: no hay múltiplos fiables ni suponemos una opa. La dispersión es moderada: el DCF va de 123 a 157 USD según WACC y crecimiento terminal, y con la prima del mercado da 147,22. Lo que dice el conjunto es que el precio de hoy está en la parte baja del rango razonable, pero sin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(16.7x) × 1.1 (tope: la mediana de 5 años, 20.5x,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r>
    </w:tbl>
    <w:p>
      <w:pPr>
        <w:spacing w:after="160" w:before="0"/>
      </w:pPr>
    </w:p>
    <w:p>
      <w:pPr>
        <w:spacing w:after="100"/>
      </w:pPr>
      <w:r>
        <w:rPr>
          <w:b/>
          <w:bCs/>
        </w:rPr>
        <w:t xml:space="preserve">Objetivo a 12 meses (ponderado):</w:t>
      </w:r>
      <w:r>
        <w:t xml:space="preserve"> 161,83 USD · rentabilidad +20,7 % (base +23,2 %) · señal Mantener.</w:t>
      </w:r>
    </w:p>
    <w:p>
      <w:pPr>
        <w:spacing w:after="100"/>
      </w:pPr>
      <w:r>
        <w:t xml:space="preserve">Para comparar, con la regla v2 (historia al cierre, mismo precio): 14,2x / 16,7x / 21,7x, 16,1 % Mantener; con el tope anterior del base (×1,3, 14-oct mediodía): 21,2 %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(7,70) coincide con el del consenso (7,72), pero vamos por debajo en 2027e (8,05 frente a 8,51, −5,4 %) y 2028e (8,98 frente a 9,91, −9,4 %) [25]. La diferencia está en el margen: el consenso supone un margen operativo ajustado que vuelve al 39-40 %, y nosotros incluimos el coste de los 300 comerciales nuevos y unos pagos en acciones del 8 % de las ventas; también contamos solo la recompra ya anunciada. Nuestro precio base (165,23) queda un 13 % sobre el objetivo medio de 38 analistas (145,83), que llevan seis meses recortando: la diferencia es de múltiplo (18,4 veces frente a ≈16), no de beneficio.</w:t>
      </w:r>
    </w:p>
    <w:p>
      <w:pPr>
        <w:keepNext/>
        <w:spacing w:after="100"/>
      </w:pPr>
      <w:r>
        <w:rPr>
          <w:b/>
          <w:bCs/>
        </w:rPr>
        <w:t xml:space="preserve">Del valor intrínseco al objetivo a 12 meses.</w:t>
      </w:r>
    </w:p>
    <w:p>
      <w:pPr>
        <w:spacing w:after="100"/>
      </w:pPr>
      <w:r>
        <w:t xml:space="preserve">El objetivo a 12 meses (161,83 USD) queda un 24 % por encima del valor intrínseco (130,70): la regla supone que el PER adelantado vuelve de 16,7 a 18,4 veces, a mitad de camino de su mediana de cinco años (20,5), mientras el DCF solo justifica el precio de hoy con un crecimiento del 4,7 % anual. Para cerrar la distancia hace falta que la reorganización comercial devuelva los productos a crecer en el 4T26 (lo que la empresa promete) y que 2027 crezca al 5 % o más: entonces el DCF subiría y el múltiplo se normalizaría. La tesis de revalorización existe, pero el valor real no deja margen: Check Point está a su precio justo, no barata.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productos deja de caer y la facturación vuelve a crecer, valida la guía del 4T (+6,5 %); si no, nuevo recorte de guía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primera guía con los 300 comerciales nuevos: un crecimiento del 5 % o más justificaría el múltiplo de la regla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los ≈1.475 M USD que quedan del programa de mayo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de las acciones a 145 USD; 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abierta de cortafuegos de otros fabricantes y cortafuegos de IA con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posible cambio de percepción de «heredada» a plataforma de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Escalada militar en Israel o con Irán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operativo para la I+D y caídas de la acción como en junio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cortafuegos durante la reorganización comercial: productos −14 % en el 2T26 mientras Fortinet y Palo Alto renuevan la base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98,55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+12 %, mantenimiento estable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con caída en el 4T26, contra la promesa de volver a crecer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300 comerciales nuevos, pagos en acciones del 8-9 % de las ventas y subvenciones de I+D que podrían cambiar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(cada punto de margen ≈4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GAAP del 30 % aún entre los más altos del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por debajo del 25 %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Geopolítico: I+D y sede en Israel (guerra con Hamás, Hezbolá e Irán, reservistas, séquel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eso la prima adicional de 1 punto en el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divisa (51 M USD de ganancia en 2025) y equipos fuera de Israel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Movilización masiva de reservistas o ataques a infraestructuras civiles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atacantes más rápidos que los parches, agentes que gestionan la red sin consola y la seguridad nativa de nubes y modelos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Lakera y Cyata; cortafuegos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tecnologías emergentes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Reputación y litigios por la vulnerabilidad del VPN de junio de 2026 con accesos no autorizados a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Parche publicado en días e información al regulador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Demandas colectivas o pérdida de contratos públicos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provisión de 390 M USD y cambios del tipo israelí o del Pilar 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2025 que cierra 2016-2020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liquidaciones de 2021-2025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para ponerse al día (Lakera, Perimeter 81) con un ROIC incremental del 12 %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del fondo de comercio</w:t>
            </w:r>
          </w:p>
        </w:tc>
      </w:tr>
    </w:tbl>
    <w:p>
      <w:pPr>
        <w:spacing w:after="160" w:before="0"/>
      </w:pPr>
    </w:p>
    <w:p>
      <w:pPr>
        <w:pStyle w:val="Heading2"/>
      </w:pPr>
      <w:r>
        <w:t xml:space="preserve">Pre-mortem</w:t>
      </w:r>
    </w:p>
    <w:p>
      <w:pPr>
        <w:spacing w:after="100"/>
      </w:pPr>
      <w:r>
        <w:t xml:space="preserve">Octubre de 2029: la acción vale 80 USD, un 40 % menos. Lo que pasó: la reorganización comercial de 2026 nunca terminó de funcionar. Los productos no volvieron a crecer en el 4T26 y la empresa recortó otra vez la guía; en 2027 los 300 comerciales nuevos costaron 3 puntos de margen sin acelerar las ventas, porque los grandes clientes renovaron sus cortafuegos con Fortinet y Palo Alto, que vendían red, puesto y SASE en un solo contrato. Las suscripciones, ligadas a los equipos, pasaron del +12 % al +5 % en 2028 con un año de retraso. La IA agravó el problema: los agentes de las nubes y de Microsoft empezaron a gestionar las reglas de red de varios fabricantes, y la consola de Check Point dejó de ser una razón para quedarse. El margen bajó al 25 %, el BPA se estancó en 8 USD pese a las recompras y el mercado pasó a pagar 10-12 veces, como a una empresa en declive. Los indicadores que lo habrían anticipado: productos del 4T26, la facturación corriente del 1S27 y el margen de 2027.</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 a 3-5 años (bajista: −25 % sobre el DCF; alcista: +18 %)</w:t>
      </w:r>
    </w:p>
    <w:p>
      <w:pPr>
        <w:spacing w:after="100"/>
      </w:pPr>
      <w:r>
        <w:t xml:space="preserve">La IA toca a Check Point por los dos lados. Amenaza: los atacantes con IA encuentran y explotan vulnerabilidades (como la del VPN de 2026) más deprisa, la seguridad nativa de las nubes y de los modelos absorbe parte del presupuesto, y los agentes que administran redes de varios fabricantes reducen el valor de su consola, que es el coste de cambio que retiene el mantenimiento (35 % de las ventas). Oportunidad: el tráfico de agentes y modelos necesita controles nuevos; Check Point ha comprado Lakera y Cyata, lanza un cortafuegos de red para IA con NVIDIA y su ARR de tecnologías emergentes crece más del 40 % [9]. No creemos que la IA «se coma» el negocio en cinco años: el cortafuegos es infraestructura obligatoria y regulada. La ficha del sector sitúa la seguridad de red entre los segmentos de riesgo medio [16]. La señal: el peso de las tecnologías emergentes y la retención del mantenimiento.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seguridad de sus propios productos: la vulnerabilidad del VPN de acceso remoto de junio de 2026, con accesos no autorizados a entornos de clientes, muestra que un fallo propio es un riesgo de reputación y de litigio [14]. Segundo, el capital humano en Israel: la mayoría de la I+D está allí, con reservistas movilizados desde 2023. Tercero, la gobernanza fiscal (acuerdo de 66 M USD con Hacienda en 2025) [1].</w:t>
      </w:r>
    </w:p>
    <w:p>
      <w:pPr>
        <w:pStyle w:val="Heading2"/>
      </w:pPr>
      <w:r>
        <w:t xml:space="preserve">Controversias</w:t>
      </w:r>
    </w:p>
    <w:p>
      <w:pPr>
        <w:spacing w:after="100"/>
      </w:pPr>
      <w:r>
        <w:t xml:space="preserve">Junio de 2026: vulnerabilidad del VPN con accesos no autorizados [14]. Octubre de 2024: la SEC sancionó a Check Point (995.000 USD), junto con Unisys, Avaya y Mimecast, por describir como hipotéticos los efectos del ataque a SolarWinds [17]. Julio de 2025: acuerdo con la Hacienda israelí sobre 2016-2020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productos del 1S26 es desorden comercial propio y qué parte es pérdida de renovaciones frente a Fortinet y Palo Alto?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4T26 vuelve a crecer o si la base de suscripciones se erosionará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costarán los 300 comerciales nuevos en 2027 y qué margen operativo GAAP esperáis?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aplazó; nuestro base supone un 30 % de margen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subvenciones de I+D (≈110 M USD al año) son permanentes, y se compensan con un impuesto mínimo más alto?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Valen ≈4 puntos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retención bruta del mantenimiento y de las suscripciones?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y es la medida del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185 USD con deuda en 2025, y cuánto del programa de 2.000 M USD se ejecutará a estos precios?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el principal motor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VPN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se vieron afectados por la vulnerabilidad de junio y hay reclamaciones?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reputación sin cuantificar.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Campus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costará construir el campus de Tel Aviv hasta 2032?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dice «inversión significativa» sin cifra; lo incluimos en el capex.</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«barata pero con problemas estructurales» (julio) a «la suscripción mejora y la valoración es barata» (subida de recomendación en agosto) y «la IA podría cambiar la ecuación de crecimiento» (septiembre) [13].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BofA (mayo) y Raymond James (julio) rebajan porque el cortafuegos sigue bajo presión y «el negocio no mejora»; Guggenheim sube a Comprar por valoración (objetivo 188 USD) [13].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Particulares que compran a 13 veces beneficios y con recompras frente a otros que la ven «tecnología heredada» que pierde frente a Palo Alto y Fortinet; se pregunta por qué cae un 25 % con el sector al alza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con recompras (13-16 veces beneficios)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pero nuestro DCF da 131,69 USD: barata frente a su historia, no frente a lo que vale si crece al 4-5 % [13,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heredada que pierde frente a Palo Alto y Fortinet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productos −14 % y cuota a la baja; las suscripciones (+12 %) dicen que no es una caída generalizada [3,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palanca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Tecnologías emergentes +40 % en ARR, pero aún pequeñas [9,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Rebajas y subidas de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Raymond James y BofA rebajan por el negocio; Guggenheim sube por precio: el mismo dilema de este informe [13].</w:t>
            </w:r>
          </w:p>
        </w:tc>
      </w:tr>
    </w:tbl>
    <w:p>
      <w:pPr>
        <w:spacing w:after="160" w:before="0"/>
      </w:pPr>
    </w:p>
    <w:p>
      <w:pPr>
        <w:spacing w:after="100"/>
      </w:pPr>
      <w:r>
        <w:t xml:space="preserve">El sentimiento está dividido y algo menos negativo que en primavera: tras la caída del 51,8 %, particulares y algunos autores la compran por valoración y recompras, mientras los analistas que rebajaron siguen viendo un negocio que no mejora [13, 32]. No hay euforia ni capitulación. Coincide con nuestra lectura: el precio ya descuenta poco crecimiento, pero el informe no ve todavía el dato (productos y facturación) que cambie la tendencia. Ninguna cifra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33 (18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-11,8 %: explica la causa (créditos fiscales, regularizaciones, mezcla de países) y no lo proyectes en el DCF. Explicación: Un −11,8 % por el acuerdo con la Hacienda israelí de julio de 2025 sobre 2016-2020 (pago de 66 M USD y liberación de provisiones) y la rebaja del tipo: 1,90 USD por acción de beneficio no recurrente según la empresa [1, 5]. El DCF y el BPA usan un 15 %, el tipo del 1S26 (14,8 %)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36 % y los ingresos un 6 %: si hubo una compra cerca del cierre, decláralo en financieros.cambios_perimetro y explícalo. Explicación: El activo sube un 36 % por la emisión de 2.000 M USD en bonos convertibles en diciembre de 2025, no por una compra: la caja pasa de 2.784 a 4.342 M [1, 5]. Las compras de 2025 (Veriti y Lakera, 273 M) son pequeñas frente a los ingresos.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2,6 % en 2033e frente al 3,2 %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-52,0 % frente a -52,8 %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del 3T25 al 2T26 (solo dan el trimestre del año anterior); 2) 6-K de 2024 no descargados por tiempo; 3) XBRL (los 6-K no llevan XBRL)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(informe del auditor sin año de inicio); 2) proxy 2026 (ratificación anual); 3) búsqueda web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cuotas de seguridad de red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(nota pública sin cuotas); 2) Dell'Oro e IDC (de pago); 3)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(sin calificaciones); 2) MSCI ESG Ratings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votos en contra de la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la junta de 2026 (solo «aprobadas las cinco propuestas»); 2) 20-F (sin resultados de votaciones); 3) búsqueda en prensa israelí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2021-2025 frente a lo logrado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resultados de febrero 2021-2025 (no descargados por tiempo); 2) 20-F (no recoge la guía); 3) prensa (cifras sin fuente primaria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remuneración del consejero delegado sobre el empleado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(no lo publica: emisor extranjero); 2) proxy 2026 (no lo publica); 3) cálculo con el coste de personal (no publicado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(solo valor y precio por acción); 2) 451 Research (solo SailPoint); 3) bases de operaciones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de 145,83 USD y 38 analistas); 2) Google Finance (10 comprar y 21 mantener, foto de junio); 3) Investing.com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(no abre por curl); 2) Nasdaq short interest (requiere JavaScript); 3) foros (cifra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normalizado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ROIC del 320,8 % sobre un capital invertido medio de 259 M (casi nulo por los ingresos diferidos y la caja) y con el impuesto negativo de 2025; 2) escáner del repositorio (ROIC − WACC ≈+19); 3) cálculo propio con el NOPAT al 14 % de impuesto y sin restar los ingresos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auditadas; notas de ingresos por categoría y geografía, ingresos diferidos, impuestos, bonos convertibles,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Check Point Software Technologies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https://www.sec.gov/Archives/edgar/data/1015922/000117891326001932/zk2634942.htm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amortización de intangibles, pagos en acciones, valores negociables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https://data.sec.gov/api/xbrl/companyfacts/CIK0001015922.json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Reports 2026 Second Quarter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https://www.sec.gov/Archives/edgar/data/1015922/000117891326003696/zk2635799.htm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Reports 2026 First Quarter Financial Results (6-K; nombramiento del nuevo director comercial)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https://www.sec.gov/Archives/edgar/data/1015922/000117891326002310/a2635159.htm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Reports Fourth Quarter and 2025 Full Year Results (6-K; efecto fiscal de 1,90 USD por acción, bonos convertibles, Lakera)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https://www.sec.gov/Archives/edgar/data/1015922/000117891326000437/zk2634351.htm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Reports 2025 Third Quarter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https://www.sec.gov/Archives/edgar/data/1015922/000117891325003565/2533887.htm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 (ingresos por categoría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https://www.sec.gov/Archives/edgar/data/1015922/000117891324001196/zk2431186.htm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 (ingresos por categoría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https://www.sec.gov/Archives/edgar/data/1015922/000119312522105648/d238426d20f.htm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(CHKP) Q2 2026 Earnings Call Transcript (guía del 3T, ARR de tecnologías emergentes +40 %, 300 comerciales nuevos)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https://www.webull.com/news/15364638754350080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Network Security Market worth $119.70 billion by 2030 (84.500 M USD en 2025, +7,2 %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https://www.webull.com/news/13974887571629056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Firewall market forecast: +8 % anual hasta 2029 y más de 20.000 M USD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 (vía cnhinews)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https://www.cnhinews.com/news/article_a60731b4-a38b-55b0-90a0-30be19e7f74b.html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Fortinet, Palo Alto, CrowdStrike, Tenable, Rapid7 y Okta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https://stockanalysis.com/stocks/ftnt/statistics/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slides after reporting security vulnerability affecting remote access VPN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https://seekingalpha.com/api/sa/combined/CHKP.xml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vulnerabilidad del VPN de acceso remoto (accesos no autorizados a entornos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https://www.sec.gov/Archives/edgar/data/1015922/000117891326003128/zk2635514.htm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Qualys (gestión de vulnerabilidades,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(informes/qualys-2026-10-15)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software (mapa del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(sectores/software-2026-10-14)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four companies with misleading cyber disclosures (Unisys, Avaya, Check Point y Mimecast; Check Point 995.000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https://www.sec.gov/newsroom/press-releases/2024-174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la junta del 2-sep-2026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https://www.sec.gov/Archives/edgar/data/1015922/000117891326003557/zk2635717.htm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 junta de 2026: aprobadas las cinco propuestas, 79,52 % del capital presente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https://www.sec.gov/Archives/edgar/data/1015922/000117891326004398/exhibit_99-1.htm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https://www.sec.gov/cgi-bin/browse-edgar?action=getcompany&amp;CIK=0001015922&amp;type=4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2.000 M USD del programa de recompra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https://www.sec.gov/Archives/edgar/data/1015922/000117891326002519/exhibit_99-1.htm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Yoram Tietz como consejero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https://www.sec.gov/Archives/edgar/data/1015922/000117891326004498/zk2636110.htm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Cybersecurity firm Check Point first-quarter profit beats estimates, cuts 2026 revenue outlook (guía 2.770-2.850 M USD desde 2.830-2.950 M; BPA ajustado 10,05-10,85)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https://finance.yahoo.com/markets/stocks/articles/cybersecurity-firm-check-point-software-140729881.html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CHKP, SPY y CIBR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https://finance.yahoo.com/quote/CHKP/history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Technologies Ltd.: Financial data, forecasts, estimates (consenso 2026-2028; EBITDA y EBIT ajustados, BPA GAAP; 38 analistas, objetivo medio 145,83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https://www.marketscreener.com/quote/stock/CHECK-POINT-SOFTWARE-TECH-4858/finances/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to buy cybersecurity firm Darktrace for $5.3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Boulevard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https://securityboulevard.com/2024/04/thoma-bravo-to-buy-cybersecurity-firm-darktrace-for-5-3-billion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SailPoint, Tufin go private in run of cybersecurity acquisitions by PE firms (SailPoint a 16,0 veces ventas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 (451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https://www.spglobal.com/market-intelligence/en/news-insights/articles/2022/4/sailpoint-tufin-go-private-in-run-of-cybersecurity-acquisitions-by-pe-firms-69703930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acquires Proofpoint for approximately $12.3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https://www.privsource.com/acquisitions/deal/thoma-bravo-acquires-proofpoint-for-approximately-12-3-billion-D8SWX5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to announce 2026 third quarter financial results on November 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(nota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https://finviz.com/news/397802/check-point-software-to-announce-2026-third-quarter-financial-results-on-november-2-2026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$CHKP (30 mensajes, 24-jun a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https://api.stocktwits.com/api/2/streams/symbol/CHKP.json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86,4 %</w:t>
      </w:r>
      <w:r>
        <w:t xml:space="preserve"> · Secciones con menos del 60 % de campos cubiertos: </w:t>
      </w:r>
      <w:r>
        <w:rPr>
          <w:b/>
          <w:bCs/>
        </w:rPr>
        <w:t xml:space="preserve">consenso</w:t>
      </w:r>
      <w:r>
        <w:t xml:space="preserve"> · Generado el 15 oct 2026.</w:t>
      </w:r>
    </w:p>
    <w:p>
      <w:pPr>
        <w:pStyle w:val="Nota"/>
        <w:spacing w:after="100"/>
      </w:pPr>
      <w:r>
        <w:t xml:space="preserve">Línea cotizada: acciones ordinarias en el Nasdaq (CHKP), única clase; emisor extranjero (20-F y 6-K), aunque desde 2026 presenta Form 4. Precio: cierre del 14-oct-2026 (134,08 USD), porque la sesión del 15-oct no había cerrado a la hora del análisis [24]. Cuentas 2018-2025 del XBRL de la SEC, comprobadas con el 20-F 2025 [1, 2]; el XBRL solo trae la depreciación y le sumamos la amortización de intangibles comprados (68,1 M USD en 2025) para el EBITDA. La «caja» incluye valores negociables y depósitos a corto y largo plazo (4.203,4 M a 30-jun-2026; en 2018-2023, caja más valores disponibles para la venta, sin los depósitos a corto, que no da el XBRL) [3]; los ingresos diferidos van como pasivos de contrato en el circulante. US GAAP: arrendamientos operativos dentro del EBITDA y fuera de la deuda. Bonos convertibles al 0 % de 2030 por su nominal (2.000 M) en la deuda: el precio de conversión (≈243,65 USD) está lejos del precio y no se cuentan acciones nuevas [1]. Acciones: 102,6 M (≈102,1 M en circulación a la fecha de registro de la junta de 2026 más ≈0,5 M de opciones en dinero) [19]; las recompras del 3T26 (≈325 M USD) no están restadas de la caja ni de las acciones. Una acción cuesta 119,77 EUR al cambio del BCE del 14-oct [33], muy por debajo del 7 % de una cartera de 30.000 EUR (2.100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Check Point Software Technologies Ltd. (CHKP)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134,08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(112,23 – 210,66)</c:v>
                </c:pt>
                <c:pt idx="1">
                  <c:v>Comparables: PER NTM (202,33 – 591,97)</c:v>
                </c:pt>
                <c:pt idx="2">
                  <c:v>DCF (WACC y g ± 0,5) (120,73 – 146,02)</c:v>
                </c:pt>
                <c:pt idx="3">
                  <c:v>Escenarios (bajista – alcista) (98,55 – 154,93)</c:v>
                </c:pt>
                <c:pt idx="4">
                  <c:v>DCF con la prima implícita del mercado (4,2 %)</c:v>
                </c:pt>
                <c:pt idx="5">
                  <c:v>Precio actual (134,08)</c:v>
                </c:pt>
              </c:strCache>
            </c:strRef>
          </c:cat>
          <c:val>
            <c:numRef>
              <c:f>Hoja1!$B$2:$B$7</c:f>
              <c:numCache>
                <c:formatCode>#,##0</c:formatCode>
                <c:ptCount val="6"/>
                <c:pt idx="0">
                  <c:v>112.23</c:v>
                </c:pt>
                <c:pt idx="1">
                  <c:v>202.33</c:v>
                </c:pt>
                <c:pt idx="2">
                  <c:v>120.73</c:v>
                </c:pt>
                <c:pt idx="3">
                  <c:v>98.55</c:v>
                </c:pt>
                <c:pt idx="4">
                  <c:v>138.16</c:v>
                </c:pt>
                <c:pt idx="5">
                  <c:v>133.41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(112,23 – 210,66)</c:v>
                </c:pt>
                <c:pt idx="1">
                  <c:v>Comparables: PER NTM (202,33 – 591,97)</c:v>
                </c:pt>
                <c:pt idx="2">
                  <c:v>DCF (WACC y g ± 0,5) (120,73 – 146,02)</c:v>
                </c:pt>
                <c:pt idx="3">
                  <c:v>Escenarios (bajista – alcista) (98,55 – 154,93)</c:v>
                </c:pt>
                <c:pt idx="4">
                  <c:v>DCF con la prima implícita del mercado (4,2 %)</c:v>
                </c:pt>
                <c:pt idx="5">
                  <c:v>Precio actual (134,08)</c:v>
                </c:pt>
              </c:strCache>
            </c:strRef>
          </c:cat>
          <c:val>
            <c:numRef>
              <c:f>Hoja1!$C$2:$C$7</c:f>
              <c:numCache>
                <c:formatCode>#,##0</c:formatCode>
                <c:ptCount val="6"/>
                <c:pt idx="0">
                  <c:v>98.42999999999999</c:v>
                </c:pt>
                <c:pt idx="1">
                  <c:v>389.64</c:v>
                </c:pt>
                <c:pt idx="2">
                  <c:v>25.290000000000006</c:v>
                </c:pt>
                <c:pt idx="3">
                  <c:v>56.38000000000001</c:v>
                </c:pt>
                <c:pt idx="4">
                  <c:v>19.650000000000006</c:v>
                </c:pt>
                <c:pt idx="5">
                  <c:v>1.3400000000000034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Productos y licencias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513.6</c:v>
                </c:pt>
                <c:pt idx="1">
                  <c:v>513.9</c:v>
                </c:pt>
                <c:pt idx="2">
                  <c:v>554.9</c:v>
                </c:pt>
                <c:pt idx="3">
                  <c:v>497.4</c:v>
                </c:pt>
                <c:pt idx="4">
                  <c:v>507.9</c:v>
                </c:pt>
                <c:pt idx="5">
                  <c:v>548.2</c:v>
                </c:pt>
              </c:numCache>
            </c:numRef>
          </c:val>
        </c:ser>
        <c:ser>
          <c:idx val="1"/>
          <c:order val="1"/>
          <c:tx>
            <c:strRef>
              <c:f>Hoja1!$C$1</c:f>
              <c:strCache>
                <c:ptCount val="1"/>
                <c:pt idx="0">
                  <c:v>Suscripciones de seguridad</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671.1</c:v>
                </c:pt>
                <c:pt idx="1">
                  <c:v>755.2</c:v>
                </c:pt>
                <c:pt idx="2">
                  <c:v>858</c:v>
                </c:pt>
                <c:pt idx="3">
                  <c:v>981.2</c:v>
                </c:pt>
                <c:pt idx="4">
                  <c:v>1104.2</c:v>
                </c:pt>
                <c:pt idx="5">
                  <c:v>1219</c:v>
                </c:pt>
              </c:numCache>
            </c:numRef>
          </c:val>
        </c:ser>
        <c:ser>
          <c:idx val="2"/>
          <c:order val="2"/>
          <c:tx>
            <c:strRef>
              <c:f>Hoja1!$D$1</c:f>
              <c:strCache>
                <c:ptCount val="1"/>
                <c:pt idx="0">
                  <c:v>Actualizaciones, mantenimiento y servicios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880.2</c:v>
                </c:pt>
                <c:pt idx="1">
                  <c:v>897.7</c:v>
                </c:pt>
                <c:pt idx="2">
                  <c:v>917</c:v>
                </c:pt>
                <c:pt idx="3">
                  <c:v>936.1</c:v>
                </c:pt>
                <c:pt idx="4">
                  <c:v>952.9</c:v>
                </c:pt>
                <c:pt idx="5">
                  <c:v>958.2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Productos y licencias</c:v>
                </c:pt>
                <c:pt idx="1">
                  <c:v>Suscripciones de seguridad</c:v>
                </c:pt>
                <c:pt idx="2">
                  <c:v>Actualizaciones, mantenimiento y servicios</c:v>
                </c:pt>
              </c:strCache>
            </c:strRef>
          </c:cat>
          <c:val>
            <c:numRef>
              <c:f>Hoja1!$B$2:$B$4</c:f>
              <c:numCache>
                <c:formatCode>General</c:formatCode>
                <c:ptCount val="3"/>
                <c:pt idx="0">
                  <c:v>20.1</c:v>
                </c:pt>
                <c:pt idx="1">
                  <c:v>44.7</c:v>
                </c:pt>
                <c:pt idx="2">
                  <c:v>35.2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c:v>
                </c:pt>
                <c:pt idx="1">
                  <c:v>América (sobre todo EE. UU.)</c:v>
                </c:pt>
                <c:pt idx="2">
                  <c:v>Asia-Pacífico</c:v>
                </c:pt>
                <c:pt idx="3">
                  <c:v>Israel</c:v>
                </c:pt>
              </c:strCache>
            </c:strRef>
          </c:cat>
          <c:val>
            <c:numRef>
              <c:f>Hoja1!$B$2:$B$5</c:f>
              <c:numCache>
                <c:formatCode>0"%"</c:formatCode>
                <c:ptCount val="4"/>
                <c:pt idx="0">
                  <c:v>43.1</c:v>
                </c:pt>
                <c:pt idx="1">
                  <c:v>41.9</c:v>
                </c:pt>
                <c:pt idx="2">
                  <c:v>12.3</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84500</c:v>
                </c:pt>
                <c:pt idx="1">
                  <c:v>90580</c:v>
                </c:pt>
                <c:pt idx="2">
                  <c:v>97110</c:v>
                </c:pt>
                <c:pt idx="3">
                  <c:v>104100</c:v>
                </c:pt>
                <c:pt idx="4">
                  <c:v>111600</c:v>
                </c:pt>
                <c:pt idx="5">
                  <c:v>119700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Check Point</c:v>
                </c:pt>
                <c:pt idx="1">
                  <c:v>Palo Alto Networks</c:v>
                </c:pt>
                <c:pt idx="2">
                  <c:v>Fortinet</c:v>
                </c:pt>
                <c:pt idx="3">
                  <c:v>Cisco (seguridad)</c:v>
                </c:pt>
                <c:pt idx="4">
                  <c:v>Zscaler</c:v>
                </c:pt>
                <c:pt idx="5">
                  <c:v>CrowdStrike</c:v>
                </c:pt>
                <c:pt idx="6">
                  <c:v>Microsoft (Defender)</c:v>
                </c:pt>
              </c:strCache>
            </c:strRef>
          </c:cat>
          <c:val>
            <c:numRef>
              <c:f>Hoja1!$B$2:$B$8</c:f>
              <c:numCache>
                <c:formatCode>0.0"%"</c:formatCode>
                <c:ptCount val="7"/>
                <c:pt idx="0">
                  <c:v>30.5</c:v>
                </c:pt>
                <c:pt idx="1">
                  <c:v>7.1</c:v>
                </c:pt>
                <c:pt idx="5">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1916.5</c:v>
                </c:pt>
                <c:pt idx="1">
                  <c:v>1994.8</c:v>
                </c:pt>
                <c:pt idx="2">
                  <c:v>2064.9</c:v>
                </c:pt>
                <c:pt idx="3">
                  <c:v>2166.8</c:v>
                </c:pt>
                <c:pt idx="4">
                  <c:v>2329.9</c:v>
                </c:pt>
                <c:pt idx="5">
                  <c:v>2414.7</c:v>
                </c:pt>
                <c:pt idx="6">
                  <c:v>2565</c:v>
                </c:pt>
                <c:pt idx="7">
                  <c:v>2725.4</c:v>
                </c:pt>
                <c:pt idx="8">
                  <c:v>2791</c:v>
                </c:pt>
                <c:pt idx="9">
                  <c:v>2930</c:v>
                </c:pt>
                <c:pt idx="10">
                  <c:v>3092</c:v>
                </c:pt>
                <c:pt idx="11">
                  <c:v>3246</c:v>
                </c:pt>
                <c:pt idx="12">
                  <c:v>3392</c:v>
                </c:pt>
                <c:pt idx="13">
                  <c:v>3528</c:v>
                </c:pt>
                <c:pt idx="14">
                  <c:v>3651</c:v>
                </c:pt>
                <c:pt idx="15">
                  <c:v>3761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934.6</c:v>
                </c:pt>
                <c:pt idx="1">
                  <c:v>905.8</c:v>
                </c:pt>
                <c:pt idx="2">
                  <c:v>931.3</c:v>
                </c:pt>
                <c:pt idx="3">
                  <c:v>938.2</c:v>
                </c:pt>
                <c:pt idx="4">
                  <c:v>920.5</c:v>
                </c:pt>
                <c:pt idx="5">
                  <c:v>946.5</c:v>
                </c:pt>
                <c:pt idx="6">
                  <c:v>959.6</c:v>
                </c:pt>
                <c:pt idx="7">
                  <c:v>924</c:v>
                </c:pt>
                <c:pt idx="8">
                  <c:v>851</c:v>
                </c:pt>
                <c:pt idx="9">
                  <c:v>879</c:v>
                </c:pt>
                <c:pt idx="10">
                  <c:v>958</c:v>
                </c:pt>
                <c:pt idx="11">
                  <c:v>1023</c:v>
                </c:pt>
                <c:pt idx="12">
                  <c:v>1085</c:v>
                </c:pt>
                <c:pt idx="13">
                  <c:v>1129</c:v>
                </c:pt>
                <c:pt idx="14">
                  <c:v>1168</c:v>
                </c:pt>
                <c:pt idx="15">
                  <c:v>1203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89.5</c:v>
                </c:pt>
                <c:pt idx="1">
                  <c:v>89.2</c:v>
                </c:pt>
                <c:pt idx="2">
                  <c:v>89</c:v>
                </c:pt>
                <c:pt idx="3">
                  <c:v>88.1</c:v>
                </c:pt>
                <c:pt idx="4">
                  <c:v>86.9</c:v>
                </c:pt>
                <c:pt idx="5">
                  <c:v>88.3</c:v>
                </c:pt>
                <c:pt idx="6">
                  <c:v>87.6</c:v>
                </c:pt>
                <c:pt idx="7">
                  <c:v>86.7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48.8</c:v>
                </c:pt>
                <c:pt idx="1">
                  <c:v>45.4</c:v>
                </c:pt>
                <c:pt idx="2">
                  <c:v>45.1</c:v>
                </c:pt>
                <c:pt idx="3">
                  <c:v>43.3</c:v>
                </c:pt>
                <c:pt idx="4">
                  <c:v>39.5</c:v>
                </c:pt>
                <c:pt idx="5">
                  <c:v>39.2</c:v>
                </c:pt>
                <c:pt idx="6">
                  <c:v>37.4</c:v>
                </c:pt>
                <c:pt idx="7">
                  <c:v>33.9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47.7</c:v>
                </c:pt>
                <c:pt idx="1">
                  <c:v>44.2</c:v>
                </c:pt>
                <c:pt idx="2">
                  <c:v>43.8</c:v>
                </c:pt>
                <c:pt idx="3">
                  <c:v>41.9</c:v>
                </c:pt>
                <c:pt idx="4">
                  <c:v>38</c:v>
                </c:pt>
                <c:pt idx="5">
                  <c:v>37.2</c:v>
                </c:pt>
                <c:pt idx="6">
                  <c:v>34.2</c:v>
                </c:pt>
                <c:pt idx="7">
                  <c:v>30.5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42.9</c:v>
                </c:pt>
                <c:pt idx="1">
                  <c:v>41.4</c:v>
                </c:pt>
                <c:pt idx="2">
                  <c:v>41</c:v>
                </c:pt>
                <c:pt idx="3">
                  <c:v>37.6</c:v>
                </c:pt>
                <c:pt idx="4">
                  <c:v>34.2</c:v>
                </c:pt>
                <c:pt idx="5">
                  <c:v>34.8</c:v>
                </c:pt>
                <c:pt idx="6">
                  <c:v>33</c:v>
                </c:pt>
                <c:pt idx="7">
                  <c:v>38.8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6.7</c:v>
                </c:pt>
                <c:pt idx="5">
                  <c:v>5.9</c:v>
                </c:pt>
                <c:pt idx="6">
                  <c:v>4.8</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94</c:v>
                </c:pt>
                <c:pt idx="1">
                  <c:v>91</c:v>
                </c:pt>
                <c:pt idx="2">
                  <c:v>96</c:v>
                </c:pt>
                <c:pt idx="3">
                  <c:v>101</c:v>
                </c:pt>
                <c:pt idx="4">
                  <c:v>101</c:v>
                </c:pt>
                <c:pt idx="5">
                  <c:v>99</c:v>
                </c:pt>
                <c:pt idx="6">
                  <c:v>104</c:v>
                </c:pt>
                <c:pt idx="7">
                  <c:v>103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38</c:v>
                </c:pt>
                <c:pt idx="1">
                  <c:v>27</c:v>
                </c:pt>
                <c:pt idx="2">
                  <c:v>28</c:v>
                </c:pt>
                <c:pt idx="3">
                  <c:v>14</c:v>
                </c:pt>
                <c:pt idx="4">
                  <c:v>35</c:v>
                </c:pt>
                <c:pt idx="5">
                  <c:v>62</c:v>
                </c:pt>
                <c:pt idx="6">
                  <c:v>63</c:v>
                </c:pt>
                <c:pt idx="7">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1126.3999999999999</c:v>
                </c:pt>
                <c:pt idx="1">
                  <c:v>1078.3999999999999</c:v>
                </c:pt>
                <c:pt idx="2">
                  <c:v>1141.7</c:v>
                </c:pt>
                <c:pt idx="3">
                  <c:v>1188</c:v>
                </c:pt>
                <c:pt idx="4">
                  <c:v>1076.4</c:v>
                </c:pt>
                <c:pt idx="5">
                  <c:v>1019.3000000000001</c:v>
                </c:pt>
                <c:pt idx="6">
                  <c:v>1028.2</c:v>
                </c:pt>
                <c:pt idx="7">
                  <c:v>1172.8000000000002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821.3</c:v>
                </c:pt>
                <c:pt idx="1">
                  <c:v>825.7</c:v>
                </c:pt>
                <c:pt idx="2">
                  <c:v>846.6</c:v>
                </c:pt>
                <c:pt idx="3">
                  <c:v>815.6</c:v>
                </c:pt>
                <c:pt idx="4">
                  <c:v>796.9</c:v>
                </c:pt>
                <c:pt idx="5">
                  <c:v>840.3</c:v>
                </c:pt>
                <c:pt idx="6">
                  <c:v>845.7</c:v>
                </c:pt>
                <c:pt idx="7">
                  <c:v>1056.9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7">
                  <c:v>320.8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9.9</c:v>
                </c:pt>
                <c:pt idx="1">
                  <c:v>9.9</c:v>
                </c:pt>
                <c:pt idx="2">
                  <c:v>9.9</c:v>
                </c:pt>
                <c:pt idx="3">
                  <c:v>9.9</c:v>
                </c:pt>
                <c:pt idx="4">
                  <c:v>9.9</c:v>
                </c:pt>
                <c:pt idx="5">
                  <c:v>9.9</c:v>
                </c:pt>
                <c:pt idx="6">
                  <c:v>9.9</c:v>
                </c:pt>
                <c:pt idx="7">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21.8</c:v>
                </c:pt>
                <c:pt idx="1">
                  <c:v>22.5</c:v>
                </c:pt>
                <c:pt idx="2">
                  <c:v>24.1</c:v>
                </c:pt>
                <c:pt idx="3">
                  <c:v>24.3</c:v>
                </c:pt>
                <c:pt idx="4">
                  <c:v>25.8</c:v>
                </c:pt>
                <c:pt idx="5">
                  <c:v>29.2</c:v>
                </c:pt>
                <c:pt idx="6">
                  <c:v>30.1</c:v>
                </c:pt>
                <c:pt idx="7">
                  <c:v>37.3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-4.32</c:v>
                </c:pt>
                <c:pt idx="1">
                  <c:v>-4.36</c:v>
                </c:pt>
                <c:pt idx="2">
                  <c:v>-4.06</c:v>
                </c:pt>
                <c:pt idx="3">
                  <c:v>-3.51</c:v>
                </c:pt>
                <c:pt idx="4">
                  <c:v>-3.34</c:v>
                </c:pt>
                <c:pt idx="5">
                  <c:v>-3.07</c:v>
                </c:pt>
                <c:pt idx="6">
                  <c:v>-2.9</c:v>
                </c:pt>
                <c:pt idx="7">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2030</c:v>
                </c:pt>
              </c:strCache>
            </c:strRef>
          </c:cat>
          <c:val>
            <c:numRef>
              <c:f>Hoja1!$B$2</c:f>
              <c:numCache>
                <c:formatCode>#,##0</c:formatCode>
                <c:ptCount val="1"/>
                <c:pt idx="0">
                  <c:v>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154.9</c:v>
                </c:pt>
                <c:pt idx="1">
                  <c:v>37.6</c:v>
                </c:pt>
                <c:pt idx="2">
                  <c:v>23.1</c:v>
                </c:pt>
                <c:pt idx="3">
                  <c:v>219.7</c:v>
                </c:pt>
                <c:pt idx="4">
                  <c:v>48.3</c:v>
                </c:pt>
                <c:pt idx="5">
                  <c:v>458.8</c:v>
                </c:pt>
                <c:pt idx="6">
                  <c:v>185.8</c:v>
                </c:pt>
                <c:pt idx="7">
                  <c:v>273.1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1108.6</c:v>
                </c:pt>
                <c:pt idx="1">
                  <c:v>1284</c:v>
                </c:pt>
                <c:pt idx="2">
                  <c:v>1303.1</c:v>
                </c:pt>
                <c:pt idx="3">
                  <c:v>1306.4</c:v>
                </c:pt>
                <c:pt idx="4">
                  <c:v>1309.2</c:v>
                </c:pt>
                <c:pt idx="5">
                  <c:v>1298.6</c:v>
                </c:pt>
                <c:pt idx="6">
                  <c:v>1318.5</c:v>
                </c:pt>
                <c:pt idx="7">
                  <c:v>1420.9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2</c:v>
                </c:pt>
                <c:pt idx="1">
                  <c:v>7</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Gil Shwed (fundador y presidente ejecutivo)</c:v>
                </c:pt>
                <c:pt idx="1">
                  <c:v>Massachusetts Financial Services (MFS)</c:v>
                </c:pt>
                <c:pt idx="2">
                  <c:v>Consejeros y directivos (12 personas)</c:v>
                </c:pt>
              </c:strCache>
            </c:strRef>
          </c:cat>
          <c:val>
            <c:numRef>
              <c:f>Hoja1!$B$2:$B$4</c:f>
              <c:numCache>
                <c:formatCode>0.0"%"</c:formatCode>
                <c:ptCount val="3"/>
                <c:pt idx="0">
                  <c:v>23.86</c:v>
                </c:pt>
                <c:pt idx="1">
                  <c:v>7.61</c:v>
                </c:pt>
                <c:pt idx="2">
                  <c:v>25.43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22.7</c:v>
                </c:pt>
                <c:pt idx="2">
                  <c:v>-0.9</c:v>
                </c:pt>
                <c:pt idx="3">
                  <c:v>8.1</c:v>
                </c:pt>
                <c:pt idx="4">
                  <c:v>19.8</c:v>
                </c:pt>
                <c:pt idx="5">
                  <c:v>-12.3</c:v>
                </c:pt>
                <c:pt idx="6">
                  <c:v>8.2</c:v>
                </c:pt>
                <c:pt idx="7">
                  <c:v>21.1</c:v>
                </c:pt>
                <c:pt idx="8">
                  <c:v>22.2</c:v>
                </c:pt>
                <c:pt idx="9">
                  <c:v>-0.6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13.2</c:v>
                </c:pt>
                <c:pt idx="1">
                  <c:v>14.3</c:v>
                </c:pt>
                <c:pt idx="2">
                  <c:v>16.2</c:v>
                </c:pt>
                <c:pt idx="3">
                  <c:v>13.2</c:v>
                </c:pt>
                <c:pt idx="4">
                  <c:v>14</c:v>
                </c:pt>
                <c:pt idx="5">
                  <c:v>16</c:v>
                </c:pt>
                <c:pt idx="6">
                  <c:v>19.2</c:v>
                </c:pt>
                <c:pt idx="7">
                  <c:v>19.5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15.2</c:v>
                </c:pt>
                <c:pt idx="1">
                  <c:v>15.2</c:v>
                </c:pt>
                <c:pt idx="2">
                  <c:v>15.2</c:v>
                </c:pt>
                <c:pt idx="3">
                  <c:v>15.2</c:v>
                </c:pt>
                <c:pt idx="4">
                  <c:v>15.2</c:v>
                </c:pt>
                <c:pt idx="5">
                  <c:v>15.2</c:v>
                </c:pt>
                <c:pt idx="6">
                  <c:v>15.2</c:v>
                </c:pt>
                <c:pt idx="7">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Check Point</c:v>
                </c:pt>
                <c:pt idx="1">
                  <c:v>Fortinet</c:v>
                </c:pt>
                <c:pt idx="2">
                  <c:v>Palo Alto Networks</c:v>
                </c:pt>
                <c:pt idx="3">
                  <c:v>CrowdStrike</c:v>
                </c:pt>
                <c:pt idx="4">
                  <c:v>Qualys</c:v>
                </c:pt>
                <c:pt idx="5">
                  <c:v>Tenable Holdings</c:v>
                </c:pt>
                <c:pt idx="6">
                  <c:v>Rapid7</c:v>
                </c:pt>
                <c:pt idx="7">
                  <c:v>Okta</c:v>
                </c:pt>
              </c:strCache>
            </c:strRef>
          </c:cat>
          <c:val>
            <c:numRef>
              <c:f>Hoja1!$B$2:$B$9</c:f>
              <c:numCache>
                <c:formatCode>0.0"x"</c:formatCode>
                <c:ptCount val="8"/>
                <c:pt idx="0">
                  <c:v>12.3</c:v>
                </c:pt>
                <c:pt idx="4">
                  <c:v>21.6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Check Point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4.6</c:v>
                </c:pt>
              </c:numCache>
            </c:numRef>
          </c:xVal>
          <c:yVal>
            <c:numRef>
              <c:f>Hoja1!$C$2</c:f>
              <c:numCache>
                <c:formatCode>0.0"x"</c:formatCode>
                <c:ptCount val="1"/>
                <c:pt idx="0">
                  <c:v>12.3</c:v>
                </c:pt>
              </c:numCache>
            </c:numRef>
          </c:yVal>
          <c:smooth val="0"/>
        </c:ser>
        <c:ser>
          <c:idx val="1"/>
          <c:order val="1"/>
          <c:tx>
            <c:strRef>
              <c:f>Hoja1!$A$3</c:f>
              <c:strCache>
                <c:ptCount val="1"/>
                <c:pt idx="0">
                  <c:v>Qualys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11.4</c:v>
                </c:pt>
              </c:numCache>
            </c:numRef>
          </c:xVal>
          <c:yVal>
            <c:numRef>
              <c:f>Hoja1!$C$3</c:f>
              <c:numCache>
                <c:formatCode>0.0"x"</c:formatCode>
                <c:ptCount val="1"/>
                <c:pt idx="0">
                  <c:v>21.6</c:v>
                </c:pt>
              </c:numCache>
            </c:numRef>
          </c:yVal>
          <c:smooth val="0"/>
        </c:ser>
        <c:axId val="10"/>
        <c:axId val="20"/>
      </c:scatterChart>
      <c:valAx>
        <c:axId val="10"/>
        <c:scaling>
          <c:orientation val="minMax"/>
          <c:max val="14"/>
          <c:min val="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622</c:v>
                </c:pt>
                <c:pt idx="1">
                  <c:v>700</c:v>
                </c:pt>
                <c:pt idx="2">
                  <c:v>772</c:v>
                </c:pt>
                <c:pt idx="3">
                  <c:v>832</c:v>
                </c:pt>
                <c:pt idx="4">
                  <c:v>876</c:v>
                </c:pt>
                <c:pt idx="5">
                  <c:v>920</c:v>
                </c:pt>
                <c:pt idx="6">
                  <c:v>943</c:v>
                </c:pt>
                <c:pt idx="7">
                  <c:v>981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4367</c:v>
                </c:pt>
                <c:pt idx="1">
                  <c:v>6941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134,08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98.55</c:v>
                </c:pt>
                <c:pt idx="1">
                  <c:v>131.69</c:v>
                </c:pt>
                <c:pt idx="2">
                  <c:v>154.93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134,08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(112,23 – 210,66)</c:v>
                </c:pt>
                <c:pt idx="1">
                  <c:v>Comparables: PER NTM (202,33 – 591,97)</c:v>
                </c:pt>
                <c:pt idx="2">
                  <c:v>DCF (WACC y g ± 0,5) (120,73 – 146,02)</c:v>
                </c:pt>
                <c:pt idx="3">
                  <c:v>Escenarios (bajista – alcista) (98,55 – 154,93)</c:v>
                </c:pt>
                <c:pt idx="4">
                  <c:v>DCF con la prima implícita del mercado (4,2 %)</c:v>
                </c:pt>
                <c:pt idx="5">
                  <c:v>Precio actual (134,08)</c:v>
                </c:pt>
              </c:strCache>
            </c:strRef>
          </c:cat>
          <c:val>
            <c:numRef>
              <c:f>Hoja1!$B$2:$B$7</c:f>
              <c:numCache>
                <c:formatCode>#,##0</c:formatCode>
                <c:ptCount val="6"/>
                <c:pt idx="0">
                  <c:v>112.23</c:v>
                </c:pt>
                <c:pt idx="1">
                  <c:v>202.33</c:v>
                </c:pt>
                <c:pt idx="2">
                  <c:v>120.73</c:v>
                </c:pt>
                <c:pt idx="3">
                  <c:v>98.55</c:v>
                </c:pt>
                <c:pt idx="4">
                  <c:v>138.16</c:v>
                </c:pt>
                <c:pt idx="5">
                  <c:v>133.41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(112,23 – 210,66)</c:v>
                </c:pt>
                <c:pt idx="1">
                  <c:v>Comparables: PER NTM (202,33 – 591,97)</c:v>
                </c:pt>
                <c:pt idx="2">
                  <c:v>DCF (WACC y g ± 0,5) (120,73 – 146,02)</c:v>
                </c:pt>
                <c:pt idx="3">
                  <c:v>Escenarios (bajista – alcista) (98,55 – 154,93)</c:v>
                </c:pt>
                <c:pt idx="4">
                  <c:v>DCF con la prima implícita del mercado (4,2 %)</c:v>
                </c:pt>
                <c:pt idx="5">
                  <c:v>Precio actual (134,08)</c:v>
                </c:pt>
              </c:strCache>
            </c:strRef>
          </c:cat>
          <c:val>
            <c:numRef>
              <c:f>Hoja1!$C$2:$C$7</c:f>
              <c:numCache>
                <c:formatCode>#,##0</c:formatCode>
                <c:ptCount val="6"/>
                <c:pt idx="0">
                  <c:v>98.42999999999999</c:v>
                </c:pt>
                <c:pt idx="1">
                  <c:v>389.64</c:v>
                </c:pt>
                <c:pt idx="2">
                  <c:v>25.290000000000006</c:v>
                </c:pt>
                <c:pt idx="3">
                  <c:v>56.38000000000001</c:v>
                </c:pt>
                <c:pt idx="4">
                  <c:v>19.650000000000006</c:v>
                </c:pt>
                <c:pt idx="5">
                  <c:v>1.3400000000000034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