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Lockheed Martin Corporation</w:t>
      </w:r>
    </w:p>
    <w:p>
      <w:pPr>
        <w:spacing w:after="60"/>
        <w:rPr>
          <w:color w:val="52514E"/>
          <w:sz w:val="22"/>
          <w:szCs w:val="22"/>
        </w:rPr>
      </w:pPr>
      <w:r>
        <w:rPr>
          <w:color w:val="52514E"/>
          <w:sz w:val="22"/>
          <w:szCs w:val="22"/>
        </w:rPr>
        <w:t xml:space="preserve">LMT · NYSE · ISIN US5398301094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522,23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534,07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+4,9 % (base +5,7 %)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505,14 USD · mercado 579,16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120.687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11,8x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Lockheed Martin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LMT / US5398301094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Aeroespacial y defensa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Bethesda (Maryland) · 1995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www.lockheedmartin.com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522,23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437,25 – 692,00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120.687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139.922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631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534,07 USD</w:t>
      </w:r>
      <w:r>
        <w:t xml:space="preserve"> frente a 522,23 · Rentabilidad a 12 meses </w:t>
      </w:r>
      <w:r>
        <w:rPr>
          <w:b/>
          <w:bCs/>
        </w:rPr>
        <w:t xml:space="preserve">+4,9 % (base +5,7 %)</w:t>
      </w:r>
      <w:r>
        <w:t xml:space="preserve"> · Valor intrínseco 505,14 USD · con la prima implícita del mercado: 579,16 (+10,9 %) · Alcista / bajista +9,2 % / -35,0 %</w:t>
      </w:r>
    </w:p>
    <w:p>
      <w:pPr>
        <w:spacing w:after="100"/>
      </w:pPr>
      <w:r>
        <w:rPr>
          <w:b/>
        </w:rPr>
        <w:t xml:space="preserve">La recomendación y por qué.</w:t>
      </w:r>
      <w:r>
        <w:t xml:space="preserve"> Mantener, con convicción baja. El objetivo a 12 meses es de 534,07 USD, con una rentabilidad ponderada del 4,9 % y del 5,7 % en el base, dividendo incluido. El valor intrínseco es de 505,14 USD, un 3,3 % por debajo del precio de 522,23 USD. El objetivo medio de los analistas (621,24) queda por encima de nuestro base y cerca del alcista. Lockheed cotiza cerca de su valor: el PER de 16,5 veces nuestro BPA de 2027 está en su mediana histórica, y el riesgo de nuevas pérdidas en programas no deja pagar más. La convicción es baja porque las dos reglas del valor intrínseco discrepan (absoluta Vender, relativa Mantener) por la tasa de descuento, no por las cifras. Subiría con un 3T26 sin cargos y con la reconciliación aprobada.</w:t>
      </w:r>
    </w:p>
    <w:p>
      <w:pPr>
        <w:spacing w:after="100"/>
      </w:pPr>
      <w:r>
        <w:rPr>
          <w:b/>
        </w:rPr>
        <w:t xml:space="preserve">El negocio.</w:t>
      </w:r>
      <w:r>
        <w:t xml:space="preserve"> Es el mayor contratista de defensa del mundo: fabrica en exclusiva el F-35, el PAC-3 y el THAAD y tiene una cartera de 230.416 M, tres años de ventas [3]. El ROIC del 32,9 % (29 % a mano sobre el capital operativo) supera en más de 20 puntos al WACC del 8,65 %. La sostenibilidad del crecimiento es «Sí»: el 4,8 % anual proyectado está contratado en buena parte y apenas pide capital. Veredicto de calidad: Sí. Lo vulnerable es el margen: los contratos de desarrollo a precio fijo costaron 1.965 M en 2024 y 1.615 M en 2025 [1].</w:t>
      </w:r>
    </w:p>
    <w:p>
      <w:pPr>
        <w:spacing w:after="100"/>
      </w:pPr>
      <w:r>
        <w:rPr>
          <w:b/>
        </w:rPr>
        <w:t xml:space="preserve">Finanzas.</w:t>
      </w:r>
      <w:r>
        <w:t xml:space="preserve"> La guía de 2026 da ventas de 79.750-81.750 M, un BPA de 29,95-30,65 USD y un flujo libre de 7.000-7.200 M [3]. La deuda neta ajustada, con las pensiones, es de 19.852 M, 1,8 veces el EBITDA. Las recompras, que redujeron las acciones un 18 % desde 2018, están paradas desde el 1T26.</w:t>
      </w:r>
    </w:p>
    <w:p>
      <w:pPr>
        <w:spacing w:after="100"/>
      </w:pPr>
      <w:r>
        <w:rPr>
          <w:b/>
        </w:rPr>
        <w:t xml:space="preserve">Equipo y gobierno.</w:t>
      </w:r>
      <w:r>
        <w:t xml:space="preserve"> Consejo independiente salvo el presidente y primer ejecutivo, con consejero coordinador. La dirección cumple en ventas y falla en beneficio: el BPA de 2024 y 2025 quedó un 15-20 % por debajo de la guía [2]. Se han relevado el director financiero y el presidente de Aeronáutica. La orden ejecutiva de enero de 2026 da al cliente voz sobre dividendos y recompras [23].</w:t>
      </w:r>
    </w:p>
    <w:p>
      <w:pPr>
        <w:spacing w:after="100"/>
      </w:pPr>
      <w:r>
        <w:rPr>
          <w:b/>
        </w:rPr>
        <w:t xml:space="preserve">Valoración.</w:t>
      </w:r>
      <w:r>
        <w:t xml:space="preserve"> El DCF da 497,08 USD; con la prima implícita del mercado, 591,9. El precio descuenta un crecimiento del 5,3 % anual frente al 4,4 % de nuestro base, cerca del consenso. Los comparables cotizan a 19,1 veces el BPA: Lockheed tiene descuento por crecer menos y por el riesgo de ejecución. Discrepamos del consenso en las recompras: nuestro BPA de 2028 (33,22) queda un 5,6 % por debajo del suyo porque no suponemos recompras.</w:t>
      </w:r>
    </w:p>
    <w:p>
      <w:pPr>
        <w:spacing w:after="100"/>
      </w:pPr>
      <w:r>
        <w:rPr>
          <w:b/>
        </w:rPr>
        <w:t xml:space="preserve">Riesgos y catalizadores.</w:t>
      </w:r>
      <w:r>
        <w:t xml:space="preserve"> El primer riesgo son nuevas pérdidas en los programas clasificados, donde siguen provisionados 1.527 M: el escenario bajista pierde un 35,0 %. El segundo es que no se aprueben los 350.000 M de reconciliación. El tercero, la competencia de drones y munición baratos de contratistas nuevos. La exposición a la IA es media y mixta: puede quitar presupuesto a plataformas caras (−5 % de valor a 3-5 años), pero no sustituye la defensa antimisil, donde Lockheed gana. Catalizadores: resultados del 3T26 el 22-oct, legislativas del 3-nov y ley de créditos del FY2027 en diciembre. Los foros están más optimistas que nosotros y se fijan poco en el riesgo de cargos.</w:t>
      </w:r>
    </w:p>
    <w:p>
      <w:pPr>
        <w:spacing w:after="100"/>
      </w:pPr>
      <w:r>
        <w:rPr>
          <w:b/>
        </w:rPr>
        <w:t xml:space="preserve">Qué cambiaría la decisión.</w:t>
      </w:r>
      <w:r>
        <w:t xml:space="preserve"> Compraríamos por debajo de 476,27 USD y venderíamos por encima de 608,57. Pasaríamos a Comprar si la acción baja a ese nivel sin pérdidas nuevas, o si vuelven las recompras con el BPA de 2027 por encima de 33 USD. Pasaríamos a Vender si hay cargos de más de 1.000 M o un presupuesto sin la munición prometida.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534,07 USD</w:t>
      </w:r>
      <w:r>
        <w:t xml:space="preserve"> (rentabilidad +4,9 % (base +5,7 %)) · Valor intrínseco: 505,14 USD (-3,3 % sobre 522,23) · con la prima implícita del mercado: 579,16 (+10,9 %)</w:t>
      </w:r>
    </w:p>
    <w:p>
      <w:pPr>
        <w:spacing w:after="100"/>
      </w:pPr>
      <w:r>
        <w:t xml:space="preserve">Lockheed Martin es el contratista de defensa con más cartera del mundo (230.416 M USD, tres años de ventas) y con productos sin alternativa: el F-35, los interceptores PAC-3 y THAAD y los misiles Trident [1, 3]. Gana un ROIC del 32,9 % porque el cliente adelanta la caja, y genera un flujo libre de 7.000 M al año que ha devuelto casi entero al accionista [14].</w:t>
      </w:r>
    </w:p>
    <w:p>
      <w:pPr>
        <w:spacing w:after="100"/>
      </w:pPr>
      <w:r>
        <w:t xml:space="preserve">A 522,23 USD el mercado descuenta un crecimiento del 5,3 % anual y un margen del 14,2 %, algo más que nuestro caso base (4,4 % y 13,7 %), y paga 16,5 veces el BPA de 2027, su mediana histórica. Es el precio de una empresa que cumple la guía de 2026 y no tiene pérdidas nuevas.</w:t>
      </w:r>
    </w:p>
    <w:p>
      <w:pPr>
        <w:spacing w:after="100"/>
      </w:pPr>
      <w:r>
        <w:t xml:space="preserve">El mercado acierta en el precio y quizá se equivoca en el ritmo. Para invertir hay que creer que las pérdidas de 2024-2025 fueron el final de un ciclo de contratos mal firmados, que el Congreso financiará la munición y Golden Dome y que volverán las recompras. Son tres apuestas que todavía no se pueden comprobar. Mientras tanto la acción rinde un 2,8 % por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28,70 = 373,10 · 16,2x × 33,22 = 538,16 · 19,1x × 35,96 = 686,84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621,24 (nuestro base -13,4 %)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505,14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 / -35,0 %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8,7 % y 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476,27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476,27 y 608,57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608,57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476,27 USD sin cargos nuevos: pasaríamos a Comprar.</w:t>
      </w:r>
    </w:p>
    <w:p>
      <w:pPr>
        <w:pStyle w:val="ListParagraph"/>
        <w:numPr>
          <w:ilvl w:val="0"/>
          <w:numId w:val="2"/>
        </w:numPr>
        <w:spacing w:after="60"/>
      </w:pPr>
      <w:r>
        <w:t xml:space="preserve">Precio por encima de 608,57 USD: pasaríamos a Vender.</w:t>
      </w:r>
    </w:p>
    <w:p>
      <w:pPr>
        <w:pStyle w:val="ListParagraph"/>
        <w:numPr>
          <w:ilvl w:val="0"/>
          <w:numId w:val="2"/>
        </w:numPr>
        <w:spacing w:after="60"/>
      </w:pPr>
      <w:r>
        <w:t xml:space="preserve">Pérdidas de programas de más de 1.000 M en 12 meses: bajaríamos el BPA de 2028 hacia 29 USD.</w:t>
      </w:r>
    </w:p>
    <w:p>
      <w:pPr>
        <w:pStyle w:val="ListParagraph"/>
        <w:numPr>
          <w:ilvl w:val="0"/>
          <w:numId w:val="2"/>
        </w:numPr>
        <w:spacing w:after="60"/>
      </w:pPr>
      <w:r>
        <w:t xml:space="preserve">Vuelta de las recompras (más de 2.000 M al año) con el BPA de 2027 por encima de 33 USD: subiríamos el objetivo.</w:t>
      </w:r>
    </w:p>
    <w:p>
      <w:pPr>
        <w:pStyle w:val="ListParagraph"/>
        <w:numPr>
          <w:ilvl w:val="0"/>
          <w:numId w:val="2"/>
        </w:numPr>
        <w:spacing w:after="60"/>
      </w:pPr>
      <w:r>
        <w:t xml:space="preserve">Ley de créditos del FY2027 con menos de 60 F-35 y sin los fondos de munición: revisaríamos el crecimiento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Lockheed crece al 5-6 % con la munición y el F-35, que el margen vuelve al 14 % y que las recompras vuelven pronto: el consenso pone un BPA de 35,19 USD en 2028 y un objetivo de 621 USD.</w:t>
      </w:r>
    </w:p>
    <w:p>
      <w:pPr>
        <w:keepNext/>
        <w:spacing w:after="100"/>
      </w:pPr>
      <w:r>
        <w:rPr>
          <w:b/>
          <w:bCs/>
        </w:rPr>
        <w:t xml:space="preserve">Lo que creemos nosotros.</w:t>
      </w:r>
    </w:p>
    <w:p>
      <w:pPr>
        <w:spacing w:after="100"/>
      </w:pPr>
      <w:r>
        <w:t xml:space="preserve">El crecimiento es creíble, pero el margen tendrá ajustes desfavorables cada año y las recompras no volverán mientras rija la orden ejecutiva. Nuestro BPA de 2028 es de 33,22 USD y el objetivo a 12 meses, de 534 USD.</w:t>
      </w:r>
    </w:p>
    <w:p>
      <w:pPr>
        <w:keepNext/>
        <w:spacing w:after="100"/>
      </w:pPr>
      <w:r>
        <w:rPr>
          <w:b/>
          <w:bCs/>
        </w:rPr>
        <w:t xml:space="preserve">Por qué podemos tener razón.</w:t>
      </w:r>
    </w:p>
    <w:p>
      <w:pPr>
        <w:spacing w:after="100"/>
      </w:pPr>
      <w:r>
        <w:t xml:space="preserve">En dos años seguidos las pérdidas de programas han restado más de 5 USD por acción. Los contratos de desarrollo a precio fijo siguen activos, el 1S26 ya lleva 395 M de ajustes desfavorables y la empresa no recompra desde enero.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522,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230.416 M USD, tres años de ventas, con 65.000 M de pedidos en el 2T26.</w:t>
      </w:r>
    </w:p>
    <w:p>
      <w:pPr>
        <w:pStyle w:val="ListParagraph"/>
        <w:numPr>
          <w:ilvl w:val="0"/>
          <w:numId w:val="2"/>
        </w:numPr>
        <w:spacing w:after="60"/>
      </w:pPr>
      <w:r>
        <w:rPr>
          <w:b/>
        </w:rPr>
        <w:t xml:space="preserve">Munición con contratos de siete años</w:t>
      </w:r>
      <w:r>
        <w:t xml:space="preserve">: MFC crece un 19 % y su cartera casi se duplica, hasta 87.882 M.</w:t>
      </w:r>
    </w:p>
    <w:p>
      <w:pPr>
        <w:pStyle w:val="ListParagraph"/>
        <w:numPr>
          <w:ilvl w:val="0"/>
          <w:numId w:val="2"/>
        </w:numPr>
        <w:spacing w:after="60"/>
      </w:pPr>
      <w:r>
        <w:rPr>
          <w:b/>
        </w:rPr>
        <w:t xml:space="preserve">ROIC muy alto</w:t>
      </w:r>
      <w:r>
        <w:t xml:space="preserve">: 32,9 %, más de 20 puntos sobre el WACC.</w:t>
      </w:r>
    </w:p>
    <w:p>
      <w:pPr>
        <w:pStyle w:val="ListParagraph"/>
        <w:numPr>
          <w:ilvl w:val="0"/>
          <w:numId w:val="2"/>
        </w:numPr>
        <w:spacing w:after="60"/>
      </w:pPr>
      <w:r>
        <w:rPr>
          <w:b/>
        </w:rPr>
        <w:t xml:space="preserve">Caja</w:t>
      </w:r>
      <w:r>
        <w:t xml:space="preserve">: flujo libre de 7.000-7.200 M en 2026, el 5,9 % de la capitalización.</w:t>
      </w:r>
    </w:p>
    <w:p>
      <w:pPr>
        <w:pStyle w:val="ListParagraph"/>
        <w:numPr>
          <w:ilvl w:val="0"/>
          <w:numId w:val="2"/>
        </w:numPr>
        <w:spacing w:after="60"/>
      </w:pPr>
      <w:r>
        <w:rPr>
          <w:b/>
        </w:rPr>
        <w:t xml:space="preserve">Dividendo creciente</w:t>
      </w:r>
      <w:r>
        <w:t xml:space="preserve">: +4,3 % en octubre de 2026, rentabilidad del 2,8 %.</w:t>
      </w:r>
    </w:p>
    <w:p>
      <w:pPr>
        <w:pStyle w:val="Heading2"/>
      </w:pPr>
      <w:r>
        <w:t xml:space="preserve">En contra</w:t>
      </w:r>
    </w:p>
    <w:p>
      <w:pPr>
        <w:pStyle w:val="ListParagraph"/>
        <w:numPr>
          <w:ilvl w:val="0"/>
          <w:numId w:val="2"/>
        </w:numPr>
        <w:spacing w:after="60"/>
      </w:pPr>
      <w:r>
        <w:rPr>
          <w:b/>
        </w:rPr>
        <w:t xml:space="preserve">Pérdidas recurrentes en programas</w:t>
      </w:r>
      <w:r>
        <w:t xml:space="preserve">: 3.580 M en 2024-2025 y 1.527 M aún provisionados en los clasificados.</w:t>
      </w:r>
    </w:p>
    <w:p>
      <w:pPr>
        <w:pStyle w:val="ListParagraph"/>
        <w:numPr>
          <w:ilvl w:val="0"/>
          <w:numId w:val="2"/>
        </w:numPr>
        <w:spacing w:after="60"/>
      </w:pPr>
      <w:r>
        <w:rPr>
          <w:b/>
        </w:rPr>
        <w:t xml:space="preserve">Sin recompras</w:t>
      </w:r>
      <w:r>
        <w:t xml:space="preserve">: paradas desde el 1T26 por la orden ejecutiva.</w:t>
      </w:r>
    </w:p>
    <w:p>
      <w:pPr>
        <w:pStyle w:val="ListParagraph"/>
        <w:numPr>
          <w:ilvl w:val="0"/>
          <w:numId w:val="2"/>
        </w:numPr>
        <w:spacing w:after="60"/>
      </w:pPr>
      <w:r>
        <w:rPr>
          <w:b/>
        </w:rPr>
        <w:t xml:space="preserve">Valor intrínseco por debajo del precio</w:t>
      </w:r>
      <w:r>
        <w:t xml:space="preserve">: 505,14 USD frente a 522,23.</w:t>
      </w:r>
    </w:p>
    <w:p>
      <w:pPr>
        <w:pStyle w:val="ListParagraph"/>
        <w:numPr>
          <w:ilvl w:val="0"/>
          <w:numId w:val="2"/>
        </w:numPr>
        <w:spacing w:after="60"/>
      </w:pPr>
      <w:r>
        <w:rPr>
          <w:b/>
        </w:rPr>
        <w:t xml:space="preserve">Dependencia del presupuesto</w:t>
      </w:r>
      <w:r>
        <w:t xml:space="preserve">: el 72 % de las ventas va al Gobierno de EE. UU., y la reconciliación está sin aprobar.</w:t>
      </w:r>
    </w:p>
    <w:p>
      <w:pPr>
        <w:pStyle w:val="ListParagraph"/>
        <w:numPr>
          <w:ilvl w:val="0"/>
          <w:numId w:val="2"/>
        </w:numPr>
        <w:spacing w:after="60"/>
      </w:pPr>
      <w:r>
        <w:rPr>
          <w:b/>
        </w:rPr>
        <w:t xml:space="preserve">Competidores nuevos y drones baratos</w:t>
      </w:r>
      <w:r>
        <w:t xml:space="preserve"> en las misiones de ataque.</w:t>
      </w:r>
    </w:p>
    <w:p>
      <w:pPr>
        <w:pStyle w:val="Heading2"/>
      </w:pPr>
      <w:r>
        <w:t xml:space="preserve">Qué tiene que pasar para que la tesis funcione</w:t>
      </w:r>
    </w:p>
    <w:p>
      <w:pPr>
        <w:spacing w:after="100"/>
      </w:pPr>
      <w:r>
        <w:t xml:space="preserve">La tesis depende de que no haya pérdidas nuevas en los programas de desarrollo a precio fijo. La señal es el apartado de pérdidas de programas del 10-Q y la línea de ajustes de beneficio de cada segmento: un cargo de más de 300 M en un trimestre, o un aumento de lo provisionado en los clasificados de Aeronáutica y MFC (427 M y 1.100 M), diría que el margen del 13,9 % no se sostiene.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de programas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en el 2T26 (395 M de ajustes desfavorables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300 M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ha hundido el BPA en 2024-2025.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230.416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 si la munición y el F-35 diluyen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7.000-7.200 M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el dividendo, la compra de Ultra y el capex.</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Vuelta a &gt; 500 M por trimestre (alcista)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Cierra la diferencia con el BPA del consenso.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12,9x / 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(2018-2025)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 · 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Lockheed Martin nace en 1995 de la fusión de Lockheed Corporation y Martin Marietta [1]. En los años siguientes absorbe buena parte de la industria estadounidense de defensa: los F-16 de General Dynamics, Loral y los programas que hoy forman Misiles y Espacio. En 2001 gana el concurso del F-35, el mayor programa de armamento de la historia, que hoy es el 27 % de sus ventas [1]. En 2015 compra Sikorsky. En 2016 separa sus servicios de TI, que se fusionan con Leidos, y queda como fabricante de plataformas y sistemas. Jim Taiclet, consejero desde 2018, es primer ejecutivo desde junio de 2020 y presidente desde marzo de 2021 [1]. En 2022 renunció a comprar Aerojet Rocketdyne por la oposición de la FTC. En 2026 acuerda comprar Ultra Maritime por 3.450 M USD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Lockheed y Martin Marietta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Adjudicación del programa Joint Strike Fighter (F-35).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Sikorsky (helicópteros), hoy dentro de RMS.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 los servicios de TI y fusión con Leidos.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Jim Taiclet, primer ejecutivo; acuerdo para comprar Aerojet Rocketdyne, abandonado en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Pérdidas de 1.965 M en programas clasificados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Otros 1.615 M de pérdidas en programas; récord de cartera de 194.000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marco de siete años para munición (PAC-3, THAAD, PrSM); cartera de 230.000 M; compra de Ultra Maritime [3, 4, 5].</w:t>
            </w:r>
          </w:p>
        </w:tc>
      </w:tr>
    </w:tbl>
    <w:p>
      <w:pPr>
        <w:spacing w:after="160" w:before="0"/>
      </w:pPr>
    </w:p>
    <w:p>
      <w:pPr>
        <w:pStyle w:val="Heading1"/>
      </w:pPr>
      <w:r>
        <w:t xml:space="preserve">2. Modelo de negocio</w:t>
      </w:r>
    </w:p>
    <w:p>
      <w:pPr>
        <w:spacing w:after="100"/>
      </w:pPr>
      <w:r>
        <w:t xml:space="preserve">Lockheed Martin es el mayor contratista de defensa del mundo por ventas: 75.048 M USD en 2025 y unos 123.000 empleados, el 93 % en EE. UU. [1]. Tiene cuatro segmentos. Aeronáutica (40 % de las ventas) hace el F-35, el F-16, el C-130J y los programas clasificados de Skunk Works. Misiles y control de tiro (19 %) fabrica los interceptores PAC-3 y THAAD, los cohetes GMLRS, el PrSM, el JASSM y el LRASM. Sistemas rotatorios y de misión (23 %) reúne los helicópteros Sikorsky, el sistema Aegis y los radares y sistemas navales. Espacio (17 %) cubre los misiles Trident, el interceptor NGI, los satélites GPS y de alerta, Orion y el 50 % de ULA [1]. El 72 % de las ventas va al Gobierno de EE. UU. y el 28 % a clientes internacionales, sobre todo por FMS [1].</w:t>
      </w:r>
    </w:p>
    <w:p>
      <w:pPr>
        <w:pStyle w:val="Heading2"/>
      </w:pPr>
      <w:r>
        <w:t xml:space="preserve">Cómo gana dinero</w:t>
      </w:r>
    </w:p>
    <w:p>
      <w:pPr>
        <w:spacing w:after="100"/>
      </w:pPr>
      <w:r>
        <w:t xml:space="preserve">Cobra por contratos largos: el 40 % de las ventas de 2025 eran contratos de coste más margen, de margen pequeño (6-9 %) pero sin riesgo de coste. El resto son contratos a precio fijo o con incentivo, más rentables si se ejecutan bien y con pérdidas si el coste se dispara [1]. El margen de segmento normal ronda el 11 %, más alto en misiles (13-15 %) y más bajo en Aeronáutica y Espacio (9-11 %) [3]. A ese margen se suma el reembolso CAS de pensiones (1.685 M en 2026) [3]. Los ingresos son casi enteros recurrentes en la práctica: la cartera de 230.416 M equivale a tres años de ventas [3]. El F-35 aporta producción por lotes y un sostenimiento creciente para una flota de más de 1.300 aviones entregados [4]. No hay estacionalidad relevante, salvo el cierre del ejercicio fiscal federal en septiembre.</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Misiles y control de tiro (MFC)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rotatorios y de misión (RMS)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Aeronáutica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Misiles y control de tiro (MFC)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Sistemas rotatorios y de misión (RMS)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máxima: el Gobierno de EE. UU. compra el 72 % (el Departamento de Guerra, el 63 %), y además canaliza buena parte del 28 % internacional por FMS [1]. Los contratos los paga el Congreso cada año, y el Gobierno puede rescindirlos por conveniencia [1]. El poder de precio es limitado: los precios se negocian con auditorías de coste (DCAA), y las rentabilidades de los contratos están acotadas. La ventaja está en no tener alternativa en plataformas como el F-35, el PAC-3, el THAAD o el Trident. Diecisiete países han elegido el PAC-3 [1]. Los acuerdos marco de 2026 dan volumen a siete años a cambio de que la empresa invierta en capacidad [5]. El cliente aprieta ahora con contratos de desarrollo a precio fijo y con la orden ejecutiva de enero de 2026, que limita dividendos y recompras de los contratistas que incumplen plazos [23].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193.622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230.416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MFC pasa de 46.650 a 87.882 M con el contrato plurianual de THAAD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Entregas de F-35 (semestre)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entregas del Lote 18-19; cartera de 317 aviones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7.000-7.200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capex de 2.000-2.400 M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segmento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las pérdidas del 2T25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Paradas tras la orden ejecutiva de enero de 2026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compra de armamento e I+D militar del Departamento de Guerra de EE. UU. y de sus aliados (FMS), no el gasto militar total, que incluye personal, operaciones y mantenimiento. Para el tamaño se usan dos fuentes. SIPRI da el gasto militar total: 2.887.000 M USD en el mundo en 2025, de ellos 954.000 M en EE. UU. [17]. El presupuesto de defensa nacional de EE. UU. del año fiscal 2026 tiene 839.200 M de crédito discrecional, más 150.000 M obligatorios de la ley fiscal de 2025 [4]. La petición del año fiscal 2027 es de 1,5 billones, con 760.000 M en compras y modernización [4]. La serie usa el gasto mundial de SIPRI.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2.887.000 M USD de gasto militar mundial en 2025, +2,9 % real; EE. UU. 954.000 M [17]; compra de armamento y modernización pedida para el año fiscal 2027 de EE. UU.: 760.000 M [4].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militar mundial, SIPR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de defensa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petición del FY2027 (1,5 billones) incluye 760.000 M de compras, Golden Dome y 85 F-35 frente a los 47 de 2026; los 350.000 M de reconciliación no están aprobados [4,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 munición y defensa antimisiles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marco para triplicar o cuadruplicar PAC-3, THAAD y PrSM; contrato THAAD de 35.000 M [3,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europeo y aliado (OTAN 3,5 % + 1,5 % del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gastó 864.000 M en 2025, un 14 % más [17]; el 28 % de las ventas de Lockheed es internacional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 de compras: precio fijo, OTA y nuevos contratistas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Departamento de Guerra usa cada vez más vías rápidas (OTA) que exigen participación de contratistas no tradicionales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Política sobre la remuneración al accionista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orden ejecutiva de enero de 2026 prohíbe dividendos y recompras a contratistas que incumplen hasta que presenten un plan [23]; Lockheed no recompra desde el 1T26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contratistas principales (Lockheed, RTX, Northrop, General Dynamics, Boeing) con programas que duran décadas; la competencia es por concursos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Comprador casi único (72 % Gobierno de EE. UU.) que audita costes, fija márgenes y puede rescindir por conveniencia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Cuellos de botella en motores de cohete, buscadores y tierras raras; Lockheed contrata a Boeing unos 14.700 M para triplicar la producción de buscadores del PAC-3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enormes en plataformas tripuladas y misiles balísticos, pero bajas en drones, software y munición barata, donde entran Anduril, Palantir y otros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drones y misiles baratos sustituyen en parte a plataformas caras en misiones de ataque y de saturación; no en defensa antimisil de alta gama ni en cazas de quinta generación.</w:t>
            </w:r>
          </w:p>
        </w:tc>
      </w:tr>
    </w:tbl>
    <w:p>
      <w:pPr>
        <w:spacing w:after="160" w:before="0"/>
      </w:pPr>
    </w:p>
    <w:p>
      <w:pPr>
        <w:pStyle w:val="Heading2"/>
      </w:pPr>
      <w:r>
        <w:t xml:space="preserve">Ciclo</w:t>
      </w:r>
    </w:p>
    <w:p>
      <w:pPr>
        <w:spacing w:after="100"/>
      </w:pPr>
      <w:r>
        <w:t xml:space="preserve">El gasto mundial lleva una década al alza y subió un 2,9 % real en 2025 [17]. En EE. UU. el ciclo va por presupuestos: tras la congelación de 2013-2015 llegó la subida de 2017-2019, y la de 2026-2027 se apoya en la reconciliación. La cartera récord (230.416 M) y los acuerdos marco de munición dicen que el ciclo de pedidos sigue al alza [3]. En 2008-09 y 2020 las ventas de defensa no cayeron. El riesgo de ciclo es político, no económico: la petición de 1,5 billones del FY2027 depende de 350.000 M de reconciliación que el Congreso no ha aprobado [4].</w:t>
      </w:r>
    </w:p>
    <w:p>
      <w:pPr>
        <w:pStyle w:val="Heading2"/>
      </w:pPr>
      <w:r>
        <w:t xml:space="preserve">Regulación</w:t>
      </w:r>
    </w:p>
    <w:p>
      <w:pPr>
        <w:spacing w:after="100"/>
      </w:pPr>
      <w:r>
        <w:t xml:space="preserve">Las compras se rigen por la FAR y la DFARS, en revisión tras las órdenes ejecutivas de 2025 para acelerar las compras y la Estrategia de Transformación de Adquisiciones, con más contratos plurianuales y vías rápidas (OTA) [1]. Las normas CAS de costes permiten recuperar en precio el coste de las pensiones [3]. Las ventas al exterior necesitan licencias de exportación (ITAR) y la aprobación del Congreso. La orden ejecutiva de enero de 2026 limita dividendos, recompras y la remuneración ligada al BPA en los contratistas que incumplen [23]. El año fiscal 2027 empezó con una prórroga presupuestaria.</w:t>
      </w:r>
    </w:p>
    <w:p>
      <w:pPr>
        <w:pStyle w:val="Heading2"/>
      </w:pPr>
      <w:r>
        <w:t xml:space="preserve">Tendencias y disrupción</w:t>
      </w:r>
    </w:p>
    <w:p>
      <w:pPr>
        <w:spacing w:after="100"/>
      </w:pPr>
      <w:r>
        <w:t xml:space="preserve">La tecnología va hacia sistemas autónomos, drones y munición barata en grandes cantidades, software de mando y control con IA y defensa antimisil en capas (Golden Dome). Lockheed gana en defensa antimisil (PAC-3, THAAD, Aegis, NGI, sensores) y en el interceptor espacial de Golden Dome. Pierde peso donde entran competidores nuevos con modelo de producto (Anduril en drones y munición barata, Palantir en software de mando). Respuesta propia: el sistema antidrones Sanctum, desarrollado en 45 días [3], y la inversión en la capacidad de munición.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contratista de defensa del mundo por ventas (75.048 M USD en 2025) [1]; único fabricante del F-35, del PAC-3 y del THAAD.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Motores Pratt &amp; Whitney (también del F-35), Patriot, SM-3/SM-6; mitad civil. Últimos 12 meses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Dynamics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Submarinos, carros de combate, munición de artillería, TI y Gulfstream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Northrop Grumman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B-21, Sentinel (ICBM), motores de cohete sólido, espacio; competidor directo en Golden Dome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LHX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comunicaciones, sensores espaciales y Aerojet Rocketdyne (motores de misiles)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Boeing Defense, Space &amp; Security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F-15EX, F-47 (NGAD), proveedor de buscadores del PAC-3 [24]; socio en ULA [4].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Anduril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Drones, munición merodeadora y CCA con modelo de producto propio; compite en contratos OTA y en la munición barata.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flota de F-35 con 20 países usuarios crea una red de interoperabilidad, sostenimiento y formación: cada país que se suma refuerza el estándar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que vuelan 40-50 años con sostenimiento propio; 1.344 F-35 entregados y 317 en cartera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clasificada, autorizaciones de seguridad y certificación de sistemas probados en combate (PAC-3, THAAD, Aegis)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no se traduce en margen: el margen de segmento (9-11 %) está por debajo del de NOC o RTX [4, 6]; los contratos limitan el beneficio.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con sitio para uno o dos fabricantes (interceptores de alta gama, cazas de quinta generación, misiles balísticos de la Armada) [1].</w:t>
            </w:r>
          </w:p>
        </w:tc>
      </w:tr>
    </w:tbl>
    <w:p>
      <w:pPr>
        <w:spacing w:after="160" w:before="0"/>
      </w:pPr>
    </w:p>
    <w:p>
      <w:pPr>
        <w:pStyle w:val="Heading2"/>
      </w:pPr>
      <w:r>
        <w:t xml:space="preserve">Amenazas</w:t>
      </w:r>
    </w:p>
    <w:p>
      <w:pPr>
        <w:spacing w:after="100"/>
      </w:pPr>
      <w:r>
        <w:t xml:space="preserve">Hay tres amenazas. La primera, que el cliente traslade el riesgo de desarrollo con contratos a precio fijo: las pérdidas de 2024-2025 salen de ahí, y la probabilidad de nuevas pérdidas es media [1]. La segunda, la entrada de contratistas con modelo de producto (Anduril, Palantir) y de drones baratos en las misiones de ataque y de saturación, que puede desviar presupuesto de plataformas caras: probabilidad media a cinco años. La tercera, que el F-35 pierda pedidos frente a la sexta generación (F-47 de Boeing) o a drones colaborativos: la petición del FY2027 incluye 85 aviones frente a los 47 comprados en 2026 [22], pero la cifra depende cada año del Congreso.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spacing w:after="100"/>
      </w:pPr>
      <w:r>
        <w:t xml:space="preserve">Crecimiento anual compuesto 2018-2025: ingresos </w:t>
      </w:r>
      <w:r>
        <w:rPr>
          <w:b/>
          <w:bCs/>
        </w:rPr>
        <w:t xml:space="preserve">4,9 %</w:t>
      </w:r>
      <w:r>
        <w:t xml:space="preserve">, EBITDA </w:t>
      </w:r>
      <w:r>
        <w:rPr>
          <w:b/>
          <w:bCs/>
        </w:rPr>
        <w:t xml:space="preserve">3,9 %</w:t>
      </w:r>
      <w:r>
        <w:t xml:space="preserve">, BPA </w:t>
      </w:r>
      <w:r>
        <w:rPr>
          <w:b/>
          <w:bCs/>
        </w:rPr>
        <w:t xml:space="preserve">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53.762 M USD en 2018 a 75.048 M en 2025 (+5,0 % anual), casi todo orgánico: no hay compras relevantes desde Sikorsky (2015) [1]. El crecimiento de 2026 se apoya en el F-35 y en la munición: en el 2T26 las ventas suben un 11 % (MFC +19 % por PAC-3 y THAAD) [3]. El margen operativo consolidado cayó del 14,3 % de 2019 al 9,9 % de 2024 y al 10,3 % de 2025 por las pérdidas anticipadas en programas a precio fijo: 1.965 M en 2024 (dos programas clasificados en Aeronáutica y MFC) y 1.615 M en 2025 (programa clasificado de Aeronáutica, helicópteros canadienses CMHP y turcos TUHP) [7, 9]. Sin ellas el margen operativo habría sido del 12,8 % y del 12,5 %. El EBIT incluye el ajuste FAS/CAS de pensiones (1.518 M en 2025, 1.685 M previstos en 2026): el Gobierno reembolsa en precio el coste de pensiones según las normas CAS, y ese reembolso supera el coste contable del servicio [2, 3].</w:t>
      </w:r>
    </w:p>
    <w:p>
      <w:pPr>
        <w:pStyle w:val="Heading2"/>
      </w:pPr>
      <w:r>
        <w:t xml:space="preserve">Ajustes y partidas no recurrentes</w:t>
      </w:r>
    </w:p>
    <w:p>
      <w:pPr>
        <w:spacing w:after="100"/>
      </w:pPr>
      <w:r>
        <w:t xml:space="preserve">El BPA publicado mezcla tres tipos de partidas. Cargos de liquidación de pensiones, no operativos y sin caja: 4,72 USD por acción en 2021, 5,57 en 2022 y 1,63 en 2025 [2, 11, 12]. Pérdidas de programas: 6,16 USD en 2024 y 5,83 USD en 2025 (con 169 M de otros cargos) [7, 9]. Y ganancias del fondo de capital riesgo (0,72 USD en 2021) [12]. El BPA normalizado (sin liquidaciones de pensiones ni las grandes pérdidas de 2024-2025) sería 27,48 en 2021, 27,23 en 2022, 27,55 en 2023, 28,47 en 2024 y 28,95 en 2025 (estimación propia: publicado + efecto por acción de cada nota). Ojo: las pérdidas de programas no son del todo extraordinarias. Ajustes desfavorables de 100-300 M aparecen casi cada año (F-16, C-130, Heavy Lift y Seahawk: 395 M en el 1S26) [4], y por eso no se normalizan.</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1T26 (23-abr) la dirección mantuvo la guía pese a ventas planas, un flujo libre de −291 M y unos 240 M de beneficio perdido en Aeronáutica (ajustes desfavorables de 125 M en el F-16 y de 95 M en el C-130). Puso el acento en los acuerdos marco de siete años con el Departamento de Guerra para triplicar o cuadruplicar la producción de PAC-3, THAAD y PrSM [4, 5]. En el 2T26 (23-jul) el discurso pasó de la defensa a la ofensiva. Las ventas subieron un 11 %, el flujo libre fue de 2.917 M, entraron pedidos por 65.000 M (con el contrato plurianual de THAAD de 35.000 M) y la cartera llegó a un récord de 230.416 M. La guía subió a 79.750-81.750 M de ventas, 29,95-30,65 USD de BPA y 7.000-7.200 M de flujo libre [3]. También se anunció la compra de Ultra Maritime por 3.450 M [4]. Lo que no se ha contestado con cifras: si los programas clasificados necesitan más provisiones (1.800 M acumulados en Aeronáutica y 1.500 M en MFC, con 427 M y 1.100 M aún provisionados) [4], y cuándo volverán las recompras, paradas desde el 1T26 [4].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pasó de 12.169 M en 2020 a 21.700 M en 2025: se emitió deuda para pagar recompras (25.000 M entre 2021 y 2025) [14]. Los fondos propios cayeron a 6.721 M, con unas pérdidas actuariales acumuladas de 7.542 M en otro resultado global [3]. El circulante comercial lo financian sobre todo los anticipos: 13.001 M de activos por contrato frente a 11.440 M de pasivos por contrato en 2025 [14]. En el 1S26 los activos por contrato subieron 3.037 M por el arranque de la munición, y lo compensaron proveedores (+1.409 M) y anticipos (+711 M) [3]. La deuda neta financiera a 28-jun-2026 es de 16.747 M (20.538 − 3.791), 1,5 veces el EBITDA LTM [3].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2018-2025: FCF </w:t>
      </w:r>
      <w:r>
        <w:rPr>
          <w:b/>
          <w:bCs/>
        </w:rPr>
        <w:t xml:space="preserve">46.359</w:t>
      </w:r>
      <w:r>
        <w:t xml:space="preserve">, conversión </w:t>
      </w:r>
      <w:r>
        <w:rPr>
          <w:b/>
          <w:bCs/>
        </w:rPr>
        <w:t xml:space="preserve">98 %</w:t>
      </w:r>
      <w:r>
        <w:t xml:space="preserve"> del beneficio neto; adquisiciones 282, dividendos 22.869, recompras 28.479.</w:t>
      </w:r>
    </w:p>
    <w:p>
      <w:pPr>
        <w:spacing w:after="100"/>
      </w:pPr>
      <w:r>
        <w:t xml:space="preserve">La conversión del beneficio en caja es alta: el flujo libre de 2021-2025 suma 33.900 M frente a un beneficio neto de 29.320 M (116 %), porque la amortización supera ligeramente al capex y los cargos de pensiones y de programas no salen en caja el año en que se apuntan [14]. Hay años anómalos: 2018 (3.138 M de flujo operativo tras 5.000 M de aportación voluntaria a pensiones) y 2024 (990 M aportados) [1, 9]. El capex sube de 1.649 M en 2025 a 2.000-2.400 M en 2026, el 2,7 % de las ventas: es la inversión en capacidad de munición, crecimiento con contratos marco detrás [3]. El capex de mantenimiento ronda la amortización del inmovilizado (unos 1.200 M en los segmentos) [1] (estimación propia). Las recompras pasaron de 7.900 M en 2022 a 3.000 M en 2025 y a cero en el 1S26 [3, 14].</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contabilidad por grado de avance de contratos largos es la fuente principal de juicio. El margen depende de las estimaciones del coste a terminación, y los ajustes netos favorables del beneficio («profit booking rate adjustments») mueven cientos de millones al año. Una pérdida anticipada se reconoce entera el trimestre en que se ve: de ahí los saltos de 2024 y 2025 [1, 4]. El reembolso CAS de pensiones sube el EBIT en 1.500-1.700 M al año, pero es caja real que paga el Gobierno [3]. Los pagos en acciones son pequeños (304 M en 2025, el 6 % del beneficio) [1]. El 10-K no muestra cambios de criterio contable relevantes en 2025 [1]. El motor da el Altman Z, el Piotroski F y el Beneish M: con fondos propios mínimos por las recompras, el Altman Z sale bajo sin indicar riesgo de quiebra (rating A−/A2). El Beneish debe leerse con cuidado en un contratista con activos por contrato que crecen.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recurrentes en programas a precio fijo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1.965 M en 2024 y 1.615 M en 2025. En los clasificados quedan 1.527 M provisionados, y la empresa avisa de que podría haber más pérdidas «materiales»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precontractuales en existencias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 sus socios siguen invirtiendo por adelantado en el programa clasificado de Aeronáutica, y su recuperación depende de que el cliente financie las fases siguientes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Aval y apoyo a ULA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aval de hasta 500 M, ULA tiene problemas con el Vulcan y la empresa avisa de posibles deterioros [4].</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24.210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11.314 M en 2025 (el 46 % del capital invertido medio); ha subido más de un 5 % en 0 de 7 años: sin compras. ROIC publicado 32,9 %; sin fondo de comercio, 61,2 %. Sin compras relevantes: el publicado ya es el ROIC del negocio.</w:t>
      </w:r>
    </w:p>
    <w:p>
      <w:pPr>
        <w:spacing w:after="100"/>
      </w:pPr>
      <w:r>
        <w:rPr>
          <w:b/>
          <w:bCs/>
        </w:rPr>
        <w:t xml:space="preserve">ROIC incremental</w:t>
      </w:r>
      <w:r>
        <w:t xml:space="preserve"> (variación del NOPAT sobre variación del capital invertido en el periodo): 17,3 % · </w:t>
      </w:r>
      <w:r>
        <w:rPr>
          <w:b/>
          <w:bCs/>
        </w:rPr>
        <w:t xml:space="preserve">WACC</w:t>
      </w:r>
      <w:r>
        <w:t xml:space="preserve">: 8,7 %.</w:t>
      </w:r>
    </w:p>
    <w:p>
      <w:pPr>
        <w:spacing w:after="100"/>
      </w:pPr>
      <w:r>
        <w:t xml:space="preserve">Lockheed crea valor con holgura. El ROIC que calcula el informe es del 32,9 % en 2025 (61,2 % sin fondo de comercio) frente a un WACC del 8,65 %, y no ha bajado del 32 % en ocho años. Ese ROIC está inflado por un capital invertido pequeño: las recompras han dejado los fondos propios en 6.721 M y los anticipos de clientes financian el circulante. Calculado a mano sobre el capital operativo (inmovilizado 8.875 M, intangibles 1.887 M, fondo de comercio 11.314 M y circulante comercial con activos y pasivos por contrato 5.356 M: 27.432 M), el ROIC de 2025 es del 29 % con el beneficio sin pérdidas extraordinarias y del 24 % con el publicado [1]. Si las pensiones se tratan como deuda en el capital (28.215 M), sale un 28 %. En cualquier medida supera al WACC en más de 15 puntos. Lo mueve la rotación (1,3 veces) más que el margen (EBIT del 12,5 % sin pérdidas). El ROIC incremental de 17,3 % es menor porque el capital nuevo va a capacidad de munición. Northrop (15,0 %), General Dynamics (14,6 %) y RTX (9,4 %) quedan muy por debajo [18, 19, 20].</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16.747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3.791 M a 28-jun-2026, más una línea de crédito a cinco años de 3.000 M (prorrogada en agosto de 2026) y otra a 364 días firmada el 24-ago-2026 [3, 16]. Las dos respaldan el papel comercial. No había papel comercial en circulación a 28-jun-2026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A2, S&amp;P A−, Fitch A (calificaciones de la emisión de julio de 2025) [15]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Pasivo de pensiones devengado de 3.931 M a 28-jun-2026 (3.915 M a cierre de 2025) [3]. La cobertura CAS del Gobierno financia una parte en precio (1.735 M de coste CAS previstos en 2026) [3], y la empresa aportó 860 M en 2025 para cubrir la obligación de 2026 [2]. Hay 1.900 M de pérdidas de programas provisionadas que saldrán en caja: 427 M del clasificado de Aeronáutica, 1.100 M del de MFC y 365 M del CMHP canadiense [4]. Además existe un aval de hasta 500 M a la deuda de ULA, con un valor razonable de 64 M, y Lockheed y Boeing prevén más apoyo financiero a ULA [4]. Sigue abierta una demanda colectiva de accionistas por la información del periodo ene-2024 a jul-2025 [4]. No hay covenants financieros de mantenimiento en la línea nueva [16].</w:t>
      </w:r>
    </w:p>
    <w:p>
      <w:pPr>
        <w:pStyle w:val="Heading1"/>
      </w:pPr>
      <w:r>
        <w:t xml:space="preserve">12. Asignación de capital</w:t>
      </w:r>
    </w:p>
    <w:p>
      <w:pPr>
        <w:pStyle w:val="Confianza"/>
        <w:spacing w:after="100"/>
      </w:pPr>
      <w:r>
        <w:t xml:space="preserve">Confianza: Media</w:t>
      </w:r>
    </w:p>
    <w:p>
      <w:pPr>
        <w:spacing w:after="100"/>
      </w:pPr>
      <w:r>
        <w:t xml:space="preserve">La prioridad declarada es invertir en el negocio (más de 3.500 M en capacidad y tecnología en 2025, entre capex e I+D propia) y después devolver caja [2]. El dividendo sube cada año desde hace más de veinte. En octubre de 2026 subió un 4,3 %, a 3,60 USD por trimestre [44]: unos 14,40 USD al año, el 2,8 % del precio. Las recompras, de 3.000 M en 2025, están paradas desde el 1T26 [4]. La orden ejecutiva de enero de 2026 prohíbe dividendos y recompras a los contratistas que el Gobierno considere incumplidores [23], y la empresa avisa de que su remuneración al accionista puede verse afectada [1]. La compra de Ultra Maritime (3.450 M) se pagará con caja y deuda nueva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Ultra Maritime (sonar y guerra antisubmarina)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nueva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cierre (previsto en el 4T26)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(motores de misiles)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Abandonada en 2022 por la demanda de la FTC; Aerojet acabó en L3Harris [38].</w:t>
            </w:r>
          </w:p>
        </w:tc>
      </w:tr>
    </w:tbl>
    <w:p>
      <w:pPr>
        <w:spacing w:after="160" w:before="0"/>
      </w:pPr>
    </w:p>
    <w:p>
      <w:pPr>
        <w:spacing w:after="100"/>
      </w:pPr>
      <w:r>
        <w:t xml:space="preserve">Lockheed ha sido una devolvedora de caja disciplinada, pero con poco crecimiento orgánico. De 2018 a 2025 generó 46.359 M de flujo libre y devolvió 51.348 M: 22.869 M en dividendos y 28.479 M en recompras. La diferencia la pagó con deuda, que subió de 14.104 M a 21.700 M. Las compras fueron casi nulas (282 M). Las recompras se hicieron a 350-500 USD por acción y redujeron las acciones un 18 % (de 286,8 M a 233,5 M), lo que explica que el BPA normalizado creciera más (5 % anual) que el beneficio [14]. El giro de 2026 cambia el uso de la caja: capex al 2,7 % de las ventas para la munición, una compra de 3.450 M y recompras en cero. El veredicto es positivo en el pasado e incierto ahora: con la orden ejecutiva, el uso de la caja ya no lo decide solo el consejo.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D. Taiclet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 Lockheed desde 2018, primer ejecutivo desde junio de 2020 y presidente desde marzo de 2021; antes dirigió American Tower [1, 25]. Con él, la cartera pasó de 150.000 M a cierre de 2022 a 230.000 M en junio de 2026, pero llegaron 3.600 M de pérdidas en programas en 2024-2025 [2,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Evan T. Scott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abril de 2025, en sustitución de Jesus Malave; antes, director financiero de MFC y tesorero [1,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A. St. John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desde junio de 2020; antes dirigió RMS [1]. Responsable de la ejecución de los programas que tuvieron pérdidas.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Timothy S. Cahill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Misiles y control de tiro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segmento que más crece (+14 % en 2025) y que absorbe los acuerdos marco de munición [2,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Orlando Sanchez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Aeronáutica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Sustituye desde el 1-jun-2026 a Gregory Ulmer, que se jubila tras las pérdidas del programa clasificado y los retrasos del F-16 y del C-130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Robert M. Lightfoot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Espacio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Espacio desde enero de 2022; antes fue vicepresidente de operaciones y de estrategia del segmento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67.100-68.500 M; BPA 26,00-26,30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67.044 M; BPA 22,76 (27,48 sin la liquidación de pensiones)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 66.000 M; BPA ≈ 26,70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65.984 M; BPA 21,66 (27,23 sin cargos no operativos)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65.000-66.000 M; BPA 26,60-26,90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67.571 M; BPA 27,55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68.500-70.000 M; BPA 25,65-26,35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71.043 M; BPA 22,31 (pérdidas clasificadas de 6,16 por acción)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73.750-74.750 M; BPA 27,00-27,30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75.048 M; BPA 21,49 (5,83 de pérdidas y 1,63 de pensiones)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77.500-80.000 M; BPA 29,35-30,25; subida en julio a 79.750-81.750 M y 29,95-30,65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1S26 ventas 38.084 M, BPA 14,38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en ventas y en caja (las ventas superaron la guía en 2023, 2024 y 2025) y falla en beneficio por las pérdidas de programas. En 2024 y 2025 el BPA publicado quedó un 15-20 % por debajo de la guía [2]. El equipo es estable en la cúpula: Taiclet desde 2020 y St. John desde 2020. En cambio han rotado el director financiero (abril de 2025) y el presidente de Aeronáutica (junio de 2026), justo los puestos ligados a las pérdidas [25]. El consejo defiende un presidente que sea a la vez primer ejecutivo, con un consejero coordinador. No hay un plan de sucesión público para un primer ejecutivo de 65 años.</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James D. Taiclet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 Falk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C. Aquilino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clasificado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B. Burritt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Desarrollo directivo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M. Donovan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clasificado; Desarrollo directivo y 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Vicki A. Hollub</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Desarrollo directivo y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Debra L. Reed-Klages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Desarrollo directivo y 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Heather A.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clasificado y seguridad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Patricia E. Yarrington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 Negocio clasificado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89 %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8,1 %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3,96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(incluye el plan de ahorro de empleados)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13G/A de enero de 2024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el 13G/A de febrero de 2024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el 13G/A de enero de 2024 [25]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 John Frank A (Chief Operating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 Stephanie C. (Pres. Rotary &amp; Mission Systems)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Ulmer Gregory M (President Aeronautics)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Cahill Timothy S (Pres. Missiles &amp; Fire Control)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Lightfoot Robert M JR (President Space)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Lightfoot Robert M JR (President Space)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Donovan John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23,45 M USD en 2025: 1,75 M de fijo, 13,67 M en acciones y 5,50 M de incentivos en efectivo. Su remuneración es 180 veces la del empleado mediano (130.614 USD) [25]. El variable anual pesa un 70 % en lo financiero (ventas, beneficio de segmento y un 40 % de flujo libre) y un 30 % en lo estratégico y operativo [25]. El largo plazo mide la rentabilidad total relativa para el accionista (50 %), el ROIC (25 %) y el flujo libre (25 %), con el componente relativo limitado al 100 % si la rentabilidad absoluta es negativa [25]. La remuneración se aprobó con un 90,1 % a favor en 2026 [26]. La orden ejecutiva de enero de 2026 podría obligar a ligar el variable a la entrega a tiempo y no al BPA o al flujo libre [23].</w:t>
      </w:r>
    </w:p>
    <w:p>
      <w:pPr>
        <w:pStyle w:val="Heading2"/>
      </w:pPr>
      <w:r>
        <w:t xml:space="preserve">Operaciones vinculadas, estructura de control y defensas</w:t>
      </w:r>
    </w:p>
    <w:p>
      <w:pPr>
        <w:spacing w:after="100"/>
      </w:pPr>
      <w:r>
        <w:t xml:space="preserve">No hay accionista de control: los tres mayores son gestoras (31 % entre las tres) y la participación institucional es del 76 % [25, 28]. Hay una sola clase de acciones y el consejo se elige cada año con mayoría simple. La junta de 2026 rechazó otra vez separar presidente y primer ejecutivo [26]. La sociedad es de Maryland; los estatutos no tienen blindajes relevantes según el proxy [25]. La limitación singular viene del cliente: la orden ejecutiva de enero de 2026 permite al Gobierno impedir dividendos y recompras a los contratistas que considere incumplidores [23].</w:t>
      </w:r>
    </w:p>
    <w:p>
      <w:pPr>
        <w:pStyle w:val="Heading2"/>
      </w:pPr>
      <w:r>
        <w:t xml:space="preserve">Señales de alerta</w:t>
      </w:r>
    </w:p>
    <w:p>
      <w:pPr>
        <w:pStyle w:val="ListParagraph"/>
        <w:numPr>
          <w:ilvl w:val="0"/>
          <w:numId w:val="2"/>
        </w:numPr>
        <w:spacing w:after="60"/>
      </w:pPr>
      <w:r>
        <w:t xml:space="preserve">Ventas de directivos en 12 meses sin compras: 3,8 M USD del director de operaciones (oct-2025) y ventas pequeñas de presidentes de segmento y de un consejero [27].</w:t>
      </w:r>
    </w:p>
    <w:p>
      <w:pPr>
        <w:pStyle w:val="ListParagraph"/>
        <w:numPr>
          <w:ilvl w:val="0"/>
          <w:numId w:val="2"/>
        </w:numPr>
        <w:spacing w:after="60"/>
      </w:pPr>
      <w:r>
        <w:t xml:space="preserve">Rotación del director financiero (abril de 2025) y del presidente de Aeronáutica (junio de 2026) tras las pérdidas de programas [25].</w:t>
      </w:r>
    </w:p>
    <w:p>
      <w:pPr>
        <w:pStyle w:val="ListParagraph"/>
        <w:numPr>
          <w:ilvl w:val="0"/>
          <w:numId w:val="2"/>
        </w:numPr>
        <w:spacing w:after="60"/>
      </w:pPr>
      <w:r>
        <w:t xml:space="preserve">Demanda colectiva de accionistas por la información sobre los programas con pérdidas (2025), en curso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subida el 23-jul-2026: ventas de 79.750-81.750 M USD (+6-9 %), beneficio de segmento de 8.500-8.700 M, ajuste FAS/CAS de pensiones de ≈ 1.365 M, BPA de 29,95-30,65 USD, flujo operativo de 9.200-9.400 M, capex de 2.000-2.400 M y flujo libre de 7.000-7.200 M [3]. No incluye la compra de Ultra Maritime ni efectos de órdenes ejecutivas [3]. No hay un plan a medio plazo publicado con cifras; la empresa habla de triplicar o cuadruplicar la producción de PAC-3, THAAD y PrSM en siete años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90.473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486,00 – 756,00</w:t>
            </w:r>
          </w:p>
        </w:tc>
      </w:tr>
    </w:tbl>
    <w:p>
      <w:pPr>
        <w:spacing w:after="160" w:before="0"/>
      </w:pPr>
    </w:p>
    <w:p>
      <w:pPr>
        <w:pStyle w:val="Heading2"/>
      </w:pPr>
      <w:r>
        <w:t xml:space="preserve">Revisiones de estimaciones</w:t>
      </w:r>
    </w:p>
    <w:p>
      <w:pPr>
        <w:spacing w:after="100"/>
      </w:pPr>
      <w:r>
        <w:t xml:space="preserve">Solo hay una fuente gratuita con estimaciones completas (MarketScreener, 23 analistas, consenso «sobreponderar») [29, 30]. El BPA de 2026 del consenso (30,43) cuadra con el punto medio de la guía (30,30) [3]. Tras el 1T26 los analistas recortaron objetivos por los retrasos del F-16 y del C-130. En octubre de 2026 hay posturas encontradas: Vertical Research sube la recomendación a comprar y Bernstein recorta el objetivo. El consenso de 2027-2028 parece suponer que vuelven las recompras: su BPA crece un 7,5 % al año con el beneficio neto al 7 % [29]. No hay serie pública de revisiones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r>
    </w:tbl>
    <w:p>
      <w:pPr>
        <w:spacing w:after="160" w:before="0"/>
      </w:pPr>
    </w:p>
    <w:p>
      <w:pPr>
        <w:spacing w:after="100"/>
      </w:pPr>
      <w:r>
        <w:t xml:space="preserve">A 10 años la acción rinde un 11,3 % anual con dividendos, frente al 15,5 % del S&amp;P 500 y el 13,6 % del ETF aeroespacial ITA [31]. Ha ido por detrás del índice en 2020-2021 (pandemia y presupuestos planos), 2023-2025 (pérdidas de programas, recorte del F-35 en el FY2026) y en lo que va de 2026 (+9,9 % frente a +13,7 %) [31]. Su mejor año relativo fue 2022 (+40,5 % con la guerra de Ucrania). En 2026 marcó un máximo de 692 USD el 2-mar, con la petición de 1,5 billones y el conflicto con Irán, y cayó a 522 USD. La caída vino del 1T26 por debajo de lo esperado, de la parada de las recompras por la orden ejecutiva y de la duda sobre los 350.000 M de reconciliación [4, 31]. La beta mensual a 5 años frente al SPY es de solo 0,11 (semanal 0,33): la acción se mueve con la política de defensa, no con el mercado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El PER al cierre de cada año sobre el BPA publicado oscila mucho por los cargos de pensiones y de programas: 22,5 veces en 2022 y en 2025, 21,8 en 2024, 16,5 en 2023 [31]. Con el BPA normalizado de cada año (sin liquidaciones de pensiones ni las grandes pérdidas de 2024-2025), la historia es estable: entre 12,9 y 17,9 veces de 2018 a 2025, con mediana de 16,7 veces en 2021-2025. Hoy cotiza a 17,2 veces el BPA del consenso de 2026 y a 16,6 veces nuestro BPA de 2027: en la parte alta de su rango histórico, pero por debajo de sus comparables de EE. UU. (GD 19,1x; NOC 17,0x; RTX 25,2x) [18, 19, 20, 29].</w:t>
      </w:r>
    </w:p>
    <w:p>
      <w:pPr>
        <w:pStyle w:val="Heading1"/>
      </w:pPr>
      <w:r>
        <w:t xml:space="preserve">18. Comparables cotizados</w:t>
      </w:r>
    </w:p>
    <w:p>
      <w:pPr>
        <w:pStyle w:val="Confianza"/>
        <w:spacing w:after="100"/>
      </w:pPr>
      <w:r>
        <w:t xml:space="preserve">Confianza: Media</w:t>
      </w:r>
    </w:p>
    <w:p>
      <w:pPr>
        <w:spacing w:after="100"/>
      </w:pPr>
      <w:r>
        <w:t xml:space="preserve">Contratistas principales de defensa de EE. UU. (Northrop Grumman, General Dynamics, L3Harris y RTX, este con la mitad del negocio civil) y los tres grandes europeos con perfil parecido (BAE, Rheinmetall, Leonardo). Todos venden sobre todo a gobiernos, con contratos largos y carteras de varios años. Quedan fuera Saab (33x) y Hensoldt (39x), por crecimientos y múltiplos de otro régimen, y Boeing, por las pérdidas del negocio civil. Los europeos se pasan a USD con el BCE del 14-oct (1,1195) [32, 33]. El EV/EBITDA de los próximos 12 meses de los estadounidenses no está en la fuente gratuita: va en blanco, y su crecimiento es la previsión de ventas a tres años de Stock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Lockheed Martin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Northrop Grumman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Dynamics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RTX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L3Harris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11,8x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 / 14,3x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 / 19,1x / 21,1x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2,0x / 2,7x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596,60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Lockheed cotiza a 16,2 veces el BPA de los próximos 12 meses y a 11,8 veces el EBITDA, por debajo de la mediana de los comparables (19,1 veces de PER). Sus pares de EE. UU. van de 17,0 veces (Northrop) a 25,2 veces (RTX, con la mitad del negocio civil). El descuento se explica por tres cosas: crecimiento menor (ventas +4,8 % al año proyectado frente al 7,7 % de la mediana, inflada por Rheinmetall y BAE), el riesgo de programas a precio fijo que han costado 3.600 M en dos años y la dependencia de un cliente que ahora limita la remuneración al accionista. A favor tiene el mayor ROIC del grupo. La mediana de los comparables da 615,88 USD por PER y 522,31 por EV/EBITDA. Usamos el PER con un peso del 20 %, porque los europeos crecen a otro ritmo y los estadounidenses no tienen EBITDA de los próximos 12 meses en la fuente.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Ultra Maritime (guerra antisubmarina, EE. UU./Reino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Lockheed Martin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3.450 M USD; cierre previsto en el 4T26; múltiplo no publicado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Ball Aerospace (sistemas 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BAE Systems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 veces el EBITDA comparable de los últimos 12 meses según el vendedor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Aerojet Rocketdyne (motores de misiles,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L3Harris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 veces el EBITDA ajustado; prima del 37 %. Lockheed había intentado comprarla en 2020 y renunció en 2022 por la FTC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Meggitt (componentes aeroespaciales y de defensa,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Parker Hannifin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 de 7.100 M GBP; 16,3 veces el EBITDA de 2019; prima del 70,5 % (EV en USD con el tipo de la fecha de corte)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 (electrónica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14 veces el EBITDA de 2024e antes de sinergias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(componentes aeroespaciales y de defensa,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Arcline Investment Management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del 105 %; múltiplo de EBITDA no publicado [41].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(15,7x – 17,3x)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654,50 – 727,22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compras de empresas de electrónica y propulsión de defensa se pagan a 14-20 veces el EBITDA, muy por encima de las 12-14 veces a las que cotizan los grandes contratistas [37, 38, 39, 40]. Es el precio de la escasez de activos con tecnología crítica, no un valor de control aplicable a Lockheed. Una compra de Lockheed es inviable por tamaño (137.000 M de valor empresa) y por regulación, y la FTC ya le bloqueó la integración vertical con Aerojet [38]. Por eso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año 2026 queda fijado en la guía de julio (+7,6 %, punto medio de 79.750-81.750 M) [3]. Después el crecimiento baja del 5,5 % en 2027-2028 al 3,0 % en 2033. Se apoya en la cartera de 230.416 M (tres años de ventas), en los acuerdos marco para triplicar la munición y en la petición de 85 F-35 para el FY2027 [3, 5, 22]. El consenso espera +5,7 % en 2027 y en 2028 [29]. La media de 2018-2025 fue del 4,9 % [14]. Ultra Maritime no está incluida.</w:t>
      </w:r>
    </w:p>
    <w:p>
      <w:pPr>
        <w:keepNext/>
        <w:spacing w:after="100"/>
      </w:pPr>
      <w:r>
        <w:rPr>
          <w:b/>
          <w:bCs/>
        </w:rPr>
        <w:t xml:space="preserve">Márgenes.</w:t>
      </w:r>
    </w:p>
    <w:p>
      <w:pPr>
        <w:spacing w:after="100"/>
      </w:pPr>
      <w:r>
        <w:t xml:space="preserve">El margen EBITDA de 2026e es del 13,9 %: beneficio operativo de la guía (9.595 M) más 1.680 M de amortización [3]. Se mantiene en el 13,7-13,9 %, por debajo del 14,8 % de 2025 sin pérdidas y del 15,8 % de 2019 [14]. La razón es que los contratos de munición nuevos empiezan con márgenes bajos y que ajustes desfavorables de 300-400 M al año son la norma (395 M en el 1S26) [4]. El consenso da un 14,0 % en 2027 [29].</w:t>
      </w:r>
    </w:p>
    <w:p>
      <w:pPr>
        <w:keepNext/>
        <w:spacing w:after="100"/>
      </w:pPr>
      <w:r>
        <w:rPr>
          <w:b/>
          <w:bCs/>
        </w:rPr>
        <w:t xml:space="preserve">Inversión y circulante.</w:t>
      </w:r>
    </w:p>
    <w:p>
      <w:pPr>
        <w:spacing w:after="100"/>
      </w:pPr>
      <w:r>
        <w:t xml:space="preserve">El capex sube al 2,7 % de las ventas en 2026 (guía de 2.000-2.400 M) y al 3,0 % en 2027-2028, lo que espera el consenso (2.688 M) [3, 29]. Después baja al 2,6 % de largo plazo, por encima de una amortización que sube al 2,5 %. Circulante comercial del 7,5 % de las ventas, entre el 7,1 % de 2025 y el 8,3 % de junio de 2026, con activos y pasivos por contrato [3]. Tipo impositivo del 16,5 % en 2026 (15,9 % en el 1S26) y del 17-18 % después [3].</w:t>
      </w:r>
    </w:p>
    <w:p>
      <w:pPr>
        <w:keepNext/>
        <w:spacing w:after="100"/>
      </w:pPr>
      <w:r>
        <w:rPr>
          <w:b/>
          <w:bCs/>
        </w:rPr>
        <w:t xml:space="preserve">Coste del capital.</w:t>
      </w:r>
    </w:p>
    <w:p>
      <w:pPr>
        <w:spacing w:after="100"/>
      </w:pPr>
      <w:r>
        <w:t xml:space="preserve">Tasa libre del 5,21 % (bono de EE. UU. a 10 años del 13-oct) [34]; prima de mercado del 5,5 %. La beta es de 0,80: la sectorial de Damodaran desapalancada y corregida por caja (0,87), reapalancada con una deuda (con pensiones) del 20 % del capital, da ≈ 1,0 [35]. La regresión semanal ajustada da 0,55 y la mensual 0,11, que no sirve [31]. Se toma un punto intermedio y se dice: con beta 1,0 el WACC subiría al entorno del 10 % y el valor bajaría bastante. Coste de la deuda del 5,0 % (cupones del 4,15-5,20 %) [1]; peso de la deuda del 17 %. WACC 8,65 %.</w:t>
      </w:r>
    </w:p>
    <w:p>
      <w:pPr>
        <w:keepNext/>
        <w:spacing w:after="100"/>
      </w:pPr>
      <w:r>
        <w:rPr>
          <w:b/>
          <w:bCs/>
        </w:rPr>
        <w:t xml:space="preserve">Valor terminal.</w:t>
      </w:r>
    </w:p>
    <w:p>
      <w:pPr>
        <w:spacing w:after="100"/>
      </w:pPr>
      <w:r>
        <w:t xml:space="preserve">Gordon con un 2,5 %: crecimiento real del 0,5 % más una inflación del 2 %, por debajo de la tasa libre. Implica en torno a 12 veces el EBITDA terminal, en línea con los comparables (11,8 veces de mediana de los próximos 12 meses) y por debajo de las transacciones. El valor terminal pesa un 66 %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109.338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179.752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45.248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469,91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676,07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5.900 M (8 %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(reinvierte el 33 %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(histórico: 17,3 %)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frente al 4,8 %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5.900 M, el 8 % del NOPAT, con un capex bruto medio del 2,7 % de las ventas). En un negocio de activos ligeros, el crecimiento medio del 4,8 %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F-35 (más volumen en producción y sostenimiento), PAC-3 y THAAD (MFC +19 % en el 2T26) y Sikorsky sin las pérdidas de 2025 [3]. Precio: escalado de contratos plurianuales.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los acuerdos marco de munición y del contrato THAAD de 35.000 M; F-35 estable (unos 156 aviones al año) [3,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Munición a 2-3 veces el ritmo de 2025, NGI y defensa antimisil (Golden Dome)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Convergencia hacia el crecimiento del presupuesto de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cercano al del gasto de defensa nominal.</w:t>
            </w:r>
          </w:p>
        </w:tc>
      </w:tr>
    </w:tbl>
    <w:p>
      <w:pPr>
        <w:spacing w:after="160" w:before="0"/>
      </w:pPr>
    </w:p>
    <w:p>
      <w:pPr>
        <w:spacing w:after="100"/>
      </w:pPr>
      <w:r>
        <w:t xml:space="preserve">La calidad sostiene el crecimiento proyectado. El 4,8 % anual es casi igual al histórico (4,9 %), y la cartera de 230.416 M cubre más de tres años de ventas, con acuerdos marco de siete años en munición [3, 5]. La reinversión es pequeña (8 % del NOPAT) porque el cliente adelanta caja y el capex es modesto. Con un ROIC del 32,9 % (29 % a mano sobre el capital operativo), el crecimiento financiable es del 10,8 % con la reinversión bruta, el doble del proyectado. La cuota no es el límite: Lockheed es fabricante único del F-35, del PAC-3 y del THAAD. El límite es la capacidad de producción y el presupuesto. El poder de precio es limitado (contratos auditados), pero el crecimiento sale del volumen ya contratado. El riesgo está en el margen, no en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(base: 4,4 %)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14,2 % (base: 13,7 %)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(WACC: 8,7 %)</w:t>
            </w:r>
          </w:p>
        </w:tc>
      </w:tr>
    </w:tbl>
    <w:p>
      <w:pPr>
        <w:spacing w:after="160" w:before="0"/>
      </w:pPr>
    </w:p>
    <w:p>
      <w:pPr>
        <w:spacing w:after="100"/>
      </w:pPr>
      <w:r>
        <w:t xml:space="preserve">El DCF da 497,08 USD por acción, un 4,8 % por debajo del precio. El valor terminal pesa el 66 %. El DCF inverso dice que el precio descuenta un crecimiento del 5,3 % anual en 2027-2033, frente al 4,4 % de nuestro caso base, o un margen EBITDA del 14,2 % frente al 13,7 %. La rentabilidad implícita es del 8,4 %, casi el WACC (8,65 %) y por encima del 7,8 % que pide hoy el mercado. El precio no es exigente: pide crecer como el consenso y volver al margen de 2023, sin pérdidas nuevas. Tampoco es barato. Con la prima implícita del mercado, el DCF da 591,9 USD, porque la valoración depende mucho de la tasa de descuento con un bono al 5,2 %. La conclusión es que Lockheed cotiza cerca de su valor, con un rango amplio según la beta que se elija.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pérdidas en los programas clasificados o en el F-35 (1.000-2.000 M, como en 2024 y 2025), recorte del presupuesto si no se aprueba la reconciliación y menos aviones del F-35 en el FY2028. El margen se queda un punto por debajo y las ventas crecen un 2-3 %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la munición crece con los acuerdos marco y el F-35 se mantiene en unos 150 aviones al año. Siguen ajustes desfavorables pequeños, sin pérdidas de más de 500 M. Sin recompras hasta que se aclare la orden ejecutiva.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570,03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aprueba la reconciliación con fondos para Golden Dome y munición, la producción de PAC-3 y THAAD se triplica antes de lo previsto, el F-35 sube a más de 85 aviones para EE. UU. y los márgenes vuelven al 14,5 % de 2022-2023.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522,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475,93 USD (-8,9 %).</w:t>
      </w:r>
    </w:p>
    <w:p>
      <w:pPr>
        <w:spacing w:after="100"/>
      </w:pPr>
      <w:r>
        <w:t xml:space="preserve">La asimetría del valor intrínseco es desfavorable: el alcista gana un 9,2 % y el bajista pierde un 35,0 %, una asimetría de 0,26 veces. El bajista pesa tanto porque une margen más bajo, menos crecimiento y una tasa medio punto mayor, y eso ya pasó en 2024 y 2025. Con la prima del mercado la asimetría es de 1,24 veces. A 12 meses, la regla de múltiplos da una asimetría de 1,1 veces (de −25,9 % a +34,1 %), porque el PER bajista (13,0 veces) está cerca del actual. El balance no compensa: el riesgo de pérdidas a la baja es mayor que el premio a la alza.</w:t>
      </w:r>
    </w:p>
    <w:p>
      <w:pPr>
        <w:pStyle w:val="Heading1"/>
      </w:pPr>
      <w:r>
        <w:t xml:space="preserve">22. Suma de partes</w:t>
      </w:r>
    </w:p>
    <w:p>
      <w:pPr>
        <w:pStyle w:val="Confianza"/>
        <w:spacing w:after="100"/>
      </w:pPr>
      <w:r>
        <w:t xml:space="preserve">Confianza: Media</w:t>
      </w:r>
    </w:p>
    <w:p>
      <w:pPr>
        <w:spacing w:after="100"/>
      </w:pPr>
      <w:r>
        <w:t xml:space="preserve">No aplica: los cuatro segmentos venden al mismo cliente, con los mismos tipos de contrato y márgenes parecidos (9-14 %), y no hay comparables puros que den múltiplos distintos con fiabilidad. La única participada relevante (50 % de ULA) está en el puente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522,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662,58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505,14 USD (-3,3 % sobre 522,23).</w:t>
      </w:r>
    </w:p>
    <w:p>
      <w:pPr>
        <w:spacing w:after="100"/>
      </w:pPr>
      <w:r>
        <w:t xml:space="preserve">El DCF pesa un 50 % porque los flujos son previsibles (cartera de tres años y clientes públicos) y porque el flujo libre (7.000-7.200 M en 2026) es la mejor medida del valor. Los escenarios pesan un 30 %, para recoger el riesgo de pérdidas en programas, que es lo que más ha movido la acción. Los comparables pesan un 20 %: los estadounidenses son buenos pares, pero el PER de los europeos refleja otro ciclo de pedidos. Las transacciones no pesan, porque una compra de Lockheed es inviable. La dispersión es amplia. EV/EBITDA, DCF y escenarios dan 476-527 USD; el PER de los comparables y las transacciones, 577-727 USD. La diferencia es el múltiplo que paga el mercado por defensa frente al flujo de caja descontado con un bono al 5,2 %. El valor intrínseco de síntesis es de 505,14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(16.5x) a mitad de camino hacia abajo, hacia la mediana de 5 años (16x)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bl>
    <w:p>
      <w:pPr>
        <w:spacing w:after="160" w:before="0"/>
      </w:pPr>
    </w:p>
    <w:p>
      <w:pPr>
        <w:spacing w:after="100"/>
      </w:pPr>
      <w:r>
        <w:rPr>
          <w:b/>
          <w:bCs/>
        </w:rPr>
        <w:t xml:space="preserve">Objetivo a 12 meses (ponderado):</w:t>
      </w:r>
      <w:r>
        <w:t xml:space="preserve"> 534,07 USD · rentabilidad +4,9 % (base +5,7 %) · señal Mantener.</w:t>
      </w:r>
    </w:p>
    <w:p>
      <w:pPr>
        <w:spacing w:after="100"/>
      </w:pPr>
      <w:r>
        <w:t xml:space="preserve">Para comparar, con la regla v2 (historia al cierre, mismo precio): 12,9x / 16,5x / 19,1x, 5,7 %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(31,59) queda un 3,5 % por debajo del consenso (32,73), y el de 2028 (33,22) un 5,6 % por debajo (35,19) [29]. Casi toda la diferencia es el número de acciones: no suponemos recompras mientras rija la orden ejecutiva y estén en marcha la compra de Ultra y el capex de munición. El consenso parece suponer que las acciones bajan un 2-3 % al año. Nuestro beneficio neto de 2028 (7.691 M) queda un 4,7 % por debajo del consenso (8.073 M) por un margen algo menor. Nuestro precio base (538,16) está un 13,4 % por debajo del objetivo medio de los analistas (621,24), que se acerca a nuestro alcista. La diferencia es el múltiplo: el consenso aplica 18-19 veces y la regla, 16,2.</w:t>
      </w:r>
    </w:p>
    <w:p>
      <w:pPr>
        <w:keepNext/>
        <w:spacing w:after="100"/>
      </w:pPr>
      <w:r>
        <w:rPr>
          <w:b/>
          <w:bCs/>
        </w:rPr>
        <w:t xml:space="preserve">Del valor intrínseco al objetivo a 12 meses.</w:t>
      </w:r>
    </w:p>
    <w:p>
      <w:pPr>
        <w:spacing w:after="100"/>
      </w:pPr>
      <w:r>
        <w:t xml:space="preserve">El objetivo a 12 meses (534,07 USD) queda un 5,7 % por encima del valor intrínseco (505,14 USD): los dos dicen lo mismo, que Lockheed cotiza cerca de su valor. Para que el precio vaya hacia el objetivo de los analistas harían falta dos hechos con fecha: unos resultados del 3T26 (22-oct) sin pérdidas nuevas y con la guía de 2026 confirmada, y la aprobación de los fondos de reconciliación para defensa en el Congreso. Sin ellos, la rentabilidad esperada es la del dividendo más el crecimiento del beneficio, entre el 5 % y el 8 % al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o revisión de la guía de 2026 y de las provisiones de los programas clasificados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Elecciones legislativas de EE. UU. (3-nov)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Composición del Congreso que votará los 350.000 M de reconciliación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prórroga presupuestaria y ley de créditos de defensa del FY2027; NDAA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Cantidades de F-35, munición y Golden Dome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Ultra Maritime (3.450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ventas navales y más deuda; pospone las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los acuerdos marco de munición en plena producción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del Departamento de Guerra al amparo de la orden ejecutiva sobre dividendos y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o no de las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pérdidas en programas de desarrollo a precio fijo (clasificado de Aeronáutica, clasificado de MFC, CMHP)</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−35 %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hay 1.892 M provisionados; las fases nuevas se negocian con más margen de seguridad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de más de 300 M en un trimestre o nuevos avisos en el 10-Q</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la reconciliación de 350.000 M no se aprueba y el FY2027 vive en prórrogas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1,15 billones tiene apoyo y la cartera cubre tres años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créditos del FY2027 por debajo de la petición en compras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Orden ejecutiva que limita dividendos y recompras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(menos BPA por acción y menos atractivo para el inversor de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se subió en octubre de 2026 sin oposición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Designación de Lockheed como contratista incumplidor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del F-35 a la baja (sexta generación, drones colaborativos, recortes aliados)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Sostenimiento de una flota de más de 1.300 aviones durante décadas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Petición del FY2028 con menos de 60 aviones para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nuevos contratistas y de drones y munición baratos frente a plataformas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defensa antimisil de alta gama y los interceptores no tienen sustituto barato; Lockheed invierte en antidrones y autonomía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OTA grandes de munición o CCA a Anduril u otros, en lugar de a Lockheed</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ULA y el cohete Vulcan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a −2 % (aval de 500 M y valor contable de 617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Exposición acotada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aportaciones o deterioros en ULA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Cuellos de botella de proveedores y tierras raras en la subida de la munición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Contratos con Boeing (buscadores) y Avio (motores) para ampliar capacidad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Entregas de PAC-3 por debajo del plan</w:t>
            </w:r>
          </w:p>
        </w:tc>
      </w:tr>
    </w:tbl>
    <w:p>
      <w:pPr>
        <w:spacing w:after="160" w:before="0"/>
      </w:pPr>
    </w:p>
    <w:p>
      <w:pPr>
        <w:pStyle w:val="Heading2"/>
      </w:pPr>
      <w:r>
        <w:t xml:space="preserve">Pre-mortem</w:t>
      </w:r>
    </w:p>
    <w:p>
      <w:pPr>
        <w:spacing w:after="100"/>
      </w:pPr>
      <w:r>
        <w:t xml:space="preserve">Es octubre de 2029 y la acción ha perdido un 40 %, hasta unos 310 USD. Primero llegó el 4T26: el programa clasificado de Aeronáutica necesitó otros 1.200 M de pérdidas al entrar en una fase nueva, y MFC sumó 600 M porque el cliente ejerció opciones a precio fijo con costes de materiales más altos. El mercado entendió que las pérdidas no eran puntuales, y el PER bajó de 16 a 13 veces. En 2027 el Congreso aprobó la base del presupuesto pero no la reconciliación, y el F-35 se quedó en 50 aviones para EE. UU. mientras el dinero nuevo iba a drones colaborativos y munición barata de contratistas nuevos. La orden ejecutiva mantuvo bloqueadas las recompras hasta 2028, y la dirección cambió por segunda vez de presidente de Aeronáutica. El BPA de 2028 se quedó en 27 USD en vez de 33. Lo que lo habría anticipado: cargos trimestrales de más de 300 M, la ley de créditos del FY2027 sin los 350.000 M y la ausencia de recompras en la guía de 2027.</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Mixto · </w:t>
      </w:r>
      <w:r>
        <w:rPr>
          <w:b/>
          <w:bCs/>
        </w:rPr>
        <w:t xml:space="preserve">Efecto en valor (3-5 años):</w:t>
      </w:r>
      <w:r>
        <w:t xml:space="preserve"> −5 % a 3-5 años (sin contar la oportunidad)</w:t>
      </w:r>
    </w:p>
    <w:p>
      <w:pPr>
        <w:spacing w:after="100"/>
      </w:pPr>
      <w:r>
        <w:t xml:space="preserve">La IA no se come el núcleo de Lockheed: cazas de quinta generación, interceptores PAC-3 y THAAD, misiles balísticos de la Armada y satélites no tienen sustituto hecho con software. Lo que sí cambia es dónde va el presupuesto. Drones y munición baratos guiados por IA, y contratistas nuevos con modelo de producto (Anduril en drones y munición, Palantir en mando y control), compiten por las misiones de ataque y de saturación, que hoy cubren plataformas caras como el F-35 o el JASSM. Eso toca quizá el 20-30 % de las ventas a 5-10 años. A la vez, la IA hace falta en defensa antimisil y en Golden Dome (sensores, fusión de datos), donde Lockheed es fuerte, y le ahorra horas en ingeniería y producción. Respuesta propia: el antidrones Sanctum, hecho en 45 días [3], y las inversiones de Lockheed Martin Ventures. Señal: contratos OTA de munición o CCA grandes adjudicados a contratistas nuevos.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cumplimiento (exportaciones, ética en los contratos públicos y seguridad de la información clasificada) y la seguridad del producto, no las emisiones. Las ventas a países sancionados o en conflicto dependen de licencias: los helicópteros turcos sufrieron las sanciones de 2020 [1]. Para muchos fondos con criterios ESG la industria de armamento es una exclusión, lo que limita la base de accionistas. La plantilla es muy cualificada (72.000 ingenieros y técnicos) y la capacidad de contratarla es un límite del crecimiento [1].</w:t>
      </w:r>
    </w:p>
    <w:p>
      <w:pPr>
        <w:pStyle w:val="Heading2"/>
      </w:pPr>
      <w:r>
        <w:t xml:space="preserve">Controversias</w:t>
      </w:r>
    </w:p>
    <w:p>
      <w:pPr>
        <w:spacing w:after="100"/>
      </w:pPr>
      <w:r>
        <w:t xml:space="preserve">En julio de 2025 se presentó una demanda colectiva de accionistas por la información sobre los programas con pérdidas (periodo ene-2024 a jul-2025); sigue en curso [4]. En septiembre-octubre de 2026 la prensa informó del desvío a Hong Kong de piezas del F-35 por un error logístico de un transportista. Las autoridades de compras auditan habitualmente los sistemas de la empresa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clasificados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hitos técnicos quedan en el programa clasificado de Aeronáutica antes de la siguiente fase, y cuánto de los 427 M provisionados se consumirá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más ha movido el BPA (3.600 M de pérdidas en dos años).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MFC clasificado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opciones a precio fijo con pérdida quedan por ejercer y con qué supuestos de coste?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hay 1.100 M provisionados y la empresa espera que se ejerzan todas.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 sido Lockheed señalada bajo la orden ejecutiva y qué plan ha presentado? ¿Cuándo prevé volver a recomprar?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BPA no supone recompras; el consenso sí.</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la munición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acuerdos marco de PAC-3, THAAD y PrSM cuando lleguen a 3-4 veces la producción actual, y quién paga el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crecimiento de MFC sube o baja el margen del grupo.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F-35</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aviones al año supone la guía a medio plazo, y qué peso tendrá el sostenimiento en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F-35 es el 27 % de las ventas y su ritmo de pedidos ha oscilado entre 24 y 85 aviones en las peticiones de EE. UU.</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Maritime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EBITDA y múltiplo tiene Ultra Maritime y cómo se financiará?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(3.450 M) no está en la guía ni en nuestro modelo.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Pensiones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 bajará el reembolso CAS de pensiones (1.735 M en 2026) en los próximos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Aporta 1.685 M al beneficio operativo; una caída restaría margen.</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artículos de opinión de octubre son alcistas: cartera récord, misiles y recuperación del margen. Las noticias del mes mezclan contratos y la subida del dividendo con el desvío de piezas del F-35 a Hong Kong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(«Strong Buy, But Not For The Obvious Reasons»)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que el precio no refleja ni el beneficio de 2024 ni el de 2025, y que la caída desde 600 USD en agosto es de sentimiento. Reconoce que el flujo libre crece poco sin Ultra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($LMT)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cortos y alcistas tras la ampliación de Texas (6.000 empleos) y la subida del 3 % del 14-oct; dudas sobre el presupuesto y el recorte de objetivo de Bernstein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TIKR (blog con debate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la caída del 25 % desde el máximo, plantea si es momento de comprar: ve valor a 16,9 veces el beneficio, pero señala los problemas de Aeronáutica [22].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Munición y defensa antimisil como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respaldan: MFC crece un 19 % en el 2T26 y su cartera pasa de 46.650 a 87.882 M [24]. Pero el margen de MFC (14 %) no compensa por sí solo el resto.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de 1,5 billones y reconciliación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razón: la base de 1,15 billones parece asegurada, pero los 350.000 M de reconciliación no, y el año fiscal empezó con una prórroga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paradas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subió el dividendo un 4,3 % (3,60 USD por trimestre) pero no recompra desde el 1T26; el informe supone que no recompra.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Ejecución en Aeronáutica (F-35, F-16, C-130, clasificado)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395 M de ajustes desfavorables en el 1S26 y 427 M aún provisionados en el clasificado.</w:t>
            </w:r>
          </w:p>
        </w:tc>
      </w:tr>
    </w:tbl>
    <w:p>
      <w:pPr>
        <w:spacing w:after="160" w:before="0"/>
      </w:pPr>
    </w:p>
    <w:p>
      <w:pPr>
        <w:spacing w:after="100"/>
      </w:pPr>
      <w:r>
        <w:t xml:space="preserve">El inversor particular está más optimista que hace tres meses: compra la caída desde 600 USD con el argumento de la munición y del presupuesto. Los artículos de opinión son casi todos alcistas. No hay euforia ni capitulación. El sentimiento coincide con el consenso de analistas (sobreponderar, objetivo de 621 USD) y es más optimista que nuestro BPA, que no supone recompras. El riesgo que los foros infravaloran es el de nuevas pérdidas en programas a precio fijo, el que más ha movido la acción en 2024-2025.</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19 controles correctos. Fuentes: 44 (24 primarias); citas distintas en el texto: 40.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7,5 % frente a 7,1 % real: genera una variación de circulante de 700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8, 10, 13.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10 de deuda del 10-K 2025 (descargado; sin tabla de vencimientos legible en el texto extraído); 2) 10-Q del 2T26; 3) folleto de la emisión de 2025 (solo esa emisión)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publican la amortización trimestral); 2) 10-Q (solo la acumulada del semestre); 3) derivarla restando acumulados (no hay 3T y 4T por separado)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descargado por tiempo); 2) proxy 2026 (sin calificaciones externas); 3) búsqueda web (no lanzada, se priorizó la valoración)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(no da cuota); 2) SIPRI (gasto total, perímetro distinto); 3) cálculo con el presupuesto de compras (mezcla FMS y cuentas de varios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(reparto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media y extremos); 2) Stock Analysis (no consultado el reparto); 3) prensa (solo cambios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notas, segmentos, deuda, pensiones,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Lockheed Martin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https://www.sec.gov/Archives/edgar/data/936468/000162828026004195/lmt-20251231.htm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del 4T y del ejercicio 2025 (Exhibit 99.1;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https://www.sec.gov/Archives/edgar/data/936468/000162828026003970/ex991q42025.htm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2026 (Exhibit 99.1; guía 2026 revisada, balance y 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https://www.sec.gov/Archives/edgar/data/936468/000162828026049277/ex991q22026.htm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2T 2026 (programas con pérdidas, ULA, presupuesto, Ultra Maritime)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https://www.sec.gov/Archives/edgar/data/936468/000162828026049411/lmt-20260628.htm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2026 (acuerdos marco de munición)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https://www.sec.gov/Archives/edgar/data/936468/000162828026026683/ex991q12026.htm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https://www.sec.gov/Archives/edgar/data/936468/000162828025045582/ex991q32025.htm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2025 (pérdidas de 1.600 M en programas)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https://www.sec.gov/Archives/edgar/data/936468/000162828025035502/ex991q22025.htm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https://www.sec.gov/Archives/edgar/data/936468/000093646825000031/ex991q12025.htm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(pérdidas de programas clasificados;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https://www.sec.gov/Archives/edgar/data/936468/000093646825000006/ex991q42024.htm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2023 (guía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https://www.sec.gov/Archives/edgar/data/936468/000093646824000006/ex991q42023.htm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2022 (guía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https://www.sec.gov/Archives/edgar/data/936468/000093646823000004/ex991q42022.htm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2021 (guía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https://www.sec.gov/Archives/edgar/data/936468/000093646822000006/ex991q42021.htm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2020 (guía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https://www.sec.gov/Archives/edgar/data/936468/000093646821000009/ex991q42020.htm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la SEC (companyfacts, CIK 936468):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https://data.sec.gov/api/xbrl/companyfacts/CIK0000936468.json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Términos de la emisión de bonos de julio de 2025 (FWP): ratings esperados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https://www.sec.gov/Archives/edgar/data/936468/000119312525163467/d889513dfwp.htm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nueva línea de crédito a 364 días y prórroga de la línea a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https://www.sec.gov/Archives/edgar/data/936468/000119312526371750/d177255d8k.htm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 el gasto militar mundial de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SIPRI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https://www.sipri.org/media/press-release/2026/world-military-expenditure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Northrop Grumman (NOC):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https://stockanalysis.com/stocks/noc/statistics/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Dynamics (GD):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https://stockanalysis.com/stocks/rtx/statistics/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L3Harris (LHX):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https://stockanalysis.com/stocks/lhx/statistics/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Has Fallen Nearly 25% From Its 2026 High (F-35 en la petición FY2027)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https://www.tikr.com/blog/lockheed-martin-has-fallen-nearly-25-from-its-2026-high-is-it-finally-time-to-buy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ejecutiva «Prioritizing the Warfighter in Defense Contracting»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https://fortune.com/2026/01/13/trump-executive-order-defense-contractors-rtx-general-dynamics-lockheed-martin-boeing-northrop-grumman-l3-harris/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noticias de LMT (sep-oct 2026): contrato de buscadores del PAC-3 con Boeing, piezas del F-35, dividendo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https://seekingalpha.com/api/sa/combined/LMT.xml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https://www.sec.gov/Archives/edgar/data/936468/000093646826000004/lmt-20260326.htm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https://www.sec.gov/Archives/edgar/data/936468/000093646826000011/lmt-20260512.htm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(operaciones de consejeros y directivos, 15-oct-2025 a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https://www.sec.gov/cgi-bin/browse-edgar?action=getcompany&amp;CIK=0000936468&amp;type=4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(LMT): estadísticas (participación institucional,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https://stockanalysis.com/stocks/lmt/statistics/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estimaciones y datos financieros (2024-2028)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https://uk.marketscreener.com/quote/stock/LOCKHEED-MARTIN-CORPORATI-13406/finances/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https://uk.marketscreener.com/quote/stock/LOCKHEED-MARTIN-CORPORATI-13406/consensus/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LMT, SPY e ITA (cierre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https://finance.yahoo.com/quote/LMT/history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europeos de defensa a 13-oct-2026 (BAE, Rheinmetall, Leonardo; MarketScreener y Stock Analysis), ficha sectorial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sectores/defensa-2026-10-15-comparables.json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del BCE (USD por EUR,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del Tesoro de EE. UU. a 10 años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por sector, EE. UU. (enero de 2026): Aerospace/Defense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https://pages.stern.nyu.edu/~adamodar/pc/datasets/betas.xls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del S&amp;P 500 por mes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anuncia la venta de su negocio aeroespacial a BAE por 5.600 M USD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Ball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https://www.sec.gov/Archives/edgar/data/9389/000000938923000028/ball-20230817xex99.htm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 comunicación a accionistas sobre la compra por L3Harris (DEFA14A)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Aerojet Rocketdyne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https://www.sec.gov/Archives/edgar/data/40888/000119312522308466/d415225ddefa14a.htm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 anuncio de la oferta por Meggitt plc (8-K Ex. 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Parker Hannifin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https://www.sec.gov/Archives/edgar/data/76334/000119312521233544/d211612dex21.htm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presentación a analistas de la compra de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https://investors.hensoldt.net/media/document/c62ffd6f-0980-4f75-b730-461d0bf50b6e/assets/HENSOLDT_AG_Analyst_Call_ESG.pdf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será comprada por Arcline Investment Management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Kaman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https://www.sec.gov/Archives/edgar/data/54381/000114036124002840/ny20019137x1_ex99-1.htm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sobre $LMT (14-15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https://api.stocktwits.com/api/2/streams/symbol/LMT.json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Lockheed Martin: Strong Buy, But Not For The Obvious Reasons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https://seekingalpha.com/article/4953016-lockheed-martin-strong-buy-not-for-obvious-reasons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LMT (subida del dividendo a 3,60 USD, 10-oct-2026; contratos; piezas del F-35)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https://seekingalpha.com/symbol/LMT/news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89,9 %</w:t>
      </w:r>
      <w:r>
        <w:t xml:space="preserve"> · Secciones con menos del 60 % de campos cubiertos: </w:t>
      </w:r>
      <w:r>
        <w:rPr>
          <w:b/>
          <w:bCs/>
        </w:rPr>
        <w:t xml:space="preserve">ninguna</w:t>
      </w:r>
      <w:r>
        <w:t xml:space="preserve"> · Generado el 15 oct 2026.</w:t>
      </w:r>
    </w:p>
    <w:p>
      <w:pPr>
        <w:pStyle w:val="Nota"/>
        <w:spacing w:after="100"/>
      </w:pPr>
      <w:r>
        <w:t xml:space="preserve">Cuentas en USD según US GAAP; cotización en el NYSE. El precio es el cierre del 14-oct-2026 (522,23 USD): la sesión del 15-oct no había cerrado al hacer el informe. Los arrendamientos operativos (1.071 M) no van a la deuda porque su gasto ya está en el EBITDA. Las pérdidas anticipadas de programas de 2024 (2.052 M con deterioros) y de 2025 (1.681 M) se devuelven al EBITDA como no recurrentes. Los ajustes desfavorables más pequeños, que se repiten cada año, se quedan dentro. La historia del PER usa el BPA normalizado: sin liquidaciones de pensiones ni las grandes pérdidas de 2024-2025. La compra de Ultra Maritime (3.450 M, pendiente de cierre) queda fuera de la proyección y del puente. El EV/EBITDA de los próximos 12 meses de los comparables estadounidenses no está en la fuente gratuita. Los comparables europeos se pasan a USD con el BCE del 14-oct (1,1195).</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Lockheed Martin Corporation (LMT)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522,23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(437,25 – 692,00)</c:v>
                </c:pt>
                <c:pt idx="1">
                  <c:v>Precio objetivo de los analistas (486,00 – 756,00)</c:v>
                </c:pt>
                <c:pt idx="2">
                  <c:v>Comparables: EV/EBITDA NTM (476,12 – 527,44)</c:v>
                </c:pt>
                <c:pt idx="3">
                  <c:v>Comparables: PER NTM (577,19 – 678,76)</c:v>
                </c:pt>
                <c:pt idx="4">
                  <c:v>Transacciones precedentes (EV/EBITDA) (654,50 – 727,22)</c:v>
                </c:pt>
                <c:pt idx="5">
                  <c:v>DCF (WACC y g ± 0,5) (427,87 – 592,79)</c:v>
                </c:pt>
                <c:pt idx="6">
                  <c:v>Escenarios (bajista – alcista) (339,51 – 570,03)</c:v>
                </c:pt>
                <c:pt idx="7">
                  <c:v>DCF con la prima implícita del mercado (4,2 %)</c:v>
                </c:pt>
                <c:pt idx="8">
                  <c:v>Precio actual (522,23)</c:v>
                </c:pt>
              </c:strCache>
            </c:strRef>
          </c:cat>
          <c:val>
            <c:numRef>
              <c:f>Hoja1!$B$2:$B$10</c:f>
              <c:numCache>
                <c:formatCode>#,##0</c:formatCode>
                <c:ptCount val="9"/>
                <c:pt idx="0">
                  <c:v>437.25</c:v>
                </c:pt>
                <c:pt idx="1">
                  <c:v>486</c:v>
                </c:pt>
                <c:pt idx="2">
                  <c:v>476.12</c:v>
                </c:pt>
                <c:pt idx="3">
                  <c:v>577.19</c:v>
                </c:pt>
                <c:pt idx="4">
                  <c:v>654.5</c:v>
                </c:pt>
                <c:pt idx="5">
                  <c:v>427.87</c:v>
                </c:pt>
                <c:pt idx="6">
                  <c:v>339.51</c:v>
                </c:pt>
                <c:pt idx="7">
                  <c:v>533.51</c:v>
                </c:pt>
                <c:pt idx="8">
                  <c:v>519.62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(437,25 – 692,00)</c:v>
                </c:pt>
                <c:pt idx="1">
                  <c:v>Precio objetivo de los analistas (486,00 – 756,00)</c:v>
                </c:pt>
                <c:pt idx="2">
                  <c:v>Comparables: EV/EBITDA NTM (476,12 – 527,44)</c:v>
                </c:pt>
                <c:pt idx="3">
                  <c:v>Comparables: PER NTM (577,19 – 678,76)</c:v>
                </c:pt>
                <c:pt idx="4">
                  <c:v>Transacciones precedentes (EV/EBITDA) (654,50 – 727,22)</c:v>
                </c:pt>
                <c:pt idx="5">
                  <c:v>DCF (WACC y g ± 0,5) (427,87 – 592,79)</c:v>
                </c:pt>
                <c:pt idx="6">
                  <c:v>Escenarios (bajista – alcista) (339,51 – 570,03)</c:v>
                </c:pt>
                <c:pt idx="7">
                  <c:v>DCF con la prima implícita del mercado (4,2 %)</c:v>
                </c:pt>
                <c:pt idx="8">
                  <c:v>Precio actual (522,23)</c:v>
                </c:pt>
              </c:strCache>
            </c:strRef>
          </c:cat>
          <c:val>
            <c:numRef>
              <c:f>Hoja1!$C$2:$C$10</c:f>
              <c:numCache>
                <c:formatCode>#,##0</c:formatCode>
                <c:ptCount val="9"/>
                <c:pt idx="0">
                  <c:v>254.75</c:v>
                </c:pt>
                <c:pt idx="1">
                  <c:v>270</c:v>
                </c:pt>
                <c:pt idx="2">
                  <c:v>51.32000000000005</c:v>
                </c:pt>
                <c:pt idx="3">
                  <c:v>101.56999999999994</c:v>
                </c:pt>
                <c:pt idx="4">
                  <c:v>72.72000000000003</c:v>
                </c:pt>
                <c:pt idx="5">
                  <c:v>164.91999999999996</c:v>
                </c:pt>
                <c:pt idx="6">
                  <c:v>230.51999999999998</c:v>
                </c:pt>
                <c:pt idx="7">
                  <c:v>129.07000000000005</c:v>
                </c:pt>
                <c:pt idx="8">
                  <c:v>5.220000000000027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Aeronáutica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26748</c:v>
                </c:pt>
                <c:pt idx="1">
                  <c:v>26987</c:v>
                </c:pt>
                <c:pt idx="2">
                  <c:v>27474</c:v>
                </c:pt>
                <c:pt idx="3">
                  <c:v>28618</c:v>
                </c:pt>
                <c:pt idx="4">
                  <c:v>30257</c:v>
                </c:pt>
              </c:numCache>
            </c:numRef>
          </c:val>
        </c:ser>
        <c:ser>
          <c:idx val="1"/>
          <c:order val="1"/>
          <c:tx>
            <c:strRef>
              <c:f>Hoja1!$C$1</c:f>
              <c:strCache>
                <c:ptCount val="1"/>
                <c:pt idx="0">
                  <c:v>Misiles y control de tiro (MFC)</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11693</c:v>
                </c:pt>
                <c:pt idx="1">
                  <c:v>11317</c:v>
                </c:pt>
                <c:pt idx="2">
                  <c:v>11253</c:v>
                </c:pt>
                <c:pt idx="3">
                  <c:v>12682</c:v>
                </c:pt>
                <c:pt idx="4">
                  <c:v>14450</c:v>
                </c:pt>
              </c:numCache>
            </c:numRef>
          </c:val>
        </c:ser>
        <c:ser>
          <c:idx val="2"/>
          <c:order val="2"/>
          <c:tx>
            <c:strRef>
              <c:f>Hoja1!$D$1</c:f>
              <c:strCache>
                <c:ptCount val="1"/>
                <c:pt idx="0">
                  <c:v>Sistemas rotatorios y de misión (RMS)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16789</c:v>
                </c:pt>
                <c:pt idx="1">
                  <c:v>16148</c:v>
                </c:pt>
                <c:pt idx="2">
                  <c:v>16239</c:v>
                </c:pt>
                <c:pt idx="3">
                  <c:v>17264</c:v>
                </c:pt>
                <c:pt idx="4">
                  <c:v>17312</c:v>
                </c:pt>
              </c:numCache>
            </c:numRef>
          </c:val>
        </c:ser>
        <c:ser>
          <c:idx val="3"/>
          <c:order val="3"/>
          <c:tx>
            <c:strRef>
              <c:f>Hoja1!$E$1</c:f>
              <c:strCache>
                <c:ptCount val="1"/>
                <c:pt idx="0">
                  <c:v>Espacio</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11814</c:v>
                </c:pt>
                <c:pt idx="1">
                  <c:v>11532</c:v>
                </c:pt>
                <c:pt idx="2">
                  <c:v>12605</c:v>
                </c:pt>
                <c:pt idx="3">
                  <c:v>12479</c:v>
                </c:pt>
                <c:pt idx="4">
                  <c:v>13029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Aeronáutica</c:v>
                </c:pt>
                <c:pt idx="1">
                  <c:v>Misiles y control de tiro (MFC)</c:v>
                </c:pt>
                <c:pt idx="2">
                  <c:v>Sistemas rotatorios y de misión (RMS)</c:v>
                </c:pt>
                <c:pt idx="3">
                  <c:v>Espacio</c:v>
                </c:pt>
              </c:strCache>
            </c:strRef>
          </c:cat>
          <c:val>
            <c:numRef>
              <c:f>Hoja1!$B$2:$B$5</c:f>
              <c:numCache>
                <c:formatCode>General</c:formatCode>
                <c:ptCount val="4"/>
                <c:pt idx="0">
                  <c:v>40.3</c:v>
                </c:pt>
                <c:pt idx="1">
                  <c:v>19.3</c:v>
                </c:pt>
                <c:pt idx="2">
                  <c:v>23.1</c:v>
                </c:pt>
                <c:pt idx="3">
                  <c:v>17.4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Gobierno de EE. UU. (63 % Departamento de Guerra)</c:v>
                </c:pt>
                <c:pt idx="1">
                  <c:v>Clientes internacionales (FMS y venta directa)</c:v>
                </c:pt>
              </c:strCache>
            </c:strRef>
          </c:cat>
          <c:val>
            <c:numRef>
              <c:f>Hoja1!$B$2:$B$3</c:f>
              <c:numCache>
                <c:formatCode>0"%"</c:formatCode>
                <c:ptCount val="2"/>
                <c:pt idx="0">
                  <c:v>72</c:v>
                </c:pt>
                <c:pt idx="1">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militar mundial, SIPRI))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2718000</c:v>
                </c:pt>
                <c:pt idx="1">
                  <c:v>2887000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5</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Lockheed Martin</c:v>
                </c:pt>
                <c:pt idx="1">
                  <c:v>RTX</c:v>
                </c:pt>
                <c:pt idx="2">
                  <c:v>General Dynamics</c:v>
                </c:pt>
                <c:pt idx="3">
                  <c:v>Northrop Grumman</c:v>
                </c:pt>
                <c:pt idx="4">
                  <c:v>L3Harris</c:v>
                </c:pt>
                <c:pt idx="5">
                  <c:v>Boeing Defense, Space &amp; Security</c:v>
                </c:pt>
                <c:pt idx="6">
                  <c:v>Anduril Industries</c:v>
                </c:pt>
              </c:strCache>
            </c:strRef>
          </c:cat>
          <c:val>
            <c:numRef>
              <c:f>Hoja1!$B$2:$B$8</c:f>
              <c:numCache>
                <c:formatCode>0.0"%"</c:formatCode>
                <c:ptCount val="7"/>
                <c:pt idx="0">
                  <c:v>12.5</c:v>
                </c:pt>
                <c:pt idx="1">
                  <c:v>12.3</c:v>
                </c:pt>
                <c:pt idx="2">
                  <c:v>10.4</c:v>
                </c:pt>
                <c:pt idx="3">
                  <c:v>13.4</c:v>
                </c:pt>
                <c:pt idx="4">
                  <c:v>12.9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5</c:v>
                </c:pt>
                <c:pt idx="2">
                  <c:v>4</c:v>
                </c:pt>
                <c:pt idx="3">
                  <c:v>2</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Hoja1!$B$2:$B$17</c:f>
              <c:numCache>
                <c:formatCode>#,##0</c:formatCode>
                <c:ptCount val="16"/>
                <c:pt idx="0">
                  <c:v>53762</c:v>
                </c:pt>
                <c:pt idx="1">
                  <c:v>59812</c:v>
                </c:pt>
                <c:pt idx="2">
                  <c:v>65398</c:v>
                </c:pt>
                <c:pt idx="3">
                  <c:v>67044</c:v>
                </c:pt>
                <c:pt idx="4">
                  <c:v>65984</c:v>
                </c:pt>
                <c:pt idx="5">
                  <c:v>67571</c:v>
                </c:pt>
                <c:pt idx="6">
                  <c:v>71043</c:v>
                </c:pt>
                <c:pt idx="7">
                  <c:v>75048</c:v>
                </c:pt>
                <c:pt idx="8">
                  <c:v>80752</c:v>
                </c:pt>
                <c:pt idx="9">
                  <c:v>85193</c:v>
                </c:pt>
                <c:pt idx="10">
                  <c:v>89879</c:v>
                </c:pt>
                <c:pt idx="11">
                  <c:v>94373</c:v>
                </c:pt>
                <c:pt idx="12">
                  <c:v>98619</c:v>
                </c:pt>
                <c:pt idx="13">
                  <c:v>102564</c:v>
                </c:pt>
                <c:pt idx="14">
                  <c:v>106154</c:v>
                </c:pt>
                <c:pt idx="15">
                  <c:v>109338</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2018</c:v>
                </c:pt>
                <c:pt idx="1">
                  <c:v>2019</c:v>
                </c:pt>
                <c:pt idx="2">
                  <c:v>2020</c:v>
                </c:pt>
                <c:pt idx="3">
                  <c:v>2021</c:v>
                </c:pt>
                <c:pt idx="4">
                  <c:v>2022</c:v>
                </c:pt>
                <c:pt idx="5">
                  <c:v>2023</c:v>
                </c:pt>
                <c:pt idx="6">
                  <c:v>2024</c:v>
                </c:pt>
                <c:pt idx="7">
                  <c:v>2025</c:v>
                </c:pt>
                <c:pt idx="8">
                  <c:v>2026e</c:v>
                </c:pt>
                <c:pt idx="9">
                  <c:v>2027e</c:v>
                </c:pt>
                <c:pt idx="10">
                  <c:v>2028e</c:v>
                </c:pt>
                <c:pt idx="11">
                  <c:v>2029e</c:v>
                </c:pt>
                <c:pt idx="12">
                  <c:v>2030e</c:v>
                </c:pt>
                <c:pt idx="13">
                  <c:v>2031e</c:v>
                </c:pt>
                <c:pt idx="14">
                  <c:v>2032e</c:v>
                </c:pt>
                <c:pt idx="15">
                  <c:v>2033e</c:v>
                </c:pt>
              </c:strCache>
            </c:strRef>
          </c:cat>
          <c:val>
            <c:numRef>
              <c:f>Hoja1!$C$2:$C$17</c:f>
              <c:numCache>
                <c:formatCode>#,##0</c:formatCode>
                <c:ptCount val="16"/>
                <c:pt idx="0">
                  <c:v>8495</c:v>
                </c:pt>
                <c:pt idx="1">
                  <c:v>9451</c:v>
                </c:pt>
                <c:pt idx="2">
                  <c:v>9663</c:v>
                </c:pt>
                <c:pt idx="3">
                  <c:v>10487</c:v>
                </c:pt>
                <c:pt idx="4">
                  <c:v>9752</c:v>
                </c:pt>
                <c:pt idx="5">
                  <c:v>9937</c:v>
                </c:pt>
                <c:pt idx="6">
                  <c:v>10624</c:v>
                </c:pt>
                <c:pt idx="7">
                  <c:v>11099</c:v>
                </c:pt>
                <c:pt idx="8">
                  <c:v>11224</c:v>
                </c:pt>
                <c:pt idx="9">
                  <c:v>11842</c:v>
                </c:pt>
                <c:pt idx="10">
                  <c:v>12493</c:v>
                </c:pt>
                <c:pt idx="11">
                  <c:v>13023</c:v>
                </c:pt>
                <c:pt idx="12">
                  <c:v>13609</c:v>
                </c:pt>
                <c:pt idx="13">
                  <c:v>14154</c:v>
                </c:pt>
                <c:pt idx="14">
                  <c:v>14543</c:v>
                </c:pt>
                <c:pt idx="15">
                  <c:v>14979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13.5</c:v>
                </c:pt>
                <c:pt idx="1">
                  <c:v>14</c:v>
                </c:pt>
                <c:pt idx="2">
                  <c:v>13.2</c:v>
                </c:pt>
                <c:pt idx="3">
                  <c:v>13.5</c:v>
                </c:pt>
                <c:pt idx="4">
                  <c:v>12.6</c:v>
                </c:pt>
                <c:pt idx="5">
                  <c:v>12.5</c:v>
                </c:pt>
                <c:pt idx="6">
                  <c:v>9.8</c:v>
                </c:pt>
                <c:pt idx="7">
                  <c:v>10.2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15.8</c:v>
                </c:pt>
                <c:pt idx="1">
                  <c:v>15.8</c:v>
                </c:pt>
                <c:pt idx="2">
                  <c:v>14.8</c:v>
                </c:pt>
                <c:pt idx="3">
                  <c:v>15.6</c:v>
                </c:pt>
                <c:pt idx="4">
                  <c:v>14.8</c:v>
                </c:pt>
                <c:pt idx="5">
                  <c:v>14.7</c:v>
                </c:pt>
                <c:pt idx="6">
                  <c:v>15</c:v>
                </c:pt>
                <c:pt idx="7">
                  <c:v>14.8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13.6</c:v>
                </c:pt>
                <c:pt idx="1">
                  <c:v>14.3</c:v>
                </c:pt>
                <c:pt idx="2">
                  <c:v>13.2</c:v>
                </c:pt>
                <c:pt idx="3">
                  <c:v>13.6</c:v>
                </c:pt>
                <c:pt idx="4">
                  <c:v>12.7</c:v>
                </c:pt>
                <c:pt idx="5">
                  <c:v>12.6</c:v>
                </c:pt>
                <c:pt idx="6">
                  <c:v>12.8</c:v>
                </c:pt>
                <c:pt idx="7">
                  <c:v>12.5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Hoja1!$E$2:$E$9</c:f>
              <c:numCache>
                <c:formatCode>0"%"</c:formatCode>
                <c:ptCount val="8"/>
                <c:pt idx="0">
                  <c:v>9.4</c:v>
                </c:pt>
                <c:pt idx="1">
                  <c:v>10.4</c:v>
                </c:pt>
                <c:pt idx="2">
                  <c:v>10.4</c:v>
                </c:pt>
                <c:pt idx="3">
                  <c:v>9.4</c:v>
                </c:pt>
                <c:pt idx="4">
                  <c:v>8.7</c:v>
                </c:pt>
                <c:pt idx="5">
                  <c:v>10.2</c:v>
                </c:pt>
                <c:pt idx="6">
                  <c:v>7.5</c:v>
                </c:pt>
                <c:pt idx="7">
                  <c:v>6.7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-1.3</c:v>
                </c:pt>
                <c:pt idx="2">
                  <c:v>4.5</c:v>
                </c:pt>
                <c:pt idx="3">
                  <c:v>0.2</c:v>
                </c:pt>
                <c:pt idx="4">
                  <c:v>8.8</c:v>
                </c:pt>
                <c:pt idx="5">
                  <c:v>9.1</c:v>
                </c:pt>
                <c:pt idx="6">
                  <c:v>0.3</c:v>
                </c:pt>
                <c:pt idx="7">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17</c:v>
                </c:pt>
                <c:pt idx="1">
                  <c:v>14</c:v>
                </c:pt>
                <c:pt idx="2">
                  <c:v>11</c:v>
                </c:pt>
                <c:pt idx="3">
                  <c:v>11</c:v>
                </c:pt>
                <c:pt idx="4">
                  <c:v>14</c:v>
                </c:pt>
                <c:pt idx="5">
                  <c:v>12</c:v>
                </c:pt>
                <c:pt idx="6">
                  <c:v>12</c:v>
                </c:pt>
                <c:pt idx="7">
                  <c:v>19</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24</c:v>
                </c:pt>
                <c:pt idx="1">
                  <c:v>26</c:v>
                </c:pt>
                <c:pt idx="2">
                  <c:v>23</c:v>
                </c:pt>
                <c:pt idx="3">
                  <c:v>19</c:v>
                </c:pt>
                <c:pt idx="4">
                  <c:v>20</c:v>
                </c:pt>
                <c:pt idx="5">
                  <c:v>19</c:v>
                </c:pt>
                <c:pt idx="6">
                  <c:v>20</c:v>
                </c:pt>
                <c:pt idx="7">
                  <c:v>19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19</c:v>
                </c:pt>
                <c:pt idx="1">
                  <c:v>9</c:v>
                </c:pt>
                <c:pt idx="2">
                  <c:v>6</c:v>
                </c:pt>
                <c:pt idx="3">
                  <c:v>5</c:v>
                </c:pt>
                <c:pt idx="4">
                  <c:v>13</c:v>
                </c:pt>
                <c:pt idx="5">
                  <c:v>14</c:v>
                </c:pt>
                <c:pt idx="6">
                  <c:v>13</c:v>
                </c:pt>
                <c:pt idx="7">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1860</c:v>
                </c:pt>
                <c:pt idx="1">
                  <c:v>5827</c:v>
                </c:pt>
                <c:pt idx="2">
                  <c:v>6417</c:v>
                </c:pt>
                <c:pt idx="3">
                  <c:v>7699</c:v>
                </c:pt>
                <c:pt idx="4">
                  <c:v>6132</c:v>
                </c:pt>
                <c:pt idx="5">
                  <c:v>6229</c:v>
                </c:pt>
                <c:pt idx="6">
                  <c:v>5287</c:v>
                </c:pt>
                <c:pt idx="7">
                  <c:v>6908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5046</c:v>
                </c:pt>
                <c:pt idx="1">
                  <c:v>6230</c:v>
                </c:pt>
                <c:pt idx="2">
                  <c:v>6833</c:v>
                </c:pt>
                <c:pt idx="3">
                  <c:v>6315</c:v>
                </c:pt>
                <c:pt idx="4">
                  <c:v>5732</c:v>
                </c:pt>
                <c:pt idx="5">
                  <c:v>6920</c:v>
                </c:pt>
                <c:pt idx="6">
                  <c:v>5336</c:v>
                </c:pt>
                <c:pt idx="7">
                  <c:v>5017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42.9</c:v>
                </c:pt>
                <c:pt idx="1">
                  <c:v>50.5</c:v>
                </c:pt>
                <c:pt idx="2">
                  <c:v>49.3</c:v>
                </c:pt>
                <c:pt idx="3">
                  <c:v>44.8</c:v>
                </c:pt>
                <c:pt idx="4">
                  <c:v>34.7</c:v>
                </c:pt>
                <c:pt idx="5">
                  <c:v>32.2</c:v>
                </c:pt>
                <c:pt idx="6">
                  <c:v>33.1</c:v>
                </c:pt>
                <c:pt idx="7">
                  <c:v>32.9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8.6</c:v>
                </c:pt>
                <c:pt idx="1">
                  <c:v>8.6</c:v>
                </c:pt>
                <c:pt idx="2">
                  <c:v>8.6</c:v>
                </c:pt>
                <c:pt idx="3">
                  <c:v>8.6</c:v>
                </c:pt>
                <c:pt idx="4">
                  <c:v>8.6</c:v>
                </c:pt>
                <c:pt idx="5">
                  <c:v>8.6</c:v>
                </c:pt>
                <c:pt idx="6">
                  <c:v>8.6</c:v>
                </c:pt>
                <c:pt idx="7">
                  <c:v>8.6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362</c:v>
                </c:pt>
                <c:pt idx="1">
                  <c:v>275.6</c:v>
                </c:pt>
                <c:pt idx="2">
                  <c:v>149.5</c:v>
                </c:pt>
                <c:pt idx="3">
                  <c:v>74.4</c:v>
                </c:pt>
                <c:pt idx="4">
                  <c:v>56.7</c:v>
                </c:pt>
                <c:pt idx="5">
                  <c:v>86</c:v>
                </c:pt>
                <c:pt idx="6">
                  <c:v>81</c:v>
                </c:pt>
                <c:pt idx="7">
                  <c:v>76.9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1.57</c:v>
                </c:pt>
                <c:pt idx="1">
                  <c:v>1.18</c:v>
                </c:pt>
                <c:pt idx="2">
                  <c:v>0.93</c:v>
                </c:pt>
                <c:pt idx="3">
                  <c:v>0.77</c:v>
                </c:pt>
                <c:pt idx="4">
                  <c:v>1.33</c:v>
                </c:pt>
                <c:pt idx="5">
                  <c:v>1.61</c:v>
                </c:pt>
                <c:pt idx="6">
                  <c:v>1.67</c:v>
                </c:pt>
                <c:pt idx="7">
                  <c:v>1.58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0</c:v>
                </c:pt>
                <c:pt idx="1">
                  <c:v>0</c:v>
                </c:pt>
                <c:pt idx="2">
                  <c:v>282</c:v>
                </c:pt>
                <c:pt idx="3">
                  <c:v>0</c:v>
                </c:pt>
                <c:pt idx="4">
                  <c:v>0</c:v>
                </c:pt>
                <c:pt idx="5">
                  <c:v>0</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2347</c:v>
                </c:pt>
                <c:pt idx="1">
                  <c:v>2556</c:v>
                </c:pt>
                <c:pt idx="2">
                  <c:v>2764</c:v>
                </c:pt>
                <c:pt idx="3">
                  <c:v>2940</c:v>
                </c:pt>
                <c:pt idx="4">
                  <c:v>3016</c:v>
                </c:pt>
                <c:pt idx="5">
                  <c:v>3056</c:v>
                </c:pt>
                <c:pt idx="6">
                  <c:v>3059</c:v>
                </c:pt>
                <c:pt idx="7">
                  <c:v>3131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Hoja1!$D$2:$D$9</c:f>
              <c:numCache>
                <c:formatCode>#,##0</c:formatCode>
                <c:ptCount val="8"/>
                <c:pt idx="0">
                  <c:v>1492</c:v>
                </c:pt>
                <c:pt idx="1">
                  <c:v>1200</c:v>
                </c:pt>
                <c:pt idx="2">
                  <c:v>1100</c:v>
                </c:pt>
                <c:pt idx="3">
                  <c:v>4087</c:v>
                </c:pt>
                <c:pt idx="4">
                  <c:v>7900</c:v>
                </c:pt>
                <c:pt idx="5">
                  <c:v>6000</c:v>
                </c:pt>
                <c:pt idx="6">
                  <c:v>3700</c:v>
                </c:pt>
                <c:pt idx="7">
                  <c:v>3000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State Street Corporation</c:v>
                </c:pt>
                <c:pt idx="1">
                  <c:v>The Vanguard Group</c:v>
                </c:pt>
                <c:pt idx="2">
                  <c:v>BlackRock</c:v>
                </c:pt>
              </c:strCache>
            </c:strRef>
          </c:cat>
          <c:val>
            <c:numRef>
              <c:f>Hoja1!$B$2:$B$4</c:f>
              <c:numCache>
                <c:formatCode>0.0"%"</c:formatCode>
                <c:ptCount val="3"/>
                <c:pt idx="0">
                  <c:v>14.9</c:v>
                </c:pt>
                <c:pt idx="1">
                  <c:v>8.9</c:v>
                </c:pt>
                <c:pt idx="2">
                  <c:v>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-16.3</c:v>
                </c:pt>
                <c:pt idx="1">
                  <c:v>52.5</c:v>
                </c:pt>
                <c:pt idx="2">
                  <c:v>-6.5</c:v>
                </c:pt>
                <c:pt idx="3">
                  <c:v>3.2</c:v>
                </c:pt>
                <c:pt idx="4">
                  <c:v>40.5</c:v>
                </c:pt>
                <c:pt idx="5">
                  <c:v>-4.3</c:v>
                </c:pt>
                <c:pt idx="6">
                  <c:v>10</c:v>
                </c:pt>
                <c:pt idx="7">
                  <c:v>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-4.6</c:v>
                </c:pt>
                <c:pt idx="1">
                  <c:v>31.2</c:v>
                </c:pt>
                <c:pt idx="2">
                  <c:v>18.3</c:v>
                </c:pt>
                <c:pt idx="3">
                  <c:v>28.7</c:v>
                </c:pt>
                <c:pt idx="4">
                  <c:v>-18.2</c:v>
                </c:pt>
                <c:pt idx="5">
                  <c:v>26.2</c:v>
                </c:pt>
                <c:pt idx="6">
                  <c:v>24.9</c:v>
                </c:pt>
                <c:pt idx="7">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0">
                  <c:v>10.4</c:v>
                </c:pt>
                <c:pt idx="1">
                  <c:v>12.9</c:v>
                </c:pt>
                <c:pt idx="2">
                  <c:v>11.3</c:v>
                </c:pt>
                <c:pt idx="3">
                  <c:v>10.2</c:v>
                </c:pt>
                <c:pt idx="4">
                  <c:v>14.5</c:v>
                </c:pt>
                <c:pt idx="5">
                  <c:v>13.1</c:v>
                </c:pt>
                <c:pt idx="6">
                  <c:v>12.6</c:v>
                </c:pt>
                <c:pt idx="7">
                  <c:v>11.8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12.2</c:v>
                </c:pt>
                <c:pt idx="1">
                  <c:v>12.2</c:v>
                </c:pt>
                <c:pt idx="2">
                  <c:v>12.2</c:v>
                </c:pt>
                <c:pt idx="3">
                  <c:v>12.2</c:v>
                </c:pt>
                <c:pt idx="4">
                  <c:v>12.2</c:v>
                </c:pt>
                <c:pt idx="5">
                  <c:v>12.2</c:v>
                </c:pt>
                <c:pt idx="6">
                  <c:v>12.2</c:v>
                </c:pt>
                <c:pt idx="7">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Lockheed Martin</c:v>
                </c:pt>
                <c:pt idx="1">
                  <c:v>Northrop Grumman</c:v>
                </c:pt>
                <c:pt idx="2">
                  <c:v>General Dynamics</c:v>
                </c:pt>
                <c:pt idx="3">
                  <c:v>RTX</c:v>
                </c:pt>
                <c:pt idx="4">
                  <c:v>L3Harris</c:v>
                </c:pt>
                <c:pt idx="5">
                  <c:v>BAE Systems</c:v>
                </c:pt>
                <c:pt idx="6">
                  <c:v>Rheinmetall</c:v>
                </c:pt>
                <c:pt idx="7">
                  <c:v>Leonardo</c:v>
                </c:pt>
              </c:strCache>
            </c:strRef>
          </c:cat>
          <c:val>
            <c:numRef>
              <c:f>Hoja1!$B$2:$B$9</c:f>
              <c:numCache>
                <c:formatCode>0.0"x"</c:formatCode>
                <c:ptCount val="8"/>
                <c:pt idx="0">
                  <c:v>11.8</c:v>
                </c:pt>
                <c:pt idx="5">
                  <c:v>11.8</c:v>
                </c:pt>
                <c:pt idx="6">
                  <c:v>12</c:v>
                </c:pt>
                <c:pt idx="7">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Lockheed Martin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7.5</c:v>
                </c:pt>
              </c:numCache>
            </c:numRef>
          </c:xVal>
          <c:yVal>
            <c:numRef>
              <c:f>Hoja1!$C$2</c:f>
              <c:numCache>
                <c:formatCode>0.0"x"</c:formatCode>
                <c:ptCount val="1"/>
                <c:pt idx="0">
                  <c:v>11.8</c:v>
                </c:pt>
              </c:numCache>
            </c:numRef>
          </c:yVal>
          <c:smooth val="0"/>
        </c:ser>
        <c:ser>
          <c:idx val="1"/>
          <c:order val="1"/>
          <c:tx>
            <c:strRef>
              <c:f>Hoja1!$A$3</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16.1</c:v>
                </c:pt>
              </c:numCache>
            </c:numRef>
          </c:xVal>
          <c:yVal>
            <c:numRef>
              <c:f>Hoja1!$C$3</c:f>
              <c:numCache>
                <c:formatCode>0.0"x"</c:formatCode>
                <c:ptCount val="1"/>
                <c:pt idx="0">
                  <c:v>11.8</c:v>
                </c:pt>
              </c:numCache>
            </c:numRef>
          </c:yVal>
          <c:smooth val="0"/>
        </c:ser>
        <c:ser>
          <c:idx val="2"/>
          <c:order val="2"/>
          <c:tx>
            <c:strRef>
              <c:f>Hoja1!$A$4</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39.9</c:v>
                </c:pt>
              </c:numCache>
            </c:numRef>
          </c:xVal>
          <c:yVal>
            <c:numRef>
              <c:f>Hoja1!$C$4</c:f>
              <c:numCache>
                <c:formatCode>0.0"x"</c:formatCode>
                <c:ptCount val="1"/>
                <c:pt idx="0">
                  <c:v>12</c:v>
                </c:pt>
              </c:numCache>
            </c:numRef>
          </c:yVal>
          <c:smooth val="0"/>
        </c:ser>
        <c:ser>
          <c:idx val="3"/>
          <c:order val="3"/>
          <c:tx>
            <c:strRef>
              <c:f>Hoja1!$A$5</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13.6</c:v>
                </c:pt>
              </c:numCache>
            </c:numRef>
          </c:xVal>
          <c:yVal>
            <c:numRef>
              <c:f>Hoja1!$C$5</c:f>
              <c:numCache>
                <c:formatCode>0.0"x"</c:formatCode>
                <c:ptCount val="1"/>
                <c:pt idx="0">
                  <c:v>10</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Ultra Maritime (guerra antisubmarina, EE. UU./Reino Unido)</c:v>
                </c:pt>
                <c:pt idx="1">
                  <c:v>Ball Aerospace (sistemas espaciales y de defensa, EE. UU.)</c:v>
                </c:pt>
                <c:pt idx="2">
                  <c:v>Aerojet Rocketdyne (motores de misiles, EE. UU.)</c:v>
                </c:pt>
                <c:pt idx="3">
                  <c:v>Meggitt (componentes aeroespaciales y de defensa, Reino Unido)</c:v>
                </c:pt>
                <c:pt idx="4">
                  <c:v>ESG Elektroniksystem- und Logistik (electrónica de defensa, Alemania)</c:v>
                </c:pt>
                <c:pt idx="5">
                  <c:v>Kaman (componentes aeroespaciales y de defensa, EE. UU.)</c:v>
                </c:pt>
              </c:strCache>
            </c:strRef>
          </c:cat>
          <c:val>
            <c:numRef>
              <c:f>Hoja1!$B$2:$B$7</c:f>
              <c:numCache>
                <c:formatCode>0.0"x"</c:formatCode>
                <c:ptCount val="6"/>
                <c:pt idx="1">
                  <c:v>19.6</c:v>
                </c:pt>
                <c:pt idx="2">
                  <c:v>16.5</c:v>
                </c:pt>
                <c:pt idx="3">
                  <c:v>16.3</c:v>
                </c:pt>
                <c:pt idx="4">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6772</c:v>
                </c:pt>
                <c:pt idx="1">
                  <c:v>7244</c:v>
                </c:pt>
                <c:pt idx="2">
                  <c:v>7658</c:v>
                </c:pt>
                <c:pt idx="3">
                  <c:v>8145</c:v>
                </c:pt>
                <c:pt idx="4">
                  <c:v>8605</c:v>
                </c:pt>
                <c:pt idx="5">
                  <c:v>9105</c:v>
                </c:pt>
                <c:pt idx="6">
                  <c:v>9374</c:v>
                </c:pt>
                <c:pt idx="7">
                  <c:v>9693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45248</c:v>
                </c:pt>
                <c:pt idx="1">
                  <c:v>88862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522,23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339.51</c:v>
                </c:pt>
                <c:pt idx="1">
                  <c:v>497.08</c:v>
                </c:pt>
                <c:pt idx="2">
                  <c:v>570.03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522,23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(437,25 – 692,00)</c:v>
                </c:pt>
                <c:pt idx="1">
                  <c:v>Precio objetivo de los analistas (486,00 – 756,00)</c:v>
                </c:pt>
                <c:pt idx="2">
                  <c:v>Comparables: EV/EBITDA NTM (476,12 – 527,44)</c:v>
                </c:pt>
                <c:pt idx="3">
                  <c:v>Comparables: PER NTM (577,19 – 678,76)</c:v>
                </c:pt>
                <c:pt idx="4">
                  <c:v>Transacciones precedentes (EV/EBITDA) (654,50 – 727,22)</c:v>
                </c:pt>
                <c:pt idx="5">
                  <c:v>DCF (WACC y g ± 0,5) (427,87 – 592,79)</c:v>
                </c:pt>
                <c:pt idx="6">
                  <c:v>Escenarios (bajista – alcista) (339,51 – 570,03)</c:v>
                </c:pt>
                <c:pt idx="7">
                  <c:v>DCF con la prima implícita del mercado (4,2 %)</c:v>
                </c:pt>
                <c:pt idx="8">
                  <c:v>Precio actual (522,23)</c:v>
                </c:pt>
              </c:strCache>
            </c:strRef>
          </c:cat>
          <c:val>
            <c:numRef>
              <c:f>Hoja1!$B$2:$B$10</c:f>
              <c:numCache>
                <c:formatCode>#,##0</c:formatCode>
                <c:ptCount val="9"/>
                <c:pt idx="0">
                  <c:v>437.25</c:v>
                </c:pt>
                <c:pt idx="1">
                  <c:v>486</c:v>
                </c:pt>
                <c:pt idx="2">
                  <c:v>476.12</c:v>
                </c:pt>
                <c:pt idx="3">
                  <c:v>577.19</c:v>
                </c:pt>
                <c:pt idx="4">
                  <c:v>654.5</c:v>
                </c:pt>
                <c:pt idx="5">
                  <c:v>427.87</c:v>
                </c:pt>
                <c:pt idx="6">
                  <c:v>339.51</c:v>
                </c:pt>
                <c:pt idx="7">
                  <c:v>533.51</c:v>
                </c:pt>
                <c:pt idx="8">
                  <c:v>519.62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(437,25 – 692,00)</c:v>
                </c:pt>
                <c:pt idx="1">
                  <c:v>Precio objetivo de los analistas (486,00 – 756,00)</c:v>
                </c:pt>
                <c:pt idx="2">
                  <c:v>Comparables: EV/EBITDA NTM (476,12 – 527,44)</c:v>
                </c:pt>
                <c:pt idx="3">
                  <c:v>Comparables: PER NTM (577,19 – 678,76)</c:v>
                </c:pt>
                <c:pt idx="4">
                  <c:v>Transacciones precedentes (EV/EBITDA) (654,50 – 727,22)</c:v>
                </c:pt>
                <c:pt idx="5">
                  <c:v>DCF (WACC y g ± 0,5) (427,87 – 592,79)</c:v>
                </c:pt>
                <c:pt idx="6">
                  <c:v>Escenarios (bajista – alcista) (339,51 – 570,03)</c:v>
                </c:pt>
                <c:pt idx="7">
                  <c:v>DCF con la prima implícita del mercado (4,2 %)</c:v>
                </c:pt>
                <c:pt idx="8">
                  <c:v>Precio actual (522,23)</c:v>
                </c:pt>
              </c:strCache>
            </c:strRef>
          </c:cat>
          <c:val>
            <c:numRef>
              <c:f>Hoja1!$C$2:$C$10</c:f>
              <c:numCache>
                <c:formatCode>#,##0</c:formatCode>
                <c:ptCount val="9"/>
                <c:pt idx="0">
                  <c:v>254.75</c:v>
                </c:pt>
                <c:pt idx="1">
                  <c:v>270</c:v>
                </c:pt>
                <c:pt idx="2">
                  <c:v>51.32000000000005</c:v>
                </c:pt>
                <c:pt idx="3">
                  <c:v>101.56999999999994</c:v>
                </c:pt>
                <c:pt idx="4">
                  <c:v>72.72000000000003</c:v>
                </c:pt>
                <c:pt idx="5">
                  <c:v>164.91999999999996</c:v>
                </c:pt>
                <c:pt idx="6">
                  <c:v>230.51999999999998</c:v>
                </c:pt>
                <c:pt idx="7">
                  <c:v>129.07000000000005</c:v>
                </c:pt>
                <c:pt idx="8">
                  <c:v>5.220000000000027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2026-10-15T07:41:32.398Z</dcterms:created>
  <dcterms:modified xsi:type="dcterms:W3CDTF">2026-10-15T07:41:32.398Z</dcterms:modified>
</cp:coreProperties>
</file>

<file path=docProps/custom.xml><?xml version="1.0" encoding="utf-8"?>
<Properties xmlns="http://schemas.openxmlformats.org/officeDocument/2006/custom-properties" xmlns:vt="http://schemas.openxmlformats.org/officeDocument/2006/docPropsVTypes"/>
</file>