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Electrical Industries Company</w:t>
      </w:r>
    </w:p>
    <w:p>
      <w:pPr>
        <w:spacing w:after="60"/>
        <w:rPr>
          <w:color w:val="52514E"/>
          <w:sz w:val="22"/>
          <w:szCs w:val="22"/>
        </w:rPr>
      </w:pPr>
      <w:r>
        <w:rPr>
          <w:color w:val="52514E"/>
          <w:sz w:val="22"/>
          <w:szCs w:val="22"/>
        </w:rPr>
        <w:t xml:space="preserve">1303.SR · Saudi Exchange (Tadawul), mercado principal; cotiza de domingo a jueves · ISIN SA13LG50KBH9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26 oct 2026</w:t>
      </w:r>
      <w:r>
        <w:rPr>
          <w:color w:val="52514E"/>
          <w:sz w:val="18"/>
          <w:szCs w:val="18"/>
        </w:rPr>
        <w:t xml:space="preserve"> · Divisa: </w:t>
      </w:r>
      <w:r>
        <w:rPr>
          <w:b/>
          <w:bCs/>
          <w:color w:val="52514E"/>
          <w:sz w:val="18"/>
          <w:szCs w:val="18"/>
        </w:rPr>
        <w:t xml:space="preserve">SAR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10,17 SAR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9,26 SAR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-6,5 % (base -3,2 %)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7,85 SAR · mercado 8,69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11.409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11,0x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Electrical Industries Company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1303.SR / SA13LG50KBH9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Saudi Exchange (Tadawul), mercado principal; cotiza de domingo a jueves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TASI (rentabilidades con el ETF iShares MSCI Saudi Arabia, KSA)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Equipos eléctricos (transformadores y aparamenta)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Dammam · 2005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https://www.eic.com.sa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10,17 (25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9,98 – 19,90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11.409 M SAR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11.638 M SAR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44 M SAR/día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mar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9,26 SAR</w:t>
      </w:r>
      <w:r>
        <w:t xml:space="preserve"> frente a 10,17 · Rentabilidad a 12 meses </w:t>
      </w:r>
      <w:r>
        <w:rPr>
          <w:b/>
          <w:bCs/>
        </w:rPr>
        <w:t xml:space="preserve">-6,5 % (base -3,2 %)</w:t>
      </w:r>
      <w:r>
        <w:t xml:space="preserve"> · Valor intrínseco 7,85 SAR · con la prima implícita del mercado: 8,69 (-14,6 %) · Alcista / bajista -27,9 % / -65,6 %</w:t>
      </w:r>
    </w:p>
    <w:p>
      <w:pPr>
        <w:spacing w:after="100"/>
      </w:pPr>
      <w:r>
        <w:rPr>
          <w:b/>
        </w:rPr>
        <w:t xml:space="preserve">La recomendación y por qué.</w:t>
      </w:r>
      <w:r>
        <w:t xml:space="preserve"> Mantener, con convicción baja. El objetivo a 12 meses es de 9,26 SAR (ponderado) y 9,59 SAR en el caso base, frente a un precio de 10,17 SAR (cierre del 25-oct): la rentabilidad a 12 meses, con el dividendo ordinario, es del -6,5 % ponderada y del -3,2 % en el base, y la asimetría de 0,68. El valor intrínseco (7,85 SAR, -22,8 %) queda por debajo; el objetivo medio del único analista (15,50 SAR, anterior al 3T26) queda fuera de nuestro rango de valor y casi en el alcista a 12 meses [39]. La razón: tras el 3T26, el beneficio recurrente ya no crece y el precio aún pide un margen que no baje. Convicción baja, y no la media que sugiere el motor, porque faltan los estados de los 9M26 (balance y caja a septiembre) y el consenso no se ha revisado; la subiría ver el margen bruto del 4T26 (por encima del 36 %, guerra pasajera; por debajo del 33 %, ciclo).</w:t>
      </w:r>
    </w:p>
    <w:p>
      <w:pPr>
        <w:spacing w:after="100"/>
      </w:pPr>
      <w:r>
        <w:rPr>
          <w:b/>
        </w:rPr>
        <w:t xml:space="preserve">Qué ha cambiado desde el 19-oct.</w:t>
      </w:r>
      <w:r>
        <w:t xml:space="preserve"> El 3T26 (22-oct) decepcionó: ventas de 630,5 M (+12,6 %, −11 % frente al 2T26), margen bruto del 33,9 % (39,9 % un año antes) y beneficio de 177,7 M que, sin los 26,1 M del reembolso de la multa, cae un 6 %; ANB esperaba 219,5 M [15, 16, 18]. La empresa lo atribuye a entregas retrasadas y fletes y seguros más caros por la guerra [15]. Bajamos las ventas de 2026e de 2.870 a 2.700 M y el margen un año antes en la senda: el BPA de 2028e pasa de 0,80 a 0,69 SAR. El precio cayó de 11,99 a 10,17 SAR, casi lo mismo que el objetivo, así que la señal no cambia: Mantener, con la ponderada del −7,5 % al -6,5 %.</w:t>
      </w:r>
    </w:p>
    <w:p>
      <w:pPr>
        <w:spacing w:after="100"/>
      </w:pPr>
      <w:r>
        <w:rPr>
          <w:b/>
        </w:rPr>
        <w:t xml:space="preserve">El negocio.</w:t>
      </w:r>
      <w:r>
        <w:t xml:space="preserve"> EIC es el único fabricante saudí de transformadores de alta tensión y vende el 89,5 % en el Reino, con Saudi Electricity como primer cliente (16 %) [1, 11]. Su ROIC del 70,0 % en 2025 frente a un WACC del 12,23 % es de pico de ciclo: en 2021 era del 7 %. La sostenibilidad del crecimiento es «Sí»: crecer un 8,3 % anual pide una reinversión del 21 % del beneficio operativo y el plan de SEC lo cubre; el problema es el margen, no el volumen.</w:t>
      </w:r>
    </w:p>
    <w:p>
      <w:pPr>
        <w:spacing w:after="100"/>
      </w:pPr>
      <w:r>
        <w:rPr>
          <w:b/>
        </w:rPr>
        <w:t xml:space="preserve">Sector y ciclo.</w:t>
      </w:r>
      <w:r>
        <w:t xml:space="preserve"> Madurez del ciclo: la escasez mundial y el plan de SEC (220.000 M SAR en 2025-2030) llevaron el margen EBITDA del 13 % al 31 % en cuatro años; la cartera solo creció un 3 % en 2025, Voltamp construye fábrica en el Reino y la guerra encarece la logística del Golfo [1, 11, 23, 25, 31].</w:t>
      </w:r>
    </w:p>
    <w:p>
      <w:pPr>
        <w:spacing w:after="100"/>
      </w:pPr>
      <w:r>
        <w:rPr>
          <w:b/>
        </w:rPr>
        <w:t xml:space="preserve">Valoración.</w:t>
      </w:r>
      <w:r>
        <w:t xml:space="preserve"> DCF de 5,78 SAR con un WACC del 12,23 %; el precio descuenta un margen terminal del 39,5 %. A 12 meses, el PER actual (14,9 veces nuestro BPA de 2027e) supera su mediana adelantada (12,9); nuestro BPA de 2028e (0,69) queda un 37 % por debajo del consenso (1,09), que no ha incorporado el 3T26 y espera márgenes del 36 % [38].</w:t>
      </w:r>
    </w:p>
    <w:p>
      <w:pPr>
        <w:spacing w:after="100"/>
      </w:pPr>
      <w:r>
        <w:rPr>
          <w:b/>
        </w:rPr>
        <w:t xml:space="preserve">Riesgos y catalizadores.</w:t>
      </w:r>
      <w:r>
        <w:t xml:space="preserve"> Fin de la escasez (bajista de 3,50 SAR en el DCF y 2,34 SAR a 12 meses), guerra prolongada en el Golfo y capacidad nueva en el Reino. La fábrica de cubas (150 M SAR, 2029) no mueve el valor. Próximo hecho: resultados anuales y cartera hacia marzo de 2027. La caída de un mes (−31 %) tiene causa propia, ya incorporada (regla 13: no cambia).</w:t>
      </w:r>
    </w:p>
    <w:p>
      <w:pPr>
        <w:spacing w:after="100"/>
      </w:pPr>
      <w:r>
        <w:rPr>
          <w:b/>
        </w:rPr>
        <w:t xml:space="preserve">Qué cambiaría la decisión.</w:t>
      </w:r>
      <w:r>
        <w:t xml:space="preserve"> Compraríamos por debajo de 7,85 SAR y venderíamos por encima de 10,57 SAR. Mejoraría la tesis una cartera de fin de 2026 por encima de 4.000 M SAR con margen bruto por encima del 36 %; la empeoraría un 4T26 con margen bruto por debajo del 33 % o ventas por debajo de 650 M.</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9,26 SAR</w:t>
      </w:r>
      <w:r>
        <w:t xml:space="preserve"> (rentabilidad -6,5 % (base -3,2 %)) · Valor intrínseco: 7,85 SAR (-22,8 % sobre 10,17) · con la prima implícita del mercado: 8,69 (-14,6 %)</w:t>
      </w:r>
    </w:p>
    <w:p>
      <w:pPr>
        <w:spacing w:after="100"/>
      </w:pPr>
      <w:r>
        <w:t xml:space="preserve">EIC es el único fabricante saudí de transformadores de alta tensión y el primero del Reino en distribución, con Saudi Electricity y Aramco como clientes [11]. La escasez mundial de transformadores y el plan de inversión de SEC triplicaron sus ventas en 2021-2025 y llevaron el margen EBITDA del 13 % al 31 %; con deuda casi nula, reparte casi todo el beneficio [1].</w:t>
      </w:r>
    </w:p>
    <w:p>
      <w:pPr>
        <w:spacing w:after="100"/>
      </w:pPr>
      <w:r>
        <w:t xml:space="preserve">El precio (10,17 SAR) ha caído un 45 % desde abril, la última parte con un 3T26 flojo (margen bruto del 33,9 %, beneficio recurrente −6 %) [15, 16]. Aun así descuenta un margen terminal del 39,5 %: el DCF da 5,78 SAR y, a 12 meses, el PER adelantado y nuestro BPA dan 9,26 SAR.</w:t>
      </w:r>
    </w:p>
    <w:p>
      <w:pPr>
        <w:spacing w:after="100"/>
      </w:pPr>
      <w:r>
        <w:t xml:space="preserve">Para invertir hay que creer que el 3T26 es solo la guerra y que el margen se queda por encima del 30 % hasta 2028. Nosotros creemos que el volumen está asegurado pero el margen es de ciclo: no hay margen de seguridad.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 SAR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 × 0,45 = 2,34 · 13,9x × 0,69 = 9,59 · 18,7x × 0,83 = 15,52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 / -3,2 %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15,50 (nuestro base -38,1 %)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7,85 SAR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-27,9 % / -65,6 %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frente a 12,2 % y 10,8 %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8,69 SAR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(8,3 % anual proyectado; financiable al ROIC actual: 14,9 %)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7,85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7,85 y 10,57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10,57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7,85 SAR: pasaría a Comprar (ponderada a 12 meses ≥ 15 %).</w:t>
      </w:r>
    </w:p>
    <w:p>
      <w:pPr>
        <w:pStyle w:val="ListParagraph"/>
        <w:numPr>
          <w:ilvl w:val="0"/>
          <w:numId w:val="2"/>
        </w:numPr>
        <w:spacing w:after="60"/>
      </w:pPr>
      <w:r>
        <w:t xml:space="preserve">Precio por encima de 10,57 SAR: pasaría a Vender (ponderada ≤ −10 %).</w:t>
      </w:r>
    </w:p>
    <w:p>
      <w:pPr>
        <w:pStyle w:val="ListParagraph"/>
        <w:numPr>
          <w:ilvl w:val="0"/>
          <w:numId w:val="2"/>
        </w:numPr>
        <w:spacing w:after="60"/>
      </w:pPr>
      <w:r>
        <w:t xml:space="preserve">Margen bruto del 4T26 por debajo del 33 % o ventas por debajo de 650 M SAR: bajaríamos el caso base.</w:t>
      </w:r>
    </w:p>
    <w:p>
      <w:pPr>
        <w:pStyle w:val="ListParagraph"/>
        <w:numPr>
          <w:ilvl w:val="0"/>
          <w:numId w:val="2"/>
        </w:numPr>
        <w:spacing w:after="60"/>
      </w:pPr>
      <w:r>
        <w:t xml:space="preserve">Cartera de pedidos a fin de 2026 por encima de 4.000 M SAR con margen bruto por encima del 36 %: subiríamos el base.</w:t>
      </w:r>
    </w:p>
    <w:p>
      <w:pPr>
        <w:pStyle w:val="ListParagraph"/>
        <w:numPr>
          <w:ilvl w:val="0"/>
          <w:numId w:val="2"/>
        </w:numPr>
        <w:spacing w:after="60"/>
      </w:pPr>
      <w:r>
        <w:t xml:space="preserve">Recorte del plan de inversión de SEC: bajaríamos el volumen de 2027-2030e.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margen EBITDA del 31 % se mantiene: el precio descuenta un margen terminal del 39,5 % con nuestro WACC. El único analista, sin revisar tras el 3T26, espera un 36 % en 2028e y pone un objetivo de 15,50 SAR [38, 39].</w:t>
      </w:r>
    </w:p>
    <w:p>
      <w:pPr>
        <w:keepNext/>
        <w:spacing w:after="100"/>
      </w:pPr>
      <w:r>
        <w:rPr>
          <w:b/>
          <w:bCs/>
        </w:rPr>
        <w:t xml:space="preserve">Lo que creemos nosotros.</w:t>
      </w:r>
    </w:p>
    <w:p>
      <w:pPr>
        <w:spacing w:after="100"/>
      </w:pPr>
      <w:r>
        <w:t xml:space="preserve">El volumen está asegurado por el plan de SEC hasta 2030, pero el margen es de ciclo: volverá hacia el 24-25 % cuando la capacidad nueva llegue a los concursos de SEC, y el 3T26 adelanta esa presión.</w:t>
      </w:r>
    </w:p>
    <w:p>
      <w:pPr>
        <w:keepNext/>
        <w:spacing w:after="100"/>
      </w:pPr>
      <w:r>
        <w:rPr>
          <w:b/>
          <w:bCs/>
        </w:rPr>
        <w:t xml:space="preserve">Por qué podemos tener razón.</w:t>
      </w:r>
    </w:p>
    <w:p>
      <w:pPr>
        <w:spacing w:after="100"/>
      </w:pPr>
      <w:r>
        <w:t xml:space="preserve">La historia propia (margen del 13-19 % en 2021-2023, cuatro años de caídas en 2016-2019), la cartera estancada en 2025 (+3 %), el 3T26 (margen bruto del 33,9 %) y las ventas de la familia fundadora y de los directivos [1, 11, 15, 32].</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SAR) · precio actual 10,1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Único fabricante saudí de transformadores de alta tensión</w:t>
      </w:r>
      <w:r>
        <w:t xml:space="preserve">, con contenido local que puntúa en los concursos [11].</w:t>
      </w:r>
    </w:p>
    <w:p>
      <w:pPr>
        <w:pStyle w:val="ListParagraph"/>
        <w:numPr>
          <w:ilvl w:val="0"/>
          <w:numId w:val="2"/>
        </w:numPr>
        <w:spacing w:after="60"/>
      </w:pPr>
      <w:r>
        <w:rPr>
          <w:b/>
        </w:rPr>
        <w:t xml:space="preserve">Plan de SEC de 220.000 M SAR</w:t>
      </w:r>
      <w:r>
        <w:t xml:space="preserve"> en 2025-2030 y 39.000 M invertidos en el 1S26 [23, 24].</w:t>
      </w:r>
    </w:p>
    <w:p>
      <w:pPr>
        <w:pStyle w:val="ListParagraph"/>
        <w:numPr>
          <w:ilvl w:val="0"/>
          <w:numId w:val="2"/>
        </w:numPr>
        <w:spacing w:after="60"/>
      </w:pPr>
      <w:r>
        <w:rPr>
          <w:b/>
        </w:rPr>
        <w:t xml:space="preserve">Margen EBITDA del 31 %</w:t>
      </w:r>
      <w:r>
        <w:t xml:space="preserve"> y ROIC del 70 % en 2025, con deuda casi nula [1].</w:t>
      </w:r>
    </w:p>
    <w:p>
      <w:pPr>
        <w:pStyle w:val="ListParagraph"/>
        <w:numPr>
          <w:ilvl w:val="0"/>
          <w:numId w:val="2"/>
        </w:numPr>
        <w:spacing w:after="60"/>
      </w:pPr>
      <w:r>
        <w:rPr>
          <w:b/>
        </w:rPr>
        <w:t xml:space="preserve">Ventas de los 9M26 +25,2 %</w:t>
      </w:r>
      <w:r>
        <w:t xml:space="preserve"> y demanda «creciente en todos los sectores» según la empresa [15].</w:t>
      </w:r>
    </w:p>
    <w:p>
      <w:pPr>
        <w:pStyle w:val="ListParagraph"/>
        <w:numPr>
          <w:ilvl w:val="0"/>
          <w:numId w:val="2"/>
        </w:numPr>
        <w:spacing w:after="60"/>
      </w:pPr>
      <w:r>
        <w:rPr>
          <w:b/>
        </w:rPr>
        <w:t xml:space="preserve">Dividendo</w:t>
      </w:r>
      <w:r>
        <w:t xml:space="preserve">: 0,25 SAR ordinarios al año y 0,25 extraordinarios en 2025 [11].</w:t>
      </w:r>
    </w:p>
    <w:p>
      <w:pPr>
        <w:pStyle w:val="Heading2"/>
      </w:pPr>
      <w:r>
        <w:t xml:space="preserve">En contra</w:t>
      </w:r>
    </w:p>
    <w:p>
      <w:pPr>
        <w:pStyle w:val="ListParagraph"/>
        <w:numPr>
          <w:ilvl w:val="0"/>
          <w:numId w:val="2"/>
        </w:numPr>
        <w:spacing w:after="60"/>
      </w:pPr>
      <w:r>
        <w:rPr>
          <w:b/>
        </w:rPr>
        <w:t xml:space="preserve">3T26 por debajo de lo esperado</w:t>
      </w:r>
      <w:r>
        <w:t xml:space="preserve">: beneficio recurrente −6 % y margen bruto del 33,9 % [15, 16].</w:t>
      </w:r>
    </w:p>
    <w:p>
      <w:pPr>
        <w:pStyle w:val="ListParagraph"/>
        <w:numPr>
          <w:ilvl w:val="0"/>
          <w:numId w:val="2"/>
        </w:numPr>
        <w:spacing w:after="60"/>
      </w:pPr>
      <w:r>
        <w:rPr>
          <w:b/>
        </w:rPr>
        <w:t xml:space="preserve">Margen de pico de ciclo</w:t>
      </w:r>
      <w:r>
        <w:t xml:space="preserve">: 13 % en 2021, 31 % en 2025 [1].</w:t>
      </w:r>
    </w:p>
    <w:p>
      <w:pPr>
        <w:pStyle w:val="ListParagraph"/>
        <w:numPr>
          <w:ilvl w:val="0"/>
          <w:numId w:val="2"/>
        </w:numPr>
        <w:spacing w:after="60"/>
      </w:pPr>
      <w:r>
        <w:rPr>
          <w:b/>
        </w:rPr>
        <w:t xml:space="preserve">Cartera estancada</w:t>
      </w:r>
      <w:r>
        <w:t xml:space="preserve">: +3 % en 2025 con ventas +16 % [11].</w:t>
      </w:r>
    </w:p>
    <w:p>
      <w:pPr>
        <w:pStyle w:val="ListParagraph"/>
        <w:numPr>
          <w:ilvl w:val="0"/>
          <w:numId w:val="2"/>
        </w:numPr>
        <w:spacing w:after="60"/>
      </w:pPr>
      <w:r>
        <w:rPr>
          <w:b/>
        </w:rPr>
        <w:t xml:space="preserve">Guerra en el Golfo</w:t>
      </w:r>
      <w:r>
        <w:t xml:space="preserve">: entregas retrasadas y fletes y seguros más caros [15, 31].</w:t>
      </w:r>
    </w:p>
    <w:p>
      <w:pPr>
        <w:pStyle w:val="ListParagraph"/>
        <w:numPr>
          <w:ilvl w:val="0"/>
          <w:numId w:val="2"/>
        </w:numPr>
        <w:spacing w:after="60"/>
      </w:pPr>
      <w:r>
        <w:rPr>
          <w:b/>
        </w:rPr>
        <w:t xml:space="preserve">Ventas de la familia fundadora</w:t>
      </w:r>
      <w:r>
        <w:t xml:space="preserve"> (28 % → 15 %) y de directivos [32].</w:t>
      </w:r>
    </w:p>
    <w:p>
      <w:pPr>
        <w:pStyle w:val="Heading2"/>
      </w:pPr>
      <w:r>
        <w:t xml:space="preserve">Qué tiene que pasar para que la tesis funcione</w:t>
      </w:r>
    </w:p>
    <w:p>
      <w:pPr>
        <w:spacing w:after="100"/>
      </w:pPr>
      <w:r>
        <w:t xml:space="preserve">La tesis depende del margen. La señal está en el margen bruto del 4T26 y en la cartera de pedidos del informe anual (hacia marzo de 2027): si el margen se queda por debajo del 33 % con la cartera estancada, el pico ha pasado y no es solo la guerra; si vuelve por encima del 36 % y la cartera crece, nos equivocamos con el ciclo.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escasez o precio de los concursos, más allá de la guerra.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630,5 M SAR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650 M SAR en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las entregas retrasadas no vuelven, es demanda y no logística.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 M SAR (fin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3.000 M SAR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futuras.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 de clientes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M SAR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450 M SAR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nuevos y caja.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de SEC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39.000 M SAR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del primer cliente.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13,8x / 11,0x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14,5x / 12,1x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 · 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El grupo nace en 1976 como Wescosa, empresa conjunta de Westinghouse y la familia Al-Quraishi para suministrar equipos eléctricos al Reino; en 1978 empieza a fabricar transformadores de distribución con Saudi Transformers y en 1996 los de potencia [20]. Electrical Industries Company se crea en 2005 como cabecera, y en 2010 nace Saudi Power Transformers con la belga CG Power Systems, que pasa al 100 % en 2016 [20]. En 2021 compra el conocimiento y las patentes de Pauwels (Bélgica) y reabre su fábrica de Malinas. El salto llega con el ciclo de inversión en redes de Saudi Electricity y la escasez mundial de transformadores: ventas de 771 M SAR en 2021 y 2.296 M en 2025, y beneficio de 49 a 630 M [1, 5]. En 2026 la guerra en Oriente Medio retrasa entregas (3T26) y el consejo aprueba una fábrica de cubas y radiadores de 150 M SAR [15,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Wahah Electric Supply Co. (Wescosa), empresa conjunta de Westinghouse y Ali Zaid Al Quraishi &amp; Bros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Saudi Transformers Company empieza a fabricar transformadores de distribución (4-6 al día)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Pauwels International entra como socio industrial de Saudi Transformers; la familia Al Quraishi compra después la parte de Westinghouse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Wescosa empieza a fabricar transformadores de potencia para generación y petróleo y gas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crea Electrical Industries Company como cabecera de Saudi Transformers y Wescosa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Saudi Power Transformers Co. con CG Power Systems Belgium; pasa al 100 % de EIC en 2016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los activos, el conocimiento y las patentes de CG Power Systems Belgium y reabre Pauwels en Malinas (abril)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Aprueba la ampliación de Saudi Power Transformers a 380 kV (192 M SAR) y sube un 70 % la capacidad de transformadores de potencia [11,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Acuerdos con SEC por 1.410 M SAR (transformadores de muy alta tensión), 785,5 M (subestaciones) y 198,5 M (distribución); compra los terrenos de Pauwels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Autoridad de Competencia le devuelve los 26,1 M SAR de la multa de 2024 (14-jul); la guerra en Oriente Medio retrasa entregas en el 3T26; el consejo aprueba una fábrica de cubas y radiadores de 150 M SAR (25-oct) [1, 15, 29].</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EIC fabrica en Arabia Saudí transformadores de distribución y de potencia (hasta 380 kV), subestaciones compactas, aparamenta de media y baja tensión, cuadros y bandejas portacables, y presta servicios de mantenimiento y reparación [1, 11]. En 2025 los transformadores y subestaciones fueron el 79 % de las ventas (1.811 M SAR), la aparamenta el 12 %, los servicios el 5 % y las bandejas el 4 % [11]. Fabrica en Dammam (Saudi Transformers, Wescosa y Saudi Power Transformers, la única fábrica saudí de transformadores de alta tensión) y en Malinas, Bélgica (Pauwels) [11, 20]. El 89,5 % de las ventas es en el Reino, el 7,6 % en Europa y el 2,8 % en el resto del Golfo [1]. Tiene más de 1.600 empleados [20]. Integra hacia atrás: en 2029 quiere fabricar sus propias cubas y radiadores (150 M SAR), hoy comprados [29, 30].</w:t>
      </w:r>
    </w:p>
    <w:p>
      <w:pPr>
        <w:pStyle w:val="Heading2"/>
      </w:pPr>
      <w:r>
        <w:t xml:space="preserve">Cómo gana dinero</w:t>
      </w:r>
    </w:p>
    <w:p>
      <w:pPr>
        <w:spacing w:after="100"/>
      </w:pPr>
      <w:r>
        <w:t xml:space="preserve">Gana con el margen de fabricación de equipos a pedido: concursos y acuerdos marco con precio fijado al firmar, entregas a 6-24 meses y anticipos del cliente (662 M SAR a fin de 2025) [1, 11]. El margen bruto pasó del 19,4 % en 2021 al 37,5 % en 2025 porque la demanda superó a la capacidad en todo el mundo y EIC llenó sus fábricas con transformadores de potencia, de más valor [1, 11]. El coste está en el cobre, la chapa magnética y el aceite, que se compran después de fijar el precio, y en los fletes: el 3T26 enseña la sensibilidad, con el margen bruto en el 33,9 % por fletes, seguros y retrasos de suministro tras la guerra [15]. Los gastos generales son bajos (un 8 % de las ventas en 2025) y la amortización mínima (1,6 %), así que el apalancamiento operativo es alto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Fabricación y suministro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Fabricación y suministro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concentrados: Saudi Electricity (SEC, ahora Saudi Energy) es el primer cliente, con 367 M SAR en 2025 (16 % de las ventas), y en 2025 firmó con EIC acuerdos de 1.410 M SAR en transformadores de muy alta tensión, 785,5 M en subestaciones y 198,5 M en distribución [1, 11]. Le siguen Aramco y sus contratistas (Jafurah, Técnicas Reunidas, Hyundai E&amp;C), los proyectos industriales y de petróleo y gas que la empresa cita como motor del 3T26, y desde 2025 distribuidoras belgas [11, 15, 27]. La cartera de pedidos firmes era de 3.300 M SAR a fin de 2025 (1,4 años de ventas), un 3 % más que un año antes, y hay otros 2.500 M de acuerdos marco [11, 12]. Poder de precios demostrado en el ciclo: el margen bruto subió 18 puntos en cuatro años con el cobre al alza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confirmados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3.200 M SAR (fin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3.300 M SAR (fin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Equivale a 1,4 años de ventas de 2025; aparte, 2.500 M de acuerdos marco no convertidos en pedidos, de los que ≈ 1.000 M son compromiso firme [11,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transformadores y subestaciones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 M SAR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 del total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Aparamenta 280 M (12 %), servicios 110 M (5 %) y bandejas 95 M (4 %)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de transformadores de potencia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 de capacidad en el 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10.000 MVA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 de la capacidad original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de producción en 2025; ampliación a 380 kV (192 M SAR) con producción comercial prevista en el 3T27 [11,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37,8 % en el 2T26 y 33,9 % en el 3T26 (39,9 % en el 3T25): fletes, seguros y cadena de suministro por la situación geopolítica; 36,6 % en los 9M26 [1, 6, 15,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 cliente (Saudi Electricity)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288,6 M SAR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367,0 M SAR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 de las ventas de 2025; el cliente no se nombra en las cuentas, pero los grandes acuerdos marco de 2025 son con SEC [1,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Anticipos de 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 M SAR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 M SAR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Bajan a 582 M a 30-jun-2026 al entregar pedidos: el circulante absorbió caja en el 1S26 [1,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transformadores y equipos de red eléctrica en Arabia Saudí, cuyo gasto marca la inversión de Saudi Electricity (220.000 M SAR en 2025-2030: 135.000 M en transporte y 85.000 M en distribución) y los proyectos de Aramco [23]. Los estudios de mercado no sirven para medir la cuota: Mordor da 1.000 M USD (3.750 M SAR) de transformadores en el Reino en 2025 y un 4,65 % anual hasta 2031, e IMARC 249 M USD solo en potencia, cifras inferiores a lo que factura EIC [21, 22]. Uso el plan de SEC como medida del gasto: las ventas de EIC de los últimos doce meses (2.699 M SAR) equivalen a ≈ 7 % de su inversión anual media [15,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1.000 M USD (3.750 M SAR) en 2025 el mercado saudí de transformadores, según Mordor Intelligence; IMARC da 249 M USD solo para los de potencia [21, 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mercado saudí de transformadores, Mordor Intelligence))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de Saudi Electricity (Saudi Energy) en redes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220.000 M SAR en 2025-2030 (135.000 M en transporte y 85.000 M en distribución); 39.000 M invertidos en el 1S26, +6 % [23,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Proyectos de petróleo y gas de Aramco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Entregas a Jafurah fase 2 y a otros proyectos de Aramco; contrato de 129,4 M SAR con Técnicas Reunidas y de 281 M con Hyundai E&amp;C [11,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mundial de transformadores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exportaciones de transformadores de alta tensión a Europa en 2025 y acuerdo marco con distribuidoras belgas [11,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 capacidad de competidores en el Reino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Voltamp (Omán) anuncia una fábrica de transformadores en Arabia Saudí de 9,5 M OMR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cobre, acero eléctrico y aceite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materias primas son la mayor parte del coste de ventas (1.436 M SAR en 2025); los contratos largos con precio fijo trasladan el riesgo a la empresa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Guerra en Oriente Medio y tráfico por Ormuz</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Desde el 28-feb-2026 los tránsitos por Ormuz cayeron de más de 130 al día a una decena y la prima de riesgo de guerra subió al 7,5-10 % del casco; EIC atribuye la caída de ventas del 3T26 (−11 % frente al 2T26) a retrasos de entregas y la del beneficio a fletes, seguros y suministros [15, 31].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propia empresa describe una competencia «severa» que aumenta cuando baja la demanda; hoy la demanda supera a la capacidad y el margen bruto ha subido del 19,4 % de 2021 al 37,5 % de 2025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cliente (SEC) compra el 16 % de las ventas y fija los acuerdos marco por concurso; Aramco y sus contratistas son el otro gran comprador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Chapa magnética de grano orientado, cobre y componentes de alta tensión con pocos proveedores mundiales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homologación de SEC y Aramco y la escala (más de 10.000 MVA al año) frenan la entrada, pero Voltamp construye fábrica en el Reino y los grandes fabricantes extranjeros pueden localizar [11,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sustituto para el transformador en la red eléctrica [21].</w:t>
            </w:r>
          </w:p>
        </w:tc>
      </w:tr>
    </w:tbl>
    <w:p>
      <w:pPr>
        <w:spacing w:after="160" w:before="0"/>
      </w:pPr>
    </w:p>
    <w:p>
      <w:pPr>
        <w:pStyle w:val="Heading2"/>
      </w:pPr>
      <w:r>
        <w:t xml:space="preserve">Ciclo</w:t>
      </w:r>
    </w:p>
    <w:p>
      <w:pPr>
        <w:spacing w:after="100"/>
      </w:pPr>
      <w:r>
        <w:t xml:space="preserve">El ciclo sigue alto pero da la primera señal de giro. La escasez mundial de transformadores y el plan de SEC llevaron el margen EBITDA de EIC del 13 % en 2021 al 31 % en 2025; en el 3T26 las ventas crecieron solo un 12,6 % (frente a +30 % y +33 % en el 1T y el 2T) y el margen bruto bajó al 33,9 % [1, 15, 16]. La empresa lo atribuye a la guerra (retrasos de entregas, fletes y seguros), no a la demanda, que dice «creciente en todos los sectores» [15]. La historia pide prudencia: en 2016-2019 la acción cayó cuatro años seguidos con la demanda saudí parada [37]. Paso de «Expansión» a «Madurez del ciclo»; señales: margen bruto trimestral y cartera de pedidos de fin de 2026.</w:t>
      </w:r>
    </w:p>
    <w:p>
      <w:pPr>
        <w:pStyle w:val="Heading2"/>
      </w:pPr>
      <w:r>
        <w:t xml:space="preserve">Regulación</w:t>
      </w:r>
    </w:p>
    <w:p>
      <w:pPr>
        <w:spacing w:after="100"/>
      </w:pPr>
      <w:r>
        <w:t xml:space="preserve">La regulación favorece al fabricante local: las compras de SEC, Aramco y los proyectos públicos puntúan el contenido local, y EIC es la única empresa del Reino que diseña y fabrica transformadores de alta tensión [11]. Cada diseño necesita homologación de SEC y Aramco. La Autoridad General de Competencia le impuso en 2024 una multa de 26,1 M SAR que EIC recurrió y ganó; se la devolvieron en julio de 2026 y la registró como ingreso en el 3T26 [1, 15]. La fábrica de cubas y radiadores (la primera del Reino) responde a la misma política de contenido local [30]. La propiedad extranjera de EIC tiene un máximo publicado del 46 % (hoy el 18,96 %) [32].</w:t>
      </w:r>
    </w:p>
    <w:p>
      <w:pPr>
        <w:pStyle w:val="Heading2"/>
      </w:pPr>
      <w:r>
        <w:t xml:space="preserve">Tendencias y disrupción</w:t>
      </w:r>
    </w:p>
    <w:p>
      <w:pPr>
        <w:spacing w:after="100"/>
      </w:pPr>
      <w:r>
        <w:t xml:space="preserve">A favor: la electrificación del Reino (Visión 2030, renovables, desalación y nuevas ciudades) sostiene la inversión de SEC; la escasez mundial abre la exportación (primeros transformadores de alta tensión a Europa en 2025) [11, 27]; y la tensión sube: la ampliación a 380 kV (192 M SAR) entra en producción en el 3T27 [26]. En contra: la escasez atrae capacidad nueva (Voltamp construye fábrica en el Reino) [25], y desde febrero de 2026 la guerra en Oriente Medio encarece y retrasa el transporte por el Golfo (prima de riesgo de guerra del 7,5-10 % del casco, una decena de tránsitos diarios por Ormuz frente a más de 130) [31]. EIC gana con las dos primeras; la tercera le resta mientras dure.</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1.ª fabricante saudí de transformadores y única del Reino que diseña y fabrica transformadores de alta y muy alta tensión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Alfanar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Arabia Saudí</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privado saudí: aparamenta, cuadros y transformadores de distribución; no publica cuentas.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Hitachi Energy, Siemens Energy y Schneider (filiales saudíes)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Multinacional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ENR.DE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Compiten en alta tensión, subestaciones y aparamenta con fábricas locales; las cuentas de las filiales no se publican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ElSewedy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Egipto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SWDY.CA</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Cables y transformadores de distribución para Oriente Medio y África; margen EBITDA del 10 %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HD Hyundai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del Sur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267260.KS</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Transformadores de potencia con fábrica en Arabia Saudí; margen EBITDA del 27,5 %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Voltamp Energy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Omán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VOES.OM</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Transformadores de distribución; construye fábrica en Arabia Saudí [25].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 fabricante de equipos.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Homologación de cada diseño por SEC y Aramco y servicio posventa propio (110 M SAR de servicios en 2025, margen del segmento del 41 %)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Único fabricante saudí de transformadores de alta tensión y conocimiento propio de Pauwels (diseños hasta 380 kV) [B1, B2].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Contenido local y fábricas cercanas al cliente; el margen EBITDA del 31 % de 2025 supera al de ElSewedy (10 %) y al de Hyosung (14 %) [B10].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 10.000 MVA al año y el 89,5 % de las ventas en un mercado de un solo gran comprador; poca demanda para dos fabricantes locales de alta tensión [B1].</w:t>
            </w:r>
          </w:p>
        </w:tc>
      </w:tr>
    </w:tbl>
    <w:p>
      <w:pPr>
        <w:spacing w:after="160" w:before="0"/>
      </w:pPr>
    </w:p>
    <w:p>
      <w:pPr>
        <w:pStyle w:val="Heading2"/>
      </w:pPr>
      <w:r>
        <w:t xml:space="preserve">Amenazas</w:t>
      </w:r>
    </w:p>
    <w:p>
      <w:pPr>
        <w:spacing w:after="100"/>
      </w:pPr>
      <w:r>
        <w:t xml:space="preserve">La amenaza principal es la capacidad nueva en el Reino: con márgenes del 31 %, los fabricantes extranjeros y del Golfo tienen incentivos para localizar fábricas (Voltamp ya lo anuncia) y los concursos de SEC trasladarían la competencia al precio; lo veo probable en tres años (50 %), con efecto gradual porque la homologación tarda [25]. La segunda, la dependencia de SEC: un retraso en su plan de inversión (por el petróleo o por el gasto de guerra) vaciaría la cartera, que ya creció solo un 3 % en 2025 [11, 23]. La tercera, de corto plazo, la logística del Golfo: el 3T26 mostró que la guerra puede quitar 4-6 puntos de margen bruto en un trimestre [15, 31].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w:t>
            </w:r>
          </w:p>
        </w:tc>
      </w:tr>
    </w:tbl>
    <w:p>
      <w:pPr>
        <w:spacing w:after="160" w:before="0"/>
      </w:pPr>
    </w:p>
    <w:p>
      <w:pPr>
        <w:spacing w:after="100"/>
      </w:pPr>
      <w:r>
        <w:t xml:space="preserve">Crecimiento anual compuesto 2021-2025: ingresos </w:t>
      </w:r>
      <w:r>
        <w:rPr>
          <w:b/>
          <w:bCs/>
        </w:rPr>
        <w:t xml:space="preserve">31,4 %</w:t>
      </w:r>
      <w:r>
        <w:t xml:space="preserve">, EBITDA </w:t>
      </w:r>
      <w:r>
        <w:rPr>
          <w:b/>
          <w:bCs/>
        </w:rPr>
        <w:t xml:space="preserve">63,7 %</w:t>
      </w:r>
      <w:r>
        <w:t xml:space="preserve">, BPA </w:t>
      </w:r>
      <w:r>
        <w:rPr>
          <w:b/>
          <w:bCs/>
        </w:rPr>
        <w:t xml:space="preserve">93,4 %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SA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771 M SAR en 2021 a 2.296 M en 2025 (+31 % anual) sin compras relevantes, y a 2.699 M en los últimos doce meses a septiembre de 2026 [1, 5, 15]. El margen EBITDA subió del 12,8 % en 2021 al 18,7 % en 2023, al 24,4 % en 2024 y al 31,0 % en 2025, por el precio y la mezcla de transformadores de potencia [1, 3]. En 2026 el crecimiento frena: ventas de los 9M26 de 2.000,5 M (+25,2 %), pero del 3T26 solo 630,5 M (+12,6 % interanual y −11,0 % frente al 2T26), con el margen bruto en el 33,9 % (39,9 % un año antes) y el resultado operativo un 1,1 % por debajo del 3T25 [15, 16]. El beneficio del 3T26 (177,7 M, +10,3 %) lleva 26,1 M del reembolso de la multa; sin él, cae un 5,9 % [16]. La pregunta es cuánto de esa caída es la guerra y cuánto el ciclo.</w:t>
      </w:r>
    </w:p>
    <w:p>
      <w:pPr>
        <w:pStyle w:val="Heading2"/>
      </w:pPr>
      <w:r>
        <w:t xml:space="preserve">Ajustes y partidas no recurrentes</w:t>
      </w:r>
    </w:p>
    <w:p>
      <w:pPr>
        <w:spacing w:after="100"/>
      </w:pPr>
      <w:r>
        <w:t xml:space="preserve">Uso cifras publicadas. La multa de competencia de 26,1 M SAR de 2024 fue un gasto dentro del EBITDA (no recurrente) y su reembolso es un ingreso del 3T26 por debajo del resultado operativo: el BPA de los últimos doce meses (0,70) lo incluye y sin él sería 0,68 [1, 16]. El LTM a septiembre se construye sumando el 3T26 y restando el 3T25; su EBITDA lleva una amortización del 3T26 estimada (≈ 10 M, la del 1S26) y su flujo de caja libre no se da, porque falta el estado de flujos de los 9M26 [15]. No hay pagos en acciones relevantes (plan de empleados con autocartera)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EIC no publica presentaciones ni hace conferencias; el único mensaje de la dirección sobre el 3T26 es el anuncio de Tadawul del 22-oct [15]. Dice tres cosas: (1) la demanda sigue creciendo en todos los sectores del Reino, sobre todo subestaciones de alta tensión, infraestructuras y proyectos industriales y de petróleo y gas; (2) las ventas bajaron frente al 2T26 «por el retraso de entregas de proyectos por la situación geopolítica»; y (3) el beneficio bajó frente al 2T26 por menos ventas y más costes de flete, seguro y suministro por esa situación, y subió frente al 3T25 por la mezcla, el reembolso de la multa (26,1 M) y pese a más gastos financieros [15]. Lo que no dice: la cartera de pedidos, si las entregas retrasadas se recuperan en el 4T y cuánto del margen perdido es temporal. ANB Capital esperaba un beneficio de 219,5 M (+36 %); el real fue 177,7 M y 151,6 M sin el reembolso [16, 18]. En el 2T26 el mensaje había sido el contrario: +33 % de ventas y margen bruto del 37,8 % [13]. El mercado lo castigó con un −10 % el 22-oct, el límite diario [37].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sin deuda neta relevante: a 30-jun-2026 (último publicado accesible), 143 M SAR de caja frente a 123 M de murabahas a corto plazo y 19 M de arrendamientos [6]. El patrimonio subió a 1.319,1 M a 30-sep-2026 [15]. La deuda bajó de 432 M en 2022 a 15 M en 2025 gracias al flujo de 2024-2025, y volvió a 123 M en junio de 2026 para pagar dividendos y circulante [1, 6]. El punto delicado es el circulante: existencias de 873 M y clientes de 835 M a fin de 2025, financiados en parte por 662 M de anticipos; el circulante comercial neto equivale al 37 % de las ventas, y si las entregas se retrasan (3T26) o los anticipos bajan, absorbe caja, como en 2022 (flujo operativo de −88 M) [1, 4, 15].</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1.096</w:t>
      </w:r>
      <w:r>
        <w:t xml:space="preserve">, conversión </w:t>
      </w:r>
      <w:r>
        <w:rPr>
          <w:b/>
          <w:bCs/>
        </w:rPr>
        <w:t xml:space="preserve">80 %</w:t>
      </w:r>
      <w:r>
        <w:t xml:space="preserve"> del beneficio neto; adquisiciones 6, dividendos 628, recompras 11.</w:t>
      </w:r>
    </w:p>
    <w:p>
      <w:pPr>
        <w:spacing w:after="100"/>
      </w:pPr>
      <w:r>
        <w:t xml:space="preserve">La conversión de beneficio en caja es irregular: el flujo operativo fue de 12 M en 2021 y −88 M en 2022 (el circulante se comió el beneficio con las ventas al alza), y de 688 M en 2024 y 674 M en 2025, por encima del beneficio, con los anticipos de SEC [1, 4]. En el 1S26 bajó con la caída de los anticipos (de 662 a 582 M) y la caja pasó de 350 a 143 M [6]. No hay estado de flujos de los 9M26 accesible [15]. El capex fue de 11-45 M al año hasta 2024 y de 176 M en 2025 por los terrenos de Pauwels (80 M) y el inicio de la ampliación de 380 kV (192 M en total, hasta 2027); la fábrica de cubas añade 150 M en 2027-2029 [1, 26, 29]. Estimación propia: el capex de mantenimiento es ≈ la amortización (36 M en 2025).</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Professional Services (desde el ejercicio 2022; PwC hasta 2021)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(2025, sin salvedades; asunto clave: pérdidas esperadas de clientes)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limpias. KPMG audita desde 2022 sin salvedades; el asunto clave de auditoría son las pérdidas esperadas de clientes, y la revisión limitada de los 9M26 tampoco tiene salvedades ni párrafos de énfasis [1, 15]. No hay fondo de comercio ni capitalización relevante de gastos (intangibles de 6 M SAR) [1]. La partida que más cuidado pide es el reconocimiento de ingresos de proyectos y el circulante (existencias y clientes de 1.709 M a fin de 2025, el 74 % de las ventas) [1]. Indicadores del motor: Altman Z de 7,87 (zona segura), Piotroski F de 7 sobre 9 y Beneish M de −2,40 (sin señal de manipulación). Un detalle de lectura: el beneficio del 3T26 crece un 10 % gracias a un ingreso no recurrente de 26,1 M; el BPA recurrente cae un 6 % [16].</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alto y dependiente de anticipos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y clientes de 1.709 M SAR a fin de 2025 frente a 662 M de anticipos; en 2022 el flujo operativo fue negativo (−88 M)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en máximos y primera bajada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37,5 % en 2025 frente al 19,4 % de 2021; 33,9 % en el 3T26 [1, 15].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del 3T26 con un ingreso extraordinario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Reembolso de la multa (26,1 M SAR) dentro del beneficio; la empresa lo dice en el anuncio [15].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Cliente principal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supone el 16 % de las ventas y adjudica por concurso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439,8 % · </w:t>
      </w:r>
      <w:r>
        <w:rPr>
          <w:b/>
          <w:bCs/>
        </w:rPr>
        <w:t xml:space="preserve">WACC</w:t>
      </w:r>
      <w:r>
        <w:t xml:space="preserve">: 12,2 %.</w:t>
      </w:r>
    </w:p>
    <w:p>
      <w:pPr>
        <w:spacing w:after="100"/>
      </w:pPr>
      <w:r>
        <w:t xml:space="preserve">Crea valor con holgura en el punto alto del ciclo. El ROIC del motor es del 70,0 % en 2025 (47,3 % en 2024) frente a un WACC del 12,23 %: el capital invertido (914 M SAR) es pequeño porque los anticipos financian parte del circulante y las fábricas están amortizadas. Pero el ROIC era del 7,0 % en 2021 y del 12,7 % en 2022, por debajo o en el WACC: lo que ha cambiado es el margen EBIT (del 9 % al 29 %), no la rotación [1, 5]. El ROE fue del 56 % en 2025. Frente a los rivales cotizados, solo HD Hyundai Electric (margen EBITDA del 27,5 %) se le acerca [45]. La lectura prudente: el ROIC de ciclo medio está en el 20-25 %, todavía por encima del WACC, y el capital nuevo de la proyección rinde menos (11,9 %) porque el margen baja.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Último balance accesible: 30-jun-2026 (los estados de los 9M26 no se pudieron descargar; el anuncio de Tadawul solo da el patrimonio, 1.319,1 M SAR a 30-sep-2026 [15]). Caja de 143,2 M SAR a 30-jun-2026 frente a 122,7 M de murabaha a corto plazo y 19,3 M de arrendamientos [6]; después del balance entraron 26,1 M del reembolso de la multa de competencia (14-jul-2026) y salieron ≈ 139 M del dividendo del 1S26 (pagado el 23-ago-2026) [6, 14]. Las murabahas vencen a 3-6 meses y se refinancian con líneas bancarias de diez bancos saudíes y del Golfo [1,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Indemnizaciones por cese de los empleados (end-of-service benefits, obligación legal saudí) de 139,6 M SAR a 30-jun-2026, que trato como deuda en el puente [6]. Anticipos de clientes (pasivos de contrato) de 582 M a junio de 2026, que financian el circulante y bajan al entregar [6]. Sin litigios relevantes tras la devolución de la multa de competencia [6]. El dividendo del 1S26 (139,1 M) se pagó el 23-ago y el reembolso de la multa (26,1 M) se cobró en julio, los dos después del balance: van en el puente [14, 15]. La fábrica de cubas (150 M SAR, 2027-2029) se pagará con caja y líneas bancarias [29].</w:t>
      </w:r>
    </w:p>
    <w:p>
      <w:pPr>
        <w:pStyle w:val="Heading1"/>
      </w:pPr>
      <w:r>
        <w:t xml:space="preserve">12. Asignación de capital</w:t>
      </w:r>
    </w:p>
    <w:p>
      <w:pPr>
        <w:pStyle w:val="Confianza"/>
        <w:spacing w:after="100"/>
      </w:pPr>
      <w:r>
        <w:t xml:space="preserve">Confianza: Alta</w:t>
      </w:r>
    </w:p>
    <w:p>
      <w:pPr>
        <w:spacing w:after="100"/>
      </w:pPr>
      <w:r>
        <w:t xml:space="preserve">Reparte casi todo: en 2025, 0,25 SAR ordinarios y 0,25 SAR extraordinarios por acción (el 89 % del beneficio) [11]. La política aprobada es de 0,125 SAR por semestre hasta el 1S27, más extraordinarios; el del 1S26 se pagó el 23-ago-2026 [14]. Las prioridades de inversión son la ampliación de Saudi Power Transformers a 380 kV (192 M SAR, producción en el 3T27), la fábrica de cubas y radiadores (150 M SAR, 2027-2029, con caja y líneas bancarias) y la base europea de Pauwels [11, 26, 29]. No hay recompras ni compras anunciadas; la autocartera (1,11 %) se usa para el plan de empleados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conocimientos y propiedad intelectual de CG Power Systems Belgium (Pauwels Transformers, Malinas)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 de transformadores de potencia en Bélgica reactivada en abril de 2021; en 2025 Europa ya aporta 174 M SAR de ventas (7,6 %)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Terrenos y naves de la planta de Pauwels en Bélgica (subasta pública)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Asegura la base europea; los activos no corrientes en Europa pasan de 16 a 100 M SAR [1, 11].</w:t>
            </w:r>
          </w:p>
        </w:tc>
      </w:tr>
    </w:tbl>
    <w:p>
      <w:pPr>
        <w:spacing w:after="160" w:before="0"/>
      </w:pPr>
    </w:p>
    <w:p>
      <w:pPr>
        <w:spacing w:after="100"/>
      </w:pPr>
      <w:r>
        <w:t xml:space="preserve">Asignación de capital prudente y sin compras caras: la única operación relevante fue comprar el conocimiento y las patentes de Pauwels (2021) y después sus terrenos (80 M SAR en 2025), que le dan diseños de hasta 380 kV y una base en Europa [1]. Ha usado el flujo de 2024-2025 para pagar deuda (de 432 M a 15 M) y repartir dividendos (477 M en dos años) [1]. La fábrica de cubas es integración vertical con sentido (asegura un componente escaso y suma contenido local), pero llega en 2029 y se decide con el margen en máximos [29]. El riesgo es repartir el 89 % del beneficio del pico mientras el circulante vuelve a absorber caja: la deuda ya subió a 123 M en junio de 2026 [6].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8"/>
        <w:gridCol w:w="1527"/>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Tariq Mohamad Al-Tahini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y consejero ejecutivo</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mecánico (KFUPM) con más de 25 años en puestos de dirección de Saudi Electricity, el principal cliente. Con él las ventas pasaron de 771 M SAR en 2021 a 2.296 M en 2025 y el beneficio de 49 a 630 M [1, 11].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Medhat Adham Ghaleb</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 Finanzas y TI (director financiero)</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Carrera entera en el grupo: contable jefe y director financiero de Saudi Transformers y vicepresidente de finanzas y servicios compartidos; consejero de Saudi Power Transformers y Pauwels. Vendió 145.000 acciones en 2025 [11].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Yousef Ali Al-Quraishi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Ali Zaid Al-Quraishi &amp; Brothers, la familia que fundó Wescosa en 1976 y que controla Adja, primer accionista (15 %) [11, 32].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Hossam Abdulhaleem Al-Sheikh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Saudi Power Transformers</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vicepresidente ejecutivo de operaciones e ingeniería de EIC y director de planta y de diseño de Saudi Transformers; dirige la filial de alta tensión que en 2025 produjo más de 10.000 MVA [11].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Koen Van Peteghem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Pauwels Transformers (Bélgica)</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 histórico de Pauwels y de CG Power Systems; lidera la entrada en Europa (174 M SAR de ventas en 2025) [1, 11].</w:t>
            </w:r>
          </w:p>
        </w:tc>
      </w:tr>
    </w:tbl>
    <w:p>
      <w:pPr>
        <w:spacing w:after="160" w:before="0"/>
      </w:pPr>
    </w:p>
    <w:p>
      <w:pPr>
        <w:spacing w:after="100"/>
      </w:pPr>
      <w:r>
        <w:t xml:space="preserve">Equipo técnico y estable, con el consejero delegado (Tariq Al-Tahini) procedente de 25 años en Saudi Electricity, el principal cliente, y el director financiero de toda la vida en el grupo [11]. Con ellos las ventas se triplicaron y el beneficio se multiplicó por 13 en 2021-2025 [1]. No publican previsiones, así que no hay historial de cumplimiento; las expectativas cualitativas de 2024 y 2025 («fuerte rentabilidad») se cumplieron, y tras el 3T26 no ha habido entrevista ni explicación más allá del anuncio [27, 34, 35]. Los directivos venden: el director financiero vendió 145.000 acciones en 2025 y el vicepresidente del consejo 0,73 M (aunque su familia compró 2,88 M) [11].</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7"/>
        <w:gridCol w:w="1900"/>
        <w:gridCol w:w="1493"/>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Yousef Ali Al-Quraishi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Mahmoud M. Al-Toukhi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Faisal Saleh Al-Quraishi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Fahad Saad Al-Tuwaijri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Jameel Abdullah Al-Molhem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Sattam Abdulaziz Al-Zamil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Khalid Sulaiman Al-Harbi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Tariq Mohamad Al-Tahini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38 %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Límite legal, no estatutario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(2025, sin salvedades; asunto clave: pérdidas esperadas de clientes)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Adja Company for Industrial Services (familia Al-Quraishi)</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 (fundador)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28,0 % hasta ago-2024; 20,68 % (ago-2024), 18,75 % (oct-2024) y 15,00 % (20-jul-2026, traspaso de 42,2 M acciones a sus filiales)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Fahad Saad Al-Tuwaijri</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 (familia Al-Tuwaijri;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Recibe acciones en nov-2025 al repartir el holding familiar su 22,81 %</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Faisal Saad Al-Tuwaijri</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 (familia Al-Tuwaijri)</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poco a poco: 5,44 % (nov-2025) → 5,15 % (17-sep-2026)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Mahmoud Al-Toukhi y familiares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 (vicepresidente)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2,32 % directo y 3,59 % de familiares; vendió 0,73 M acciones en 2025 y sus familiares compraron 2,88 M</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Inversores extranjeros (todos)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Extranjeros (QFI y swaps)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Máximo permitido: 46 %</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12,5 M acciones compradas en 2019-2020 para el plan de empleados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6"/>
        <w:gridCol w:w="3381"/>
        <w:gridCol w:w="1521"/>
        <w:gridCol w:w="1690"/>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Mahmoud Al-Toukhi (vicepresidente), neto del año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732.408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Abdulaziz Al-Dhafiyari (directivo) y familiares, neto del año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418.334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Medhat Ghaleb (director financiero), neto del año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Abdullah Saad Al-Tuwaijri (familia de un consejero; sale del registro de accionistas significativos)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Faisal Saad Al-Tuwaijri (familia de un consejero): de 5,44 % a 5,15 %</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3.262.500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Los seis primeros directivos cobraron 19,18 M SAR en 2025 y el personal clave en total 27,9 M [1, 11]. El variable depende de los resultados anuales y de la evaluación de la comisión de nombramientos y retribuciones, sin métricas de ROIC ni de rentabilidad para el accionista; no hay variable a largo plazo en acciones salvo el plan de empleados con autocartera [1, 11]. La ley saudí no exige desglose individual ni voto consultivo de la remuneración.</w:t>
      </w:r>
    </w:p>
    <w:p>
      <w:pPr>
        <w:pStyle w:val="Heading2"/>
      </w:pPr>
      <w:r>
        <w:t xml:space="preserve">Operaciones vinculadas, estructura de control y defensas</w:t>
      </w:r>
    </w:p>
    <w:p>
      <w:pPr>
        <w:spacing w:after="100"/>
      </w:pPr>
      <w:r>
        <w:t xml:space="preserve">No hay accionista de control: Adja (familia Al-Quraishi, fundadora) tiene el 15,00 % y preside el consejo; la familia Al-Tuwaijri suma un 10,6 % (Fahad, consejero, 5,45 %; Faisal, 5,15 % y vendiendo) y el vicepresidente Al-Toukhi y su familia un 5,91 % [32]. Adja ha bajado del 28 % al 15 % desde agosto de 2024 (en julio de 2026, por un traspaso interno de 42,2 M de acciones a sus filiales); no hay anuncios nuevos de accionistas en Tadawul desde el 23-jul [32, 33, 35]. Una acción, un voto; el único límite es el legal a la propiedad extranjera. El consejo tiene 8 miembros, 3 independientes [11]. La comisión de auditoría no tiene mayoría de independientes [11].</w:t>
      </w:r>
    </w:p>
    <w:p>
      <w:pPr>
        <w:pStyle w:val="Heading2"/>
      </w:pPr>
      <w:r>
        <w:t xml:space="preserve">Señales de alerta</w:t>
      </w:r>
    </w:p>
    <w:p>
      <w:pPr>
        <w:pStyle w:val="ListParagraph"/>
        <w:numPr>
          <w:ilvl w:val="0"/>
          <w:numId w:val="2"/>
        </w:numPr>
        <w:spacing w:after="60"/>
      </w:pPr>
      <w:r>
        <w:t xml:space="preserve">El primer accionista (Adja, familia Al-Quraishi) ha reducido su participación del 28 % al 15 % desde agosto de 2024 [32].</w:t>
      </w:r>
    </w:p>
    <w:p>
      <w:pPr>
        <w:pStyle w:val="ListParagraph"/>
        <w:numPr>
          <w:ilvl w:val="0"/>
          <w:numId w:val="2"/>
        </w:numPr>
        <w:spacing w:after="60"/>
      </w:pPr>
      <w:r>
        <w:t xml:space="preserve">Directivos y familias de consejeros venden: el director financiero, el vicepresidente y Faisal Al-Tuwaijri (5,44 % → 5,15 % en sep-2026) [11, 32].</w:t>
      </w:r>
    </w:p>
    <w:p>
      <w:pPr>
        <w:pStyle w:val="ListParagraph"/>
        <w:numPr>
          <w:ilvl w:val="0"/>
          <w:numId w:val="2"/>
        </w:numPr>
        <w:spacing w:after="60"/>
      </w:pPr>
      <w:r>
        <w:t xml:space="preserve">La comisión de auditoría no tiene mayoría de consejeros independientes [11].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EIC no publica previsiones de ventas, beneficio ni margen; solo la cartera de pedidos en el informe anual (3.300 M SAR a fin de 2025) y comentarios cualitativos [11, 27]. En el anuncio del 3T26 habla de demanda creciente y de entregas retrasadas por la guerra, sin cifras [15]. La guía implícita es el plan de inversión de SEC (220.000 M SAR en 2025-2030), la ampliación de 380 kV en el 3T27 y la fábrica de cubas en 2029 [23, 26,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un analista [38]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un analista [38]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un analista [38]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15,50 – 15,50</w:t>
            </w:r>
          </w:p>
        </w:tc>
      </w:tr>
    </w:tbl>
    <w:p>
      <w:pPr>
        <w:spacing w:after="160" w:before="0"/>
      </w:pPr>
    </w:p>
    <w:p>
      <w:pPr>
        <w:pStyle w:val="Heading2"/>
      </w:pPr>
      <w:r>
        <w:t xml:space="preserve">Revisiones de estimaciones</w:t>
      </w:r>
    </w:p>
    <w:p>
      <w:pPr>
        <w:spacing w:after="100"/>
      </w:pPr>
      <w:r>
        <w:t xml:space="preserve">Cobertura escasa y sin revisar tras el 3T26: MarketScreener recoge un analista con estimaciones abiertas (BPA de 0,75 / 0,86 / 1,09 SAR en 2026-2028e y objetivo de 15,50 SAR), las mismas que antes de los resultados [38, 39]. ANB Capital subió a «Overweight» el 23-jul y esperaba 219,5 M de beneficio en el 3T26, un 24 % más de lo publicado (35 % más que el recurrente) [18, 40]. Con el 3T26, las estimaciones de 2026e (839 M de beneficio) ya no son alcanzables: los 9M26 suman 580 M con el reembolso [16]. Espero recortes; la confianza en el consenso es baja.</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-45,6 %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cerró a 10,17 SAR el 25-oct (10,45-10,47 en la sesión del 26-oct, aún abierta), un 4,9 % menos que hace un año y un 45 % por debajo del máximo de abril de 2026 [37]. Venía de multiplicarse por diez en 2023-2025 (+213 %, +164 % y +60 %) con el beneficio; desde abril ha caído casi a la mitad, primero sin noticias propias (dudas sobre el pico del ciclo, mercado saudí débil) y el 22-oct con el 3T26: −10 %, el límite diario [15, 37]. La rentabilidad a cinco años sigue siendo del 58,5 % anual frente al −2,6 % del ETF saudí [37]. Volatilidad del 39 %, caída máxima del 45,6 % y beta mensual de cinco años de 1,16 frente al mercado saudí (semanal de dos años 1,61) [37].</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-31,2 % / -30,3 % / -41,2 % / -1,7 %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-45,3 % / +2,9 %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2027-03-02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mar-abr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2025 (beneficio +57 %) y dividendo extraordinario de 0,25 SAR, tras la caída del 1-mar (−8 %, primera sesión después de los ataques de EE. UU. e Israel contra Irán) [11, 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abr-jul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Recogida de beneficios tras el máximo del 20-abr hasta 13,49 SAR el 22-jul; −6,4 % el 16-jul y +9,9 % el 23-jul con un beneficio del 2T26 un 55 % mayor [13,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de los resultados, −5,5 % el 29-sep y −5,7 % el 14-oct con el mercado saudí a la baja y ruptura técnica de 14,40 SAR [37, 51]; el 22-oct, −10 % (límite diario) con un 3T26 por debajo de lo esperado: beneficio de 177,7 M frente a 219,5 M de ANB (151,6 M sin el reembolso), ventas −11 % frente al 2T26 y margen bruto del 33,9 % por retrasos y costes de la guerra [15, 16, 18]. Es la causa que este informe incorpora: rebaja la proyección.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consejo aprueba una fábrica de cubas y radiadores para transformadores (150 M SAR, obras del 1T27 al 1T29, efecto desde el 4T29), con caja y líneas bancarias [29,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ventas de 630,5 M (+12,6 %), resultado operativo de 171,2 M (−1,1 %), beneficio de 177,7 M (+10,3 %, con 26,1 M del reembolso de la multa); peor que ANB Capital (219,5 M) [15,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Faisal Al-Tuwaijri baja del 5,44 % al 5,15 % (venta de 3,26 M acciones)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del 2T26 +55 %; ANB Capital sube a «Overweight» (sin revisión publicada tras el 3T26) [13, 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Adja traspasa 42,2 M acciones a sus filiales (reestructuración interna) y queda con el 15,00 % directo; sin anuncios nuevos de accionistas desde entonces [33,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Autoridad de Competencia devuelve los 26,1 M SAR de la multa de 2024, que entran en el beneficio del 3T26 [6,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caída de un mes (−31 %) tiene ahora una causa propia: un 3T26 con ventas por debajo del 2T26, margen bruto 6 puntos menor que un año antes y beneficio recurrente a la baja, achacados a la guerra [15]. Este informe la incorpora: rebaja ventas y margen de 2026e-2028e y el objetivo a 12 meses. No hay hechos pendientes que puedan mover el precio más de un 5 % (sin colocaciones, ampliaciones ni litigios; la fábrica de cubas es pequeña frente a la caja que genera la empresa) y los próximos resultados son los anuales, hacia marzo de 2027 [35]. Los avisos P3-P5 no cambian la señal.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EIC cotiza a 14,9 veces nuestro BPA de 2027e, por encima de la mediana adelantada de 2021-2025 (12,9 veces) y muy por encima del mínimo (5,2 veces en 2022, cuando el mercado no creía en la recuperación). El múltiplo se ha expandido con el beneficio: en 2022-2023 el mercado pagaba 5-8 veces el beneficio del año siguiente y en 2024-2025 13-16 veces [37]. No excluyo ningún año: no hubo pérdidas ni BPA atípico, aunque 2021-2022 son de otro régimen de márgenes. Con el precio actual, el PER de los últimos doce meses (14,5) está en el percentil 20 de su historia al cierre: barato frente a sí misma con el beneficio de hoy, caro si el beneficio de 2027-2028 no crece.</w:t>
      </w:r>
    </w:p>
    <w:p>
      <w:pPr>
        <w:pStyle w:val="Heading1"/>
      </w:pPr>
      <w:r>
        <w:t xml:space="preserve">18. Comparables cotizados</w:t>
      </w:r>
    </w:p>
    <w:p>
      <w:pPr>
        <w:pStyle w:val="Confianza"/>
        <w:spacing w:after="100"/>
      </w:pPr>
      <w:r>
        <w:t xml:space="preserve">Confianza: Media</w:t>
      </w:r>
    </w:p>
    <w:p>
      <w:pPr>
        <w:spacing w:after="100"/>
      </w:pPr>
      <w:r>
        <w:t xml:space="preserve">Fabricantes cotizados de transformadores y equipos de red: HD Hyundai Electric, Hyosung Heavy Industries y LS Electric (Corea), Hammond Power Solutions (Canadá), WEG (Brasil), Siemens Energy (Alemania), Shihlin, Chung-Hsin y Allis (Taiwán) y ElSewedy Electric (Egipto, el más cercano por geografía) [28, 45]. Datos del 16 y 18-oct llevados al cierre del 23 y 25-oct con la variación del precio (de −12 % en Siemens Energy y Hammond a −1 % en LS Electric) [54]. Fuera: Hitachi y Schneider, conglomerados donde los transformadores pesan poco, y Alfanar, que no cotiza.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HD Hyundai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Hyosung Heavy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LS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Hammond Power Solutions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Shihlin Electric &amp; Engineering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Chung-Hsin Electric &amp; Machinery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Allis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419.433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ElSewedy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EG</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15.272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 / 18,1x / 21,1x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 / 19,6x / 23,9x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 / 2,6x / 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EIC tiene el segundo mejor margen EBITDA del grupo (31 % en los últimos doce meses, frente a una mediana del 12,8 %) y cotiza a un PER de los próximos doce meses de 12,1 veces con el consenso previo al 3T26 (14,9 veces con nuestro BPA de 2027e), por debajo de la mediana de los comparables (19,6) y solo por encima de ElSewedy (13,0) [28, 45, 54]. El mercado le aplica el descuento de un fabricante de un solo país, en una zona en guerra, y de un ciclo saudí que puede girar. Los comparables coreanos y taiwaneses cotizan con prima porque venden a EE. UU., donde la escasez es mayor. Peso del 20 %: están en el mismo ciclo alto y sus múltiplos lo incorporan.</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Prolec GE (transformadores; 50 % restante)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 Vernova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39.563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5.275 M USD por el 50 % → 10.550 M USD por el 100 % (39.563 M SAR); ventas de ≈ 3.000 M USD y margen EBITDA ajustado de ≈ 25 % (múltiplos implícitos, cálculo propio) [47].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NSI Industries (equipos y accesorios eléctricos)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Hubbell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3.000 M USD; múltiplo de EBITDA ajustado publicado por Hubbell [48].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AEG Power Solutions (electrónica de potencia)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Hammond Power Solutions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365 M CAD (≈ 258 M USD al cambio del BCE) frente a 326 M CAD de ventas de 2025 [49, 50].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5,38 – 10,36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Tres operaciones recientes en equipos de red: GE Vernova por el 50 % de Prolec GE (14,1 veces el EBITDA), Hubbell por NSI (15,5 veces) y Hammond por AEG Power Solutions (1,1 veces ventas) [47, 48, 49]. Son operaciones de control en EE. UU. y Canadá, en pleno auge de la demanda por los centros de datos, y no hay operaciones con precio en el Golfo. No les doy peso: EIC no es objetivo de compra probable (accionariado disperso saudí) y los múltiplos de control en EE. UU. no se trasladan a un fabricante saudí.</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apoya en los 9M26 publicados (2.000,5 M SAR, +25,2 %) y en un 4T26 de ≈ 700 M, como el 4T25: +17,6 % en el año (2.700 M), frente al +25 % del informe del 19-oct y los 2.872 M del único analista, que no ha revisado [15, 38]. Después: +10 % en 2027e, +8 % en 2028e (con la ampliación de 380 kV desde el 3T27) y del 6 % al 3,5 % hasta 2031e [26]. La cartera solo creció un 3 % en 2025 y el 3T26 creció un 12,6 %: los pedidos ya no crecen al ritmo de las ventas [11, 15]. El crecimiento medio queda muy por debajo del 31 % de 2021-2025, pero por encima del 4,65 % del mercado de Mordor porque el plan de SEC sigue hasta 2030 [21, 23].</w:t>
      </w:r>
    </w:p>
    <w:p>
      <w:pPr>
        <w:keepNext/>
        <w:spacing w:after="100"/>
      </w:pPr>
      <w:r>
        <w:rPr>
          <w:b/>
          <w:bCs/>
        </w:rPr>
        <w:t xml:space="preserve">Márgenes.</w:t>
      </w:r>
    </w:p>
    <w:p>
      <w:pPr>
        <w:spacing w:after="100"/>
      </w:pPr>
      <w:r>
        <w:t xml:space="preserve">El margen EBITDA fue del 12,8 % en 2021, 18,7 % en 2023, 24,4 % en 2024 y 31,0 % en 2025, y ≈ 31 % en los 9M26 [1, 16]. Lo dejo en el 30,8 % en 2026e (4T al 30 %) y lo bajo antes que el 19-oct: 29,5 % en 2027e, 28 % en 2028e y 24,5 % en 2031e, porque el 3T26 ya enseña la presión (margen bruto del 33,9 % frente al 39,9 % del 3T25) y la capacidad nueva del Reino trasladará el fin de la escasez al precio [15, 25]. El 24,5 % sigue por encima del 18,7 % de 2023 y cerca del de HD Hyundai Electric (27,5 %): supongo que parte de la mejora es estructural (alta tensión) [45].</w:t>
      </w:r>
    </w:p>
    <w:p>
      <w:pPr>
        <w:keepNext/>
        <w:spacing w:after="100"/>
      </w:pPr>
      <w:r>
        <w:rPr>
          <w:b/>
          <w:bCs/>
        </w:rPr>
        <w:t xml:space="preserve">Inversión y circulante.</w:t>
      </w:r>
    </w:p>
    <w:p>
      <w:pPr>
        <w:spacing w:after="100"/>
      </w:pPr>
      <w:r>
        <w:t xml:space="preserve">Capex del 6,5 % de las ventas en 2026e y 2027e (ampliación de 380 kV, 192 M SAR, y fábrica de cubas y radiadores, 150 M en 2027-2029), del 5 % en 2028e y del 4 % en 2029e; después el 2,8 %, por encima de la amortización (2,6 %) [26, 29]. Circulante del 38 % de las ventas (existencias, clientes y activos de contrato menos proveedores y anticipos), como en 2024 (38,2 %) y 2025 (37,4 %): su nivel real, sin suponer que libere caja [1]. Tipo impositivo del 6 % (zakat de la parte saudí y 20 % sobre la extranjera; 5,1 % en 2025) [1].</w:t>
      </w:r>
    </w:p>
    <w:p>
      <w:pPr>
        <w:keepNext/>
        <w:spacing w:after="100"/>
      </w:pPr>
      <w:r>
        <w:rPr>
          <w:b/>
          <w:bCs/>
        </w:rPr>
        <w:t xml:space="preserve">Coste del capital.</w:t>
      </w:r>
    </w:p>
    <w:p>
      <w:pPr>
        <w:spacing w:after="100"/>
      </w:pPr>
      <w:r>
        <w:t xml:space="preserve">Flujos en SAR, anclado al USD a 3,75: tasa libre del 5,47 %, el Treasury a 10 años (4,96 %, FRED, 22-oct-2026) más el diferencial soberano de Arabia Saudí (0,51 %, Damodaran) [42, 43, 55]. Beta de 1,1: la ajustada mensual de cinco años frente al mercado saudí es 1,11 (bruta 1,16); con la deuda de EIC (D/E ≈ 1 %), desapalancarla y reapalancarla no la mueve (semanal de cinco años 0,98, de dos años 1,61) [37]. Prima de mercado del 5,5 % y prima adicional del 0,78 % (prima de país de Damodaran para Arabia Saudí) [1, 43]. Coste de la deuda del 5,5 % (murabahas) y peso del 1 %. WACC del 12,23 %; con la prima implícita del mercado (4,2 %) baja al 10,81 % [44].</w:t>
      </w:r>
    </w:p>
    <w:p>
      <w:pPr>
        <w:keepNext/>
        <w:spacing w:after="100"/>
      </w:pPr>
      <w:r>
        <w:rPr>
          <w:b/>
          <w:bCs/>
        </w:rPr>
        <w:t xml:space="preserve">Valor terminal.</w:t>
      </w:r>
    </w:p>
    <w:p>
      <w:pPr>
        <w:spacing w:after="100"/>
      </w:pPr>
      <w:r>
        <w:t xml:space="preserve">Crecimiento a perpetuidad del 3,0 % en SAR/USD: entre la inflación esperada del dólar (2-2,5 %) y la tasa libre menos medio punto (5,0 %); el Reino seguirá electrificándose, pero desde un nivel de inversión muy alto. Gordon con un WACC del 12,23 % implica 8,7 veces el EBITDA terminal, algo por encima de ElSewedy (7,4 veces hoy) y por debajo de lo que el mercado paga hoy por EIC (13,8 veces el EBITDA de los últimos doce meses) [28, 54]. El valor terminal pesa el 64 % del DCF.</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 M (21 %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 (ROIC 70,0 %)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 frente al 8,3 %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 (histórico: 439,8 %)</w:t>
            </w:r>
          </w:p>
        </w:tc>
      </w:tr>
    </w:tbl>
    <w:p>
      <w:pPr>
        <w:spacing w:after="160" w:before="0"/>
      </w:pPr>
    </w:p>
    <w:p>
      <w:pPr>
        <w:spacing w:after="100"/>
      </w:pPr>
      <w:r>
        <w:t xml:space="preserve">La proyección reinvierte el 21 % del NOPAT. Con el ROIC del último ejercicio (70,0 %), eso financia un crecimiento del 14,9 % anual, frente al 8,3 % de ingresos proyectado. Supone que el capital nuevo rinde un 11,9 %, frente a un ROIC incremental histórico del 439,8 %.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9M26 con ventas +25,2 % y 4T26 plano frente al 4T25 por la guerra; precio aún al alza por los contratos de 2025 con SEC (1.410 M en muy alta tensión) [11,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con el plan de SEC y la recuperación de entregas retrasadas; precio todavía positivo por la cartera firmada en 2025-2026 [11, 15, 24].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completo de la ampliación de 380 kV (producción comercial desde el 3T27); el precio deja de subir con la nueva capacidad en el Reino [25, 26].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al ritmo del plan de SEC hasta 2030; precio plano [23].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del plan de SEC 2025-2030 y competencia en precio [23].</w:t>
            </w:r>
          </w:p>
        </w:tc>
      </w:tr>
    </w:tbl>
    <w:p>
      <w:pPr>
        <w:spacing w:after="160" w:before="0"/>
      </w:pPr>
    </w:p>
    <w:p>
      <w:pPr>
        <w:spacing w:after="100"/>
      </w:pPr>
      <w:r>
        <w:t xml:space="preserve">Sí. El crecimiento proyectado (8,3 % anual) es mucho menor que el histórico (31 %) y la reinversión que exige (el 21 % del NOPAT, sobre todo circulante, la ampliación de 380 kV y la fábrica de cubas) financia un 14,9 % al ROIC actual. El capital nuevo rinde en la proyección un 11,9 %, muy por debajo del incremental histórico, porque el margen baja. No hay mercado final fiable para la prueba de cuota; a mano, las ventas de 2031e (≈ 3.680 M SAR) equivalen al 10 % de la inversión anual media del plan de SEC, frente al 7,4 % de los últimos doce meses: 1,36 veces, dentro del límite de 1,5 [23]. El riesgo no es de crecimiento sino de margen, y lo recoge la bajada del 30,8 % al 24,5 %.</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(2027e-2031e)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(base: 6,4 %)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39,5 % (base: 24,5 %)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(WACC: 12,2 %)</w:t>
            </w:r>
          </w:p>
        </w:tc>
      </w:tr>
    </w:tbl>
    <w:p>
      <w:pPr>
        <w:spacing w:after="160" w:before="0"/>
      </w:pPr>
    </w:p>
    <w:p>
      <w:pPr>
        <w:spacing w:after="100"/>
      </w:pPr>
      <w:r>
        <w:t xml:space="preserve">El DCF da 5,78 SAR por acción, un 43,2 % menos que el precio, con un WACC del 12,23 % y un crecimiento terminal del 3 %; el valor terminal pesa el 64 %. El DCF inverso no encuentra un crecimiento que justifique el precio con nuestros márgenes: lo que el precio de 10,17 SAR descuenta es un margen EBITDA terminal del 39,5 %, frente al 31 % de 2025 y de los 9M26 (máximo histórico) y al 13-19 % de 2021-2023, o una rentabilidad implícita del 8,3 %, por debajo de nuestro WACC. Sigue siendo exigente, aunque menos que el 19-oct (margen implícito del 41,8 % a 11,99 SAR): el mercado ha recortado el precio un 15 % y ya no paga un margen que siga subiendo, pero sí uno que no baje nunca. Con la prima implícita del mercado (4,2 %) el DCF sube a 6,85 SAR, todavía muy por debajo del precio. Nuestra lectura: el DCF, con márgenes que vuelven hacia el 24,5 %, es el valor de largo plazo; a 12 meses manda el PER.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Termina la escasez y la guerra se alarga: la capacidad nueva en el Reino y la exportación china e india rompen precios en los concursos de SEC, las entregas siguen retrasadas y las ventas de 2027e caen un 5 %; el margen EBITDA vuelve hacia el 23 % en 2028e. Ya pasó en 2016-2019, cuando la acción cayó cuatro años seguidos [11, 37].</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mantiene su plan hasta 2030, las entregas retrasadas del 3T26 se recuperan y la ampliación de 380 kV entra en 2027: las ventas crecen un 10 % en 2027e y frenan después hasta el 3,5 %, con el margen bajando del 30,8 % al 24,5 % por la competencia.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escasez dura más (centros de datos y renovables del Golfo), la logística se normaliza y la exportación a Europa crece: 5 puntos más de crecimiento cada año y 2,5 más de margen (32 % en 2027e), todavía por debajo de lo que esperaba el único analista con estimaciones abiertas [38].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SAR) · precio actual 10,1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5,60 SAR (-44,9 %).</w:t>
      </w:r>
    </w:p>
    <w:p>
      <w:pPr>
        <w:spacing w:after="100"/>
      </w:pPr>
      <w:r>
        <w:t xml:space="preserve">La asimetría es negativa en valor intrínseco: incluso el alcista (7,33 SAR, -27,9 %) queda por debajo del precio, y el bajista (3,50 SAR, -65,6 %) repite el margen de 2023. Con un WACC del 12,23 % y márgenes que vuelven hacia la media del ciclo, el valor ponderado de los escenarios (5,60 SAR) es un 44,9 % inferior al precio, y el valor intrínseco de la síntesis, con los comparables, un 22,8 % (7,85 SAR). A 12 meses la asimetría es de 0,68 (el alcista gana +55 % y el bajista pierde -75 %): no compensa.</w:t>
      </w:r>
    </w:p>
    <w:p>
      <w:pPr>
        <w:pStyle w:val="Heading1"/>
      </w:pPr>
      <w:r>
        <w:t xml:space="preserve">22. Suma de partes</w:t>
      </w:r>
    </w:p>
    <w:p>
      <w:pPr>
        <w:pStyle w:val="Confianza"/>
        <w:spacing w:after="100"/>
      </w:pPr>
      <w:r>
        <w:t xml:space="preserve">Confianza: Media</w:t>
      </w:r>
    </w:p>
    <w:p>
      <w:pPr>
        <w:spacing w:after="100"/>
      </w:pPr>
      <w:r>
        <w:t xml:space="preserve">No aplica: los servicios (110 M SAR, el 5 % de las ventas de 2025) son el posventa de los mismos equipos y comparten clientes y fábricas con la fabricación; Pauwels (Bélgica) no publica cuentas separadas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SAR) · precio actual 10,1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7,85 SAR (-22,8 % sobre 10,17).</w:t>
      </w:r>
    </w:p>
    <w:p>
      <w:pPr>
        <w:spacing w:after="100"/>
      </w:pPr>
      <w:r>
        <w:t xml:space="preserve">Pesos: DCF 40 %, escenarios 40 % y comparables 20 %; transacciones sin peso (operaciones de control en EE. UU. en pleno auge, sin referencias en el Golfo). La dispersión entre métodos es grande y dice algo: los comparables (PER de los próximos doce meses, de 14,07 a 20,08 SAR) quedan por encima del precio porque usan el BPA del consenso, anterior al 3T26, y todo el sector cotiza el mismo pico; el DCF (5,78) descuenta la vuelta del margen. El puente parte del balance de junio de 2026, el último accesible: deuda de murabahas, arrendamientos e indemnizaciones por cese (139,6 M SAR), y resta el dividendo del 1S26 pagado el 23-ago (139,1 M) neto del reembolso de la multa cobrado en julio (26,1 M) [6, 14, 15].</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(14.9x) a mitad de camino hacia abajo, hacia la mediana de 5 años (12.9x)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+55,1 %</w:t>
            </w:r>
          </w:p>
        </w:tc>
      </w:tr>
    </w:tbl>
    <w:p>
      <w:pPr>
        <w:spacing w:after="160" w:before="0"/>
      </w:pPr>
    </w:p>
    <w:p>
      <w:pPr>
        <w:spacing w:after="100"/>
      </w:pPr>
      <w:r>
        <w:rPr>
          <w:b/>
          <w:bCs/>
        </w:rPr>
        <w:t xml:space="preserve">Objetivo a 12 meses (ponderado):</w:t>
      </w:r>
      <w:r>
        <w:t xml:space="preserve"> 9,26 SAR · rentabilidad -6,5 % (base -3,2 %) · señal Mantener.</w:t>
      </w:r>
    </w:p>
    <w:p>
      <w:pPr>
        <w:spacing w:after="100"/>
      </w:pPr>
      <w:r>
        <w:t xml:space="preserve">Para comparar, con la regla v2 (historia al cierre, mismo precio): 11,1x / 14,9x / 19,4x, 4,9 %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(0,68) queda un 21 % por debajo del único analista con estimaciones abiertas (0,86) y el de 2028e (0,69), un 37 % por debajo (1,09) [38]. Hay dos causas: el analista no ha revisado tras el 3T26 (espera 839 M de beneficio en 2026e y los 9M26 suman 580 M con el reembolso) y espera un margen EBITDA del 34 % en 2027e y del 36 % en 2028e, por encima del máximo de 2025 (31 %), con ventas de 3.765 M en 2028e; nosotros 3.208 M con un margen que baja al 28 % [16, 25]. Revisados los supuestos, mantenemos la diferencia. Su objetivo de 15,50 SAR equivale a 18 veces su BPA de 2027e y queda casi en nuestro alcista a 12 meses.</w:t>
      </w:r>
    </w:p>
    <w:p>
      <w:pPr>
        <w:keepNext/>
        <w:spacing w:after="100"/>
      </w:pPr>
      <w:r>
        <w:rPr>
          <w:b/>
          <w:bCs/>
        </w:rPr>
        <w:t xml:space="preserve">Del valor intrínseco al objetivo a 12 meses.</w:t>
      </w:r>
    </w:p>
    <w:p>
      <w:pPr>
        <w:spacing w:after="100"/>
      </w:pPr>
      <w:r>
        <w:t xml:space="preserve">El objetivo a 12 meses (ponderado 9,26 SAR; base 9,59) queda por debajo del precio (10,17) y por encima del valor intrínseco (7,85): a un año el mercado puede seguir pagando un beneficio que ya no crece, pero no hay recorrido. El base pierde porque el PER actual (14,9 veces nuestro BPA de 2027e) está por encima de su mediana adelantada (12,9) y la regla lo acerca a mitad de camino, y el BPA de 2028e (0,69) apenas crece desde 2027e (0,68) porque la subida de ventas se la come la bajada del margen. El bajista pesa mucho (2,34 SAR) porque combina el BPA de un margen del 23 % con el PER mínimo de 2022 (5,2 veces): es duro, pero es lo que pagó el mercado la última vez que dudó del ciclo saudí. La v2 de control da +4,9 %: tampoco llega a comprar. Cerrar la distancia con el valor intrínseco (-22,8 %) pediría que el margen aguantara por encima del 30 % hasta 2028; no hay un catalizador con fecha que lo anticipe.</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(4T26), cartera de pedidos y dividendo del 2S26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4T26 (¿vuelve hacia el 37 % o se queda en el 34 %?) y si las entregas retrasadas del 3T26 se recuperan; la cartera dirá si los pedidos vuelven a crecer (+3 % en 2025) [11, 15]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Evolución de la guerra y del tráfico por Ormuz</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Fletes, seguros y plazos de entrega, la causa que la empresa da al 3T26 [15, 31]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Concursos de SEC del plan 2025-2030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acuerdos marco de transformadores y subestaciones; precio frente a los de 2025 [23]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comercial de la ampliación de 380 kV</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capacidad en muy alta tensión (192 M SAR de inversión) [26]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 de la fábrica de Voltamp en el Reino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capacidad nueva de transformadores de distribución en competencia directa [25]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1T27-1T29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Obra de la fábrica de cubas y radiadores (150 M SAR)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adicional; integración vertical con efecto en resultados desde el 4T29 [29, 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ciclo de escasez y caída del margen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−39 % (escenario bajista frente al base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3.300 M SAR (1,4 años de ventas), contenido local y única fábrica saudí de alta tensión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trimestral por debajo del 33 % (33,9 % en el 3T26) o cartera de pedidos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Retraso o recorte del plan de inversión de Saudi Electricity</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−25 %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220.000 M SAR en 2025-2030 con 39.000 M invertidos en el 1S26 (+6 %); Aramco y exportación como segunda pata [23, 24].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trimestral de SEC por debajo de 8.000 M SAR o recortes presupuestarios por el petróleo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 capacidad local (Voltamp, filiales de fabricantes extranjeros)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cada 2 puntos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Homologación lenta de SEC y Aramco; diseños de Pauwels hasta 380 kV [11, 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Adjudicaciones de SEC a fábricas nuevas en el Reino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Cobre y chapa magnética con precios fijados al firmar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rotando en 12-18 meses y anticipos de clientes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del cobre de más del 20 % en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que absorbe caja con un reparto del 89 % del beneficio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casi nula y líneas de murabaha con diez bancos [1,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operativo semestral negativo o anticipos por debajo de 450 M SAR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accionistas de referencia y directivos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(presión de oferta)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Liquidez de ≈ 46 M SAR al día; free float del 68,5 % [37].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bajadas de Adja o de la familia Al-Tuwaijri</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Guerra en el Golfo: entregas, fletes y seguros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País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 (un año más con el margen del 3T26)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local con presupuesto público; fábricas en el Reino; caja neta [6, 15].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bruto del 4T26 y tránsitos por Ormuz; el 1-mar-2026 la acción cayó un 8 % y el 22-oct un 10 % [31, 37, 53]</w:t>
            </w:r>
          </w:p>
        </w:tc>
      </w:tr>
    </w:tbl>
    <w:p>
      <w:pPr>
        <w:spacing w:after="160" w:before="0"/>
      </w:pPr>
    </w:p>
    <w:p>
      <w:pPr>
        <w:pStyle w:val="Heading2"/>
      </w:pPr>
      <w:r>
        <w:t xml:space="preserve">Pre-mortem</w:t>
      </w:r>
    </w:p>
    <w:p>
      <w:pPr>
        <w:spacing w:after="100"/>
      </w:pPr>
      <w:r>
        <w:t xml:space="preserve">Octubre de 2029: EIC vale la mitad. Lo que pasó: el 3T26 no fue solo la guerra. La escasez mundial de transformadores terminó en 2027, cuando las fábricas nuevas de Corea, India, China y EE. UU. entraron en producción. En el Reino, Voltamp abrió su planta y dos fabricantes extranjeros ampliaron las suyas; SEC, con el petróleo a la baja, alargó su plan de inversión y apretó precios en los concursos de 2027. La cartera de EIC, estancada desde 2025, bajó de 3.300 a 2.200 M SAR, las ventas de 2028 cayeron a los niveles de 2025 y el margen EBITDA volvió al 20 %. El beneficio se quedó en 450 M SAR y el mercado, que ya pagaba 15 veces, pasó a pagar 10. La ampliación de 380 kV, decidida en el pico, tuvo poca carga. Las ventas de la familia fundadora y de los directivos en 2025-2026 y el margen bruto del 3T26 (33,9 %) fueron las señales que nadie quiso leer.</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Positivo · </w:t>
      </w:r>
      <w:r>
        <w:rPr>
          <w:b/>
          <w:bCs/>
        </w:rPr>
        <w:t xml:space="preserve">Efecto en valor (3-5 años):</w:t>
      </w:r>
      <w:r>
        <w:t xml:space="preserve"> +0 % a +3 %</w:t>
      </w:r>
    </w:p>
    <w:p>
      <w:pPr>
        <w:spacing w:after="100"/>
      </w:pPr>
      <w:r>
        <w:t xml:space="preserve">EIC fabrica transformadores y aparamenta: la IA no sustituye el producto ni el canal de concursos. Le favorece de forma indirecta: los centros de datos de IA (en EE. UU., Europa y los nuevos campus del Golfo) son una de las causas de la escasez mundial de transformadores que ha disparado su margen, y el Reino anuncia centros de datos que piden subestaciones de alta tensión [11, 27]. Le perjudicaría un parón de la inversión en centros de datos, que aceleraría el fin de la escasez y la bajada del margen que ya recoge el caso base. Ninguna de las dos vías mueve el valor más de un 3 % en 3-5 años. Señal: pedidos de subestaciones para centros de datos en el Golfo.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es la seguridad laboral en fábricas pesadas, el uso de aceite mineral y SF6 en transformadores y aparamenta, y la saudización del empleo (requisito legal y de los concursos) [11]. Lo positivo: sus equipos conectan las renovables del Reino a la red, y la fábrica de cubas suma contenido local [11, 30]. No hay calificaciones ESG públicas [11].</w:t>
      </w:r>
    </w:p>
    <w:p>
      <w:pPr>
        <w:pStyle w:val="Heading2"/>
      </w:pPr>
      <w:r>
        <w:t xml:space="preserve">Controversias</w:t>
      </w:r>
    </w:p>
    <w:p>
      <w:pPr>
        <w:spacing w:after="100"/>
      </w:pPr>
      <w:r>
        <w:t xml:space="preserve">La Autoridad General de Competencia la multó con 26,1 M SAR en 2024; EIC recurrió, ganó en apelación y cobró el reembolso en julio de 2026 [1, 6]. No constan otras sanciones ni litigios relevantes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del 3T26</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puntos de los 6 que perdió el margen bruto en el 3T26 (33,9 % frente al 39,9 %) son fletes y seguros de guerra que se pueden repercutir o que desaparecen, y cuántos son precio de la cartera?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la guerra del ciclo: es lo que decide si el caso base es prudente o generoso.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Entregas retrasadas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importe de ventas se retrasó del 3T26 y en qué trimestre se entrega?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4T26 de la proyección (≈ 700 M) supone que se recupera parte.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 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bruto tiene la cartera de 3.300 M SAR frente al 37,5 % de 2025, y qué parte se firmó en 2024-2025 a precios de escasez?</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supone que el margen baja del 32 % al 24,5 %; el analista, que sube al 36 %.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estancada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 cartera solo creció un 3 % en 2025 con ventas un 16 % mayores, y cuánto de los 2.500 M de acuerdos marco se convertirá en pedidos en 2026-2027?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los pedidos no crecen, las ventas de 2027e tampoco.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local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cuota espera perder en distribución cuando entren Voltamp y las ampliaciones de los fabricantes extranjeros, y cómo puntúa SEC el contenido local en los concursos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central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y 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el reparto del 89 % del beneficio con 342 M SAR de capex comprometidos (380 kV y fábrica de cubas) y la deuda ya en 123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2022 el flujo operativo fue negativo y la deuda subió en el 1S26.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Accionistas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intención tienen Adja y la familia Al-Tuwaijri con sus participaciones tras las ventas de 2024-2026?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Presión vendedora y señal sobre el pico del ciclo.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19 de 25 controles correctos y 6 explicados. Fuentes: 55 (20 primarias); citas distintas en el texto: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4,9 %: explica la causa (créditos fiscales, regularizaciones, mezcla de países) y no lo proyectes en el DCF. Explicación: En Arabia Saudí las empresas de propiedad saudí y del Golfo pagan zakat (2,5 % sobre una base patrimonial) y no impuesto de sociedades; solo la parte de los accionistas extranjeros paga un 20 %. Con el 81 % del capital en manos saudíes, el tipo efectivo es del 4,9 % en 2024 y del 5,1 % en 2025; en el DCF uso un 6 % para recoger la subida de los extranjeros (18,96 %) y la filial belga [1, 32].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5,1 %: explica la causa (créditos fiscales, regularizaciones, mezcla de países) y no lo proyectes en el DCF. Explicación: Mismo motivo: zakat en lugar de impuesto de sociedades para la parte saudí del capital; el 5,1 % es estructural, no un crédito fiscal puntual. El DCF proyecta un 6 %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solución en un rango razonable: revisa circulante, capex o márgenes del DCF (un supuesto extremo hace que el valor no responda al crecimiento). Explicación: El precio no se alcanza solo con más crecimiento: con márgenes que vuelven al 24,5 %, un circulante del 38 % de las ventas y un WACC del 12,23 %, más crecimiento consume casi tanta caja como crea. El inverso por margen sí se resuelve: el precio descuenta un margen EBITDA terminal del 39,5 %, frente al 31,0 % de 2025, el 31 % de los 9M26 y el 13-19 % de 2021-2023. Es la cifra que resume lo exigente del precio.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11,9 % frente a un ROIC de 70,0 % y un incremental histórico de 439,8 %: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38,0 % frente a 37,4 % real: genera una variación de circulante de 167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(2027e)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-19,0 % frente al consenso: justifica la diferencia en el DCF. Explicación: El único analista con estimaciones abiertas (anteriores al 3T26) espera un EBITDA de 1.082 M SAR en 2027e (margen del 34 %); yo, 876 M (29,5 %) sobre 2.970 M de ventas. La diferencia es de margen y de punto de partida: el 3T26 dejó el margen bruto en el 33,9 % (39,9 % un año antes) y las ventas un 11 % por debajo del 2T26, y el analista no ha revisado sus cifras [15, 38].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(2028e)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-33,8 % frente al consenso: justifica la diferencia en el DCF. Explicación: El analista espera 3.765 M de ventas y un margen EBITDA del 36 % en 2028e; yo 3.208 M y un 28 %. Supongo que el margen vuelve desde el máximo del ciclo de escasez de transformadores (31 % en 2025 frente al 13-19 % de 2021-2023) con la nueva capacidad en el Reino y los concursos de SEC, y el 3T26 ya muestra la presión de costes [15, 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11.409, publicada 11.756: revisa acciones y precio. Explicación: Argaam publica 11.756 M SAR con el precio de la sesión del 26-oct (10,45) y 1.125 M de acciones emitidas (con la autocartera del 1,11 %); el informe usa el cierre del 25-oct (10,17) y 1.121,8 M de acciones diluidas sin autocartera: 11.409 M. La diferencia es de precio y de autocartera, no de dato [1, 36].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fuentes (20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17, 19, 41, 46, 52.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intermedios: solo amortización semestral o acumulada en el estado de flujos; 2) informe del consejo: sin desglose trimestral; 3) derivarlo prorrateando la amortización: descartado (la amortización es solo un 1,6 % de las ventas y no cambia la lectura)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(presentación y conferencia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(eic.argaam-ir.com) y lista de anuncios de Tadawul (Mubasher, 26-oct-2026): sin presentación ni conferencia de resultados del 3T26 (la empresa nunca las ha hecho); 2) Argaam y Maaal (22-oct): solo la nota de resultados; 3) búsqueda de entrevistas al consejero delegado tras el 3T26: ninguna publicada a 26-oct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resume el anuncio de Tadawul, que da las causas de la variación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intermedios a 30-sep-2026 (balance y flujos)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(Argaam IR): la descarga de los PDF exige la API autenticada, no disponible en esta sesión; 2) Saudi Exchange (perfil de 1303): 403; 3) Stock Analysis y Mubasher: el balance trimestral llega solo a 30-jun-2026 o exige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Balance y puente a 30-jun-2026 con los cobros y pagos posteriores conocidos; patrimonio a 30-sep del anuncio de Tadawul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del consejo 2025: se declara líder y único fabricante de alta tensión, sin cuota; 2) Mordor e IMARC: el tamaño que publican (1.000 M USD) es menor que lo que factura EIC en transformadores (1.811 M SAR ≈ 483 M USD) y no sirve para una cuota fiable; 3) prensa saudí: sin cuota publicada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posición cualitativa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del consejo 2025, sección 47: sin calificaciones externas; 2) búsqueda de MSCI y Sustainalytics para 1303: sin ficha pública abierta; 3) Argaam: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los competidores locales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Alfanar y las filiales saudíes de multinacionales no publican cuentas; 2) Voltamp: cuentas de Omán sin desglose saudí; 3) Stock Analysis: solo los cotizados (usados en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los márgenes van en comparables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del consejo 2025: lista de juntas sin resultados de votación; 2) Tadawul y Argaam: anuncios de resultados de juntas sin porcentajes de voto; 3) prensa: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remuneracion_ceo (individual)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del consejo 2025: solo el total de los seis primeros directivos (19,18 M SAR) y la dieta de consejero del consejero delegado (0,315 M); 2) cuentas, nota 33.2: total del personal clave (27,9 M); 3) normativa saudí: no exige desglose individual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el total de los seis directivos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del consejo 2024-2025: sin objetivos numéricos; 2) entrevistas al consejero delegado (Argaam 2024 y 2025): solo expectativas cualitativas; 3) anuncios de Tadawul: sin previsiones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empresa no publica guía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desde (fecha de nombramiento de consejeros y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del consejo 2025: mandato actual del 9-dic-2024 al 8-dic-2028 sin fecha de primer nombramiento; 2) web de la empresa (consejo y dirección): sin fechas; 3) Argaam: perfiles sin fechas verificables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Saudi Exchange: el préstamo de valores y las ventas en corto cubiertas son mínimos y no se publican por valor; 2) Argaam IR: sin dato; 3) Stock Analysis: sin dato para Tadawul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en el Golfo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Compras de EIC (activos de CG Power Belgium en 2021, terrenos de Pauwels en 2025): sin múltiplo; 2) operaciones del Golfo (Alfanar, Voltamp): sin precio publicado; 3) prensa regional (Argaam, MEED): sin múltiplos oficiales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tres operaciones internacionales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fuente de estimaciones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un solo analista con estimaciones; 2) Argaam: ANB Capital publica previsiones trimestrales y la recomendación, sin objetivo abierto; 3) EFG-Hermes y Sadif: informes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sola fuente de estimaciones; confianza baja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Hawamer (هوامير البورصة), ficha del valor (hawamer.com/stocks/1303, 26-oct-2026): dos hilos del 21 y 22-oct con unas 45 respuestas, pero solo se ven títulos y contadores, no los mensajes (el foro da 403 a la lectura); 2) comentarios de Investing (sa.investing.com, 1303): una treintena sin fecha visible, mezclados de antes y después del desdoblamiento, y la API de Stocktwits no tiene el símbolo (404); 3) Argaam y prensa árabe (CNBC Arabia, Alyaum, Attaqa): notas de resultados sin comentarios de lectores abiertos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hay debate legible y fechado de los últimos tres meses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sostenibilidad.mercado_final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Mordor Intelligence: 1.000 M USD en 2025 para todo el mercado saudí de transformadores, menos que lo que EIC factura en transformadores y subestaciones; 2) IMARC: 249 M USD solo transformadores de potencia; 3) plan de inversión de SEC (220.000 M SAR en 2025-2030): no da el gasto en equipos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prueba de cuota hecha a mano con el plan de SEC</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solo EV/EBITDA de los últimos doce meses y PER adelantado; 2) Yahoo: sin previsiones de EBITDA para Corea, Taiwán y Egipto; 3) MarketScreener: previsiones de EBITDA de pago para los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comparación usa EV/EBITDA LTM y PER NTM</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revisadas tras 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(26-oct): las mismas estimaciones y el mismo objetivo que antes de los resultados; 2) Investing (calendario de resultados de 1303): sin previsiones; 3) Argaam: ANB Capital solo publica la previsión trimestral (219,5 M SAR para el 3T26) y la recomendación, sin objetivo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el consenso previo, marcado como anterior a los resultados; confianza baja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Statements for the year ended 31 December 2025 (auditor KPMG; balance, cuenta, flujos y notas: segmentos, geografía, cliente principal, préstamos, BPA, partes vinculadas, contingencias,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Electrical Industries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https://data.argaam.com/files/download/6a0a4ee4-c8c9-4f36-8b6a-bb85ffced644.pdf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Statements for the year ended 31 December 2024 (KPMG; balance 2024 con anticipos de clientes separados)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Electrical Industries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https://data.argaam.com/files/download/4cb0798c-4de0-47ad-aeff-b687969e5b20.pdf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for the year ended 31 December 2023 (KPMG; cuenta, balance y flujos de 2023 y 2022, segmentos)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https://data.argaam.com/files/download/33ddd64e-6202-4982-8f51-9eb4957e4895.pdf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for the year ended 31 December 2022 (KPMG; cuenta, balance y flujos de 2022 y 2021, segmentos,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https://data.argaam.com/files/download/cfe6acfd-7774-4100-82b3-53e7e6697e1c.pdf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for the year ended 31 December 2021 (PwC)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https://data.argaam.com/files/download/c273157f-b285-44c8-a79b-94e262987d0e.pdf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Condensed consolidated interim financial statements, six months ended 30 June 2026 (balance, cuenta trimestral y semestral, flujos; reembolso de la multa de competencia;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https://data.argaam.com/files/download/e022dcfd-a45f-440e-917f-be13e55ae301.pdf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Condensed consolidated interim financial statements, three months ended 31 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https://data.argaam.com/files/download/09ef0d2a-4d02-4ec2-9682-b8cf4e5a53c5.pdf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Condensed consolidated interim financial statements, nine months ended 30 September 2025 (3T25 y 3T24)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https://data.argaam.com/files/download/1fe39e01-6213-4977-95b3-ac9782f2e194.pdf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Condensed consolidated interim financial statements, six months ended 30 June 2025 (2T25 y 2T24)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https://data.argaam.com/files/download/be68b5aa-867c-48d1-becd-58962f0f120e.pdf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Condensed consolidated interim financial statements, nine months ended 30 September 2024 (3T24 y 3T23)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https://data.argaam.com/files/download/d86a04f2-ffc2-4b22-adb0-77d42a66e36f.pdf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of Directors Annual Report 2025 (ventas por actividad, cartera de pedidos de 3.300 M SAR, acuerdos marco, contratos firmados, dividendos, préstamos por banco, consejo, remuneraciones)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https://data.argaam.com/files/download/4f18836e-1580-4d94-9375-daa1b67b2874.pdf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of Directors Annual Report 2024 (cartera de pedidos de 3.200 M SAR a fin de 2024; capacidad de transformadores de potencia +70 % en el 2S24)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https://data.argaam.com/files/download/175338dd-1d27-4f82-a1d8-ff1ff49ef413.pdf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EIC’s net profits leap 55% in Q2-26 on strong high-voltage project demand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Mubasher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https://english.mubasher.info/news/4645617/EIC-s-net-profits-leap-55-in-Q2-26-on-strong-high-voltage-project-demand/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EIC to distribute 25% cash dividends for H1-26 (0,125 SAR por acción; derecho el 4-ago-2026, pago el 23-ago-2026)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Decypha (Mubasher)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https://www.decypha.com/en/news/details/EIC-to-distribute-25--cash-dividends-for-H1-26/21563934?L=EN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Co. announces its Interim Financial results for the Period Ending on 2026-09-30 (Nine Months): anuncio de Tadawul con ventas, bruto, resultado operativo, beneficio y patrimonio del 3T26 y de los 9M26, causas y reembolso de la multa (26,1 M SAR)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Company (anuncio en Saudi Exchange, vía Mubasher)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https://english.mubasher.info/news/4688656/Electrical-Industries-Co-announces-its-Interim-Financial-results-for-the-Period-Ending-on-2026-09-30-Nine-Months-//news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Electrical Industries 9M 2026 (tablas 3T26 frente a 3T25 y 2T26, 9M26 frente a 9M25; BPA antes de partidas extraordinarias 13,47 halalas en 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https://www.argaam.com/en/financial-reports/company-report/3829/2026/72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Electrical Industries Q1 2026 (tablas 1T26 frente a 1T25 y 4T25)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https://www.argaam.com/en/financial-reports/company-report/3829/2026/70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ANB Capital issues Q3 2026 earnings forecasts (EIC: 219,5 M SAR, +36,3 %)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https://www.argaam.com/en/article/articledetail/id/1943042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Q3 Net Profit Rises 10% to SAR 178 Mln (resultado operativo de 171 M, −1 %)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Maaal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https://maaal.com/en/news/details/electrical-industries-q3/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History (Wescosa 1976, Saudi Transformers, Pauwels, Saudi Power Transformers, más de 1.600 empleados)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Company (web)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https://www.eic.com.sa/about-us/history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Saudi Arabia Transformer Market: 1.000 M USD en 2025, 1.310 M en 2031 (TCAC 4,65 %); distribución 59,85 %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Mordor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https://www.mordorintelligence.com/industry-reports/saudi-arabia-transformer-market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Saudi Arabia Power Transformer Market: 249,0 M USD en 2025, 394,7 M en 2034 (TCAC 5,25 %)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https://www.imarcgroup.com/saudi-arabia-power-transformer-market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Saudi Electricity Company reveals 2030 expenditure details (220.000 M SAR en 2025-2030: 135.000 M en transporte y 85.000 M en distribución)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https://www.meed.com/saudi-electricity-company-reveals-2030-expenditure-details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Expanding customer base sends Saudi Energy revenue up 11% (inversión de 39.000 M SAR en el 1S26, +6 %)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AGBI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https://agbi.com/energy/2026/08/expanding-customer-base-sends-saudi-energy-revenue-up-11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Voltamp Energy to set up RO 9.5m transformer project in Saudi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Oman Observer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https://www.omanobserver.om/article/1149859/business/energy/voltamp-energy-to-set-up-ro-95m-transformer-project-in-saudi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unveils SAR 192M expansion of SPTC plant (transformadores y reactancias de 380 kV; producción comercial en el 3T27)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https://www.argaam.com/en/article/articledetail/id/1728119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sees strong profitability until year-end: CEO (exportaciones del 12 % en el 3T25; Jafurah y Aramco)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https://www.argaam.com/en/article/articledetail/id/1852746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estadísticas de HD Hyundai Electric, Hyosung Heavy Industries, LS Electric, Hammond Power, WEG, Siemens Energy y ElSewedy Electric (16 y 18-oct-2026)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https://stockanalysis.com/quote/egx/SWDY/statistics/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Co. Announces the Board of Directors approval to establish a factory for manufacturing Tanks &amp; Radiators for Power Transformers (150 M SAR; obras del 1T27 al 1T29; efecto desde el 4T29)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Company (anuncio en Saudi Exchange, vía Mubasher)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https://english.mubasher.info/news/4690348/Electrical-Industries-Co-Announces-the-Board-of-Directors-approval-to-establish-a-factory-for-manufacturing-Tanks-Radiators-for-Power-Transformers//news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to build SAR 150M power transformer cooler plant (primera del Reino; producción comercial en el 3T29)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https://www.argaam.com/en/article/articledetail/id/1947090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Middle East shipping insurance costs rise on Hormuz risks: Marsh (prima de riesgo de guerra del 7,5-10 % del casco frente al 1-3 %; 10 tránsitos diarios por Ormuz frente a más de 130 antes del 28-feb-2026)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Commodity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https://www.spglobal.com/energy/en/news-research/latest-news/shipping/072226-middle-east-shipping-insurance-costs-rise-on-hormuz-risks-marsh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Major shareholders, historial de participaciones y propiedad extranjera (Adja 15,00 %; Fahad 5,45 % y Faisal Al-Tuwaijri 5,15 %; extranjeros 18,96 % frente a un máximo del 46 %)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EIC Investor Relations (Argaam IR)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https://eic.argaam-ir.com/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EIC’s major shareholder Ajda transfers 42m shares via internal restructuring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Mubasher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https://english.mubasher.info/news/4646371/EIC-s-major-shareholder-Ajda-transfers-42m-shares-via-internal-restructuring/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eyes further growth in sales, profit in 2024: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https://www.argaam.com/en/article/articledetail/id/1724722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Co. (1303): lista de anuncios en Tadawul a 26-oct-2026 (sin cambios de consejo, dirección ni accionistas desde la carta de Adja del 23-jul-2026; dimisión de un consejero el 15-feb-2026)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Mubasher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https://english.mubasher.info/markets/TDWL/stocks/1303/announcements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 ficha de EIC: recomendaciones (ANB Capital «Overweight» desde el 23-jul-2026) y noticias de octubre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https://www.argaam.com/en/tadawul/tasi/eic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de 1303.SR, KSA (iShares MSCI Saudi Arabia, USD anclado al SAR) y GRID (First Trust Smart Grid): precio, rango, rentabilidades, beta, volatilidad y cierres de ejercicio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https://finance.yahoo.com/quote/1303.SR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estimaciones 2026-2028 de EIC (ventas, EBITDA, EBIT, beneficio, BPA, dividendo; un analista; sin cambios tras el 3T26 al 26-oct: anteriores a los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https://www.marketscreener.com/quote/stock/ELECTRICAL-INDUSTRIES-COM-20708288/finances/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«Outperform», un analista con objetivo de 15,50 SAR; cambios de EFG-Hermes (23-jul) y Sadif (12-feb); página con datos del 26-ago, sin revisión tras 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https://www.marketscreener.com/quote/stock/ELECTRICAL-INDUSTRIES-COM-20708288/consensus/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 ficha de EIC: ANB Capital pasa a «Overweight» (23-jul-2026, antes «Neutral»); previsiones del 2T26 y del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https://www.argaam.com/en/company/companyoverview/marketid/3/companyid/3829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ANB Capital issues Q2 2026 earnings forecasts (EIC: 205,7 M SAR, +50 %)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https://www.argaam.com/en/article/articledetail/id/1920468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DGS10: rendimiento del bono del Tesoro de EE. UU. a 10 años (4,96 % el 22-oct-2026, último dato publicado)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(Arabia Saudí: Aa3, diferencial soberano 0,51 %, prima de país 0,78 %)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https://pages.stern.nyu.edu/~adamodar/New_Home_Page/datafile/ctryprem.html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prima implícita del S&amp;P 500,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estadísticas de HD Hyundai Electric, Hyosung Heavy, LS Electric, Hammond Power, WEG, Shihlin, Chung-Hsin, Allis y Siemens Energy (16-oct-2026), recogidas en el informe de Fortune Electric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https://stockanalysis.com/quote/krx/267260/statistics/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tipos de cambio TWD=X (32,33 por USD) y EGP=X (53,40 por USD), 16-oct-2026; SAR anclado a 3,75 por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https://finance.yahoo.com/quote/TWD=X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 Vernova to fully acquire Prolec GE joint venture (5.275 M USD por el 50 %)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Prolec 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https://www.prolec.energy/news/ge-vernova-to-fully-acquire-prolec-ge-joint-venture/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to acquire NSI Industries (8-K, Ex. 99.1): 3.000 M USD, ~15,5 veces el EBITDA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https://www.sec.gov/Archives/edgar/data/48898/000119312526204099/d133302dex991.htm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Hammond Power Solutions to acquire AEG Power Solutions (valor empresa de 365 M CAD; ventas de ≈ 326 M CAD)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Hammond Power Solutions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https://americas.hammondpowersolutions.com/news/2026/february/hps-aeg-power-solutions-aquisition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16-oct-2026 (USD 1,1253; CAD 1,5935)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Mubasher Research: «سهم الصناعات الكهربائية يواجه ضغوطاً بيعية وسط اختبار مستويات دعم محورية» (análisis técnico: ruptura de 14,40 SAR)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Mubasher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https://www.mubasher.info/markets/TDWL/stocks/1303/news/analysis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EIC logs 42% surge in 9M-25 net profits (publicación de los resultados del 3T25 el 23-oct-2025)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Mubasher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https://english.mubasher.info/news/4512850/EIC-logs-42-surge-in-9M-25-net-profits/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TASI falls 2.2% to 10,476 pts; turnover at SAR 5.4B (primera sesión tras los ataques de EE. UU. e Israel contra Irán, 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https://www.argaam.com/en/market-daily-report/3/56397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cierres diarios de los comparables y tipos de cambio del 14 al 26-oct-2026 (para llevar los múltiplos del 16 y 18-oct al cierre del 23 y 25-oct)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https://finance.yahoo.com/quote/267260.KS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DGS10, descarga CSV del 15-sep al 22-oct-2026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https://fred.stlouisfed.org/graph/fredgraph.csv?id=DGS10&amp;cosd=2026-09-15</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83,6 %</w:t>
      </w:r>
      <w:r>
        <w:t xml:space="preserve"> · Secciones con menos del 60 % de campos cubiertos: </w:t>
      </w:r>
      <w:r>
        <w:rPr>
          <w:b/>
          <w:bCs/>
        </w:rPr>
        <w:t xml:space="preserve">directivos, sentimiento, gobierno</w:t>
      </w:r>
      <w:r>
        <w:t xml:space="preserve"> · Generado el 26 oct 2026.</w:t>
      </w:r>
    </w:p>
    <w:p>
      <w:pPr>
        <w:pStyle w:val="Nota"/>
        <w:spacing w:after="100"/>
      </w:pPr>
      <w:r>
        <w:t xml:space="preserve">Cotiza solo en el mercado principal de Tadawul (1303), en SAR, de domingo a jueves; un inversor extranjero compra como inversor extranjero cualificado (QFI) o mediante swaps; los extranjeros tienen el 18,96 % del capital frente a un máximo publicado del 46 % [32]. Liquidez suficiente: ≈ 44 M SAR al día en tres meses [37]. Precio: cierre del 25-oct-2026 (10,17 SAR); la sesión del 26-oct estaba abierta al hacer el informe (10,45-10,47) [36, 37]. Cuentas: sin XBRL accesible; las anuales auditadas (KPMG desde 2022, PwC en 2021) y los intermedios hasta el 1S26 se descargaron de la web de inversores (Argaam IR) el 19-oct, con los estados escaneados leídos a mano [1, 2, 3, 4, 5, 6, 7, 8, 9, 10]. </w:t>
      </w:r>
      <w:r>
        <w:rPr>
          <w:b/>
        </w:rPr>
        <w:t xml:space="preserve">Los estados intermedios de los 9M26 no se pudieron descargar</w:t>
      </w:r>
      <w:r>
        <w:t xml:space="preserve"> (la API de Argaam IR no estaba disponible y Tadawul bloquea la lectura): el 3T26 sale del anuncio oficial de Tadawul (ventas, bruto, resultado operativo, beneficio y patrimonio) y de Argaam [15, 16], y el balance y el puente siguen a 30-jun-2026 con los cobros y pagos posteriores conocidos. La empresa no publica EBITDA trimestral, presentaciones, conferencias ni previsiones. Solo un analista publica estimaciones abiertas (MarketScreener), y no las ha revisado tras el 3T26 [38]. Índice: el ETF iShares MSCI Saudi Arabia (KSA, en USD; el SAR está anclado a 3,75 por USD), porque el TASI no tiene serie en Yahoo [37].</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Electrical Industries Company (1303.SR)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(SAR) · precio actual 10,17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(9,98 – 19,90)</c:v>
                </c:pt>
                <c:pt idx="1">
                  <c:v>Precio objetivo de los analistas (15,50 – 15,50)</c:v>
                </c:pt>
                <c:pt idx="2">
                  <c:v>Comparables: PER NTM (14,07 – 20,08)</c:v>
                </c:pt>
                <c:pt idx="3">
                  <c:v>Transacciones precedentes (EV/ventas) (5,38 – 10,36)</c:v>
                </c:pt>
                <c:pt idx="4">
                  <c:v>DCF (WACC y g ± 0,5) (5,28 – 6,39)</c:v>
                </c:pt>
                <c:pt idx="5">
                  <c:v>Escenarios (bajista – alcista) (3,50 – 7,33)</c:v>
                </c:pt>
                <c:pt idx="6">
                  <c:v>DCF con la prima implícita del mercado (4,2 %)</c:v>
                </c:pt>
                <c:pt idx="7">
                  <c:v>Precio actual (10,17)</c:v>
                </c:pt>
              </c:strCache>
            </c:strRef>
          </c:cat>
          <c:val>
            <c:numRef>
              <c:f>Hoja1!$B$2:$B$9</c:f>
              <c:numCache>
                <c:formatCode>#,##0.0</c:formatCode>
                <c:ptCount val="8"/>
                <c:pt idx="0">
                  <c:v>9.98</c:v>
                </c:pt>
                <c:pt idx="1">
                  <c:v>15.5</c:v>
                </c:pt>
                <c:pt idx="2">
                  <c:v>14.07</c:v>
                </c:pt>
                <c:pt idx="3">
                  <c:v>5.38</c:v>
                </c:pt>
                <c:pt idx="4">
                  <c:v>5.28</c:v>
                </c:pt>
                <c:pt idx="5">
                  <c:v>3.5</c:v>
                </c:pt>
                <c:pt idx="6">
                  <c:v>6.43</c:v>
                </c:pt>
                <c:pt idx="7">
                  <c:v>10.12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(9,98 – 19,90)</c:v>
                </c:pt>
                <c:pt idx="1">
                  <c:v>Precio objetivo de los analistas (15,50 – 15,50)</c:v>
                </c:pt>
                <c:pt idx="2">
                  <c:v>Comparables: PER NTM (14,07 – 20,08)</c:v>
                </c:pt>
                <c:pt idx="3">
                  <c:v>Transacciones precedentes (EV/ventas) (5,38 – 10,36)</c:v>
                </c:pt>
                <c:pt idx="4">
                  <c:v>DCF (WACC y g ± 0,5) (5,28 – 6,39)</c:v>
                </c:pt>
                <c:pt idx="5">
                  <c:v>Escenarios (bajista – alcista) (3,50 – 7,33)</c:v>
                </c:pt>
                <c:pt idx="6">
                  <c:v>DCF con la prima implícita del mercado (4,2 %)</c:v>
                </c:pt>
                <c:pt idx="7">
                  <c:v>Precio actual (10,17)</c:v>
                </c:pt>
              </c:strCache>
            </c:strRef>
          </c:cat>
          <c:val>
            <c:numRef>
              <c:f>Hoja1!$C$2:$C$9</c:f>
              <c:numCache>
                <c:formatCode>#,##0.0</c:formatCode>
                <c:ptCount val="8"/>
                <c:pt idx="0">
                  <c:v>9.919999999999998</c:v>
                </c:pt>
                <c:pt idx="1">
                  <c:v>0</c:v>
                </c:pt>
                <c:pt idx="2">
                  <c:v>6.009999999999998</c:v>
                </c:pt>
                <c:pt idx="3">
                  <c:v>4.9799999999999995</c:v>
                </c:pt>
                <c:pt idx="4">
                  <c:v>1.1099999999999994</c:v>
                </c:pt>
                <c:pt idx="5">
                  <c:v>3.83</c:v>
                </c:pt>
                <c:pt idx="6">
                  <c:v>0.9000000000000004</c:v>
                </c:pt>
                <c:pt idx="7">
                  <c:v>0.10000000000000142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(SAR, millones)</a:t>
            </a:r>
          </a:p>
        </c:rich>
      </c:tx>
      <c:overlay val="0"/>
    </c:title>
    <c:autoTitleDeleted val="0"/>
    <c:plotArea>
      <c:layout/>
      <c:barChart>
        <c:barDir val="col"/>
        <c:grouping val="stacked"/>
        <c:varyColors val="0"/>
        <c:ser>
          <c:idx val="0"/>
          <c:order val="0"/>
          <c:tx>
            <c:strRef>
              <c:f>Hoja1!$B$1</c:f>
              <c:strCache>
                <c:ptCount val="1"/>
                <c:pt idx="0">
                  <c:v>Fabricación y suministro</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702.3</c:v>
                </c:pt>
                <c:pt idx="1">
                  <c:v>990.5</c:v>
                </c:pt>
                <c:pt idx="2">
                  <c:v>1470.4</c:v>
                </c:pt>
                <c:pt idx="3">
                  <c:v>1898.3</c:v>
                </c:pt>
                <c:pt idx="4">
                  <c:v>2185.9</c:v>
                </c:pt>
              </c:numCache>
            </c:numRef>
          </c:val>
        </c:ser>
        <c:ser>
          <c:idx val="1"/>
          <c:order val="1"/>
          <c:tx>
            <c:strRef>
              <c:f>Hoja1!$C$1</c:f>
              <c:strCache>
                <c:ptCount val="1"/>
                <c:pt idx="0">
                  <c:v>Servicios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68.4</c:v>
                </c:pt>
                <c:pt idx="1">
                  <c:v>75.6</c:v>
                </c:pt>
                <c:pt idx="2">
                  <c:v>89</c:v>
                </c:pt>
                <c:pt idx="3">
                  <c:v>88.8</c:v>
                </c:pt>
                <c:pt idx="4">
                  <c:v>110.3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Fabricación y suministro</c:v>
                </c:pt>
                <c:pt idx="1">
                  <c:v>Servicios</c:v>
                </c:pt>
              </c:strCache>
            </c:strRef>
          </c:cat>
          <c:val>
            <c:numRef>
              <c:f>Hoja1!$B$2:$B$3</c:f>
              <c:numCache>
                <c:formatCode>General</c:formatCode>
                <c:ptCount val="2"/>
                <c:pt idx="0">
                  <c:v>95.2</c:v>
                </c:pt>
                <c:pt idx="1">
                  <c:v>4.8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Arabia Saudí</c:v>
                </c:pt>
                <c:pt idx="1">
                  <c:v>Europa</c:v>
                </c:pt>
                <c:pt idx="2">
                  <c:v>Otros países del Golfo</c:v>
                </c:pt>
                <c:pt idx="3">
                  <c:v>Asia</c:v>
                </c:pt>
              </c:strCache>
            </c:strRef>
          </c:cat>
          <c:val>
            <c:numRef>
              <c:f>Hoja1!$B$2:$B$5</c:f>
              <c:numCache>
                <c:formatCode>0"%"</c:formatCode>
                <c:ptCount val="4"/>
                <c:pt idx="0">
                  <c:v>89.5</c:v>
                </c:pt>
                <c:pt idx="1">
                  <c:v>7.6</c:v>
                </c:pt>
                <c:pt idx="2">
                  <c:v>2.8</c:v>
                </c:pt>
                <c:pt idx="3">
                  <c:v>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(mercado saudí de transformadores, Mordor Intelligence))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2025</c:v>
                </c:pt>
                <c:pt idx="1">
                  <c:v>2026e</c:v>
                </c:pt>
                <c:pt idx="2">
                  <c:v>2031e</c:v>
                </c:pt>
              </c:strCache>
            </c:strRef>
          </c:cat>
          <c:val>
            <c:numRef>
              <c:f>Hoja1!$B$2:$B$4</c:f>
              <c:numCache>
                <c:formatCode>#,##0</c:formatCode>
                <c:ptCount val="3"/>
                <c:pt idx="0">
                  <c:v>1000</c:v>
                </c:pt>
                <c:pt idx="1">
                  <c:v>1050</c:v>
                </c:pt>
                <c:pt idx="2">
                  <c:v>1310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3</c:v>
                </c:pt>
                <c:pt idx="3">
                  <c:v>3</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EIC</c:v>
                </c:pt>
                <c:pt idx="1">
                  <c:v>Alfanar</c:v>
                </c:pt>
                <c:pt idx="2">
                  <c:v>Hitachi Energy, Siemens Energy y Schneider (filiales saudíes)</c:v>
                </c:pt>
                <c:pt idx="3">
                  <c:v>ElSewedy Electric</c:v>
                </c:pt>
                <c:pt idx="4">
                  <c:v>HD Hyundai Electric</c:v>
                </c:pt>
                <c:pt idx="5">
                  <c:v>Voltamp Energy</c:v>
                </c:pt>
              </c:strCache>
            </c:strRef>
          </c:cat>
          <c:val>
            <c:numRef>
              <c:f>Hoja1!$B$2:$B$7</c:f>
              <c:numCache>
                <c:formatCode>0.0"%"</c:formatCode>
                <c:ptCount val="6"/>
                <c:pt idx="0">
                  <c:v>29.4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(SAR,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Hoja1!$A$2:$A$12</c:f>
              <c:strCache>
                <c:ptCount val="11"/>
                <c:pt idx="0">
                  <c:v>2021</c:v>
                </c:pt>
                <c:pt idx="1">
                  <c:v>2022</c:v>
                </c:pt>
                <c:pt idx="2">
                  <c:v>2023</c:v>
                </c:pt>
                <c:pt idx="3">
                  <c:v>2024</c:v>
                </c:pt>
                <c:pt idx="4">
                  <c:v>2025</c:v>
                </c:pt>
                <c:pt idx="5">
                  <c:v>2026e</c:v>
                </c:pt>
                <c:pt idx="6">
                  <c:v>2027e</c:v>
                </c:pt>
                <c:pt idx="7">
                  <c:v>2028e</c:v>
                </c:pt>
                <c:pt idx="8">
                  <c:v>2029e</c:v>
                </c:pt>
                <c:pt idx="9">
                  <c:v>2030e</c:v>
                </c:pt>
                <c:pt idx="10">
                  <c:v>2031e</c:v>
                </c:pt>
              </c:strCache>
            </c:strRef>
          </c:cat>
          <c:val>
            <c:numRef>
              <c:f>Hoja1!$B$2:$B$12</c:f>
              <c:numCache>
                <c:formatCode>#,##0</c:formatCode>
                <c:ptCount val="11"/>
                <c:pt idx="0">
                  <c:v>770.7</c:v>
                </c:pt>
                <c:pt idx="1">
                  <c:v>1066.1</c:v>
                </c:pt>
                <c:pt idx="2">
                  <c:v>1559.4</c:v>
                </c:pt>
                <c:pt idx="3">
                  <c:v>1987.1</c:v>
                </c:pt>
                <c:pt idx="4">
                  <c:v>2296.2</c:v>
                </c:pt>
                <c:pt idx="5">
                  <c:v>2700</c:v>
                </c:pt>
                <c:pt idx="6">
                  <c:v>2970</c:v>
                </c:pt>
                <c:pt idx="7">
                  <c:v>3208</c:v>
                </c:pt>
                <c:pt idx="8">
                  <c:v>3400</c:v>
                </c:pt>
                <c:pt idx="9">
                  <c:v>3553</c:v>
                </c:pt>
                <c:pt idx="10">
                  <c:v>3678</c:v>
                </c:pt>
              </c:numCache>
            </c:numRef>
          </c:val>
        </c:ser>
        <c:ser>
          <c:idx val="1"/>
          <c:order val="1"/>
          <c:tx>
            <c:strRef>
              <c:f>Hoja1!$C$1</c:f>
              <c:strCache>
                <c:ptCount val="1"/>
                <c:pt idx="0">
                  <c:v>EBITDA</c:v>
                </c:pt>
              </c:strCache>
            </c:strRef>
          </c:tx>
          <c:spPr>
            <a:solidFill>
              <a:srgbClr val="EB6834"/>
            </a:solidFill>
            <a:ln w="9525">
              <a:noFill/>
            </a:ln>
          </c:spPr>
          <c:invertIfNegative val="0"/>
          <c:cat>
            <c:strRef>
              <c:f>Hoja1!$A$2:$A$12</c:f>
              <c:strCache>
                <c:ptCount val="11"/>
                <c:pt idx="0">
                  <c:v>2021</c:v>
                </c:pt>
                <c:pt idx="1">
                  <c:v>2022</c:v>
                </c:pt>
                <c:pt idx="2">
                  <c:v>2023</c:v>
                </c:pt>
                <c:pt idx="3">
                  <c:v>2024</c:v>
                </c:pt>
                <c:pt idx="4">
                  <c:v>2025</c:v>
                </c:pt>
                <c:pt idx="5">
                  <c:v>2026e</c:v>
                </c:pt>
                <c:pt idx="6">
                  <c:v>2027e</c:v>
                </c:pt>
                <c:pt idx="7">
                  <c:v>2028e</c:v>
                </c:pt>
                <c:pt idx="8">
                  <c:v>2029e</c:v>
                </c:pt>
                <c:pt idx="9">
                  <c:v>2030e</c:v>
                </c:pt>
                <c:pt idx="10">
                  <c:v>2031e</c:v>
                </c:pt>
              </c:strCache>
            </c:strRef>
          </c:cat>
          <c:val>
            <c:numRef>
              <c:f>Hoja1!$C$2:$C$12</c:f>
              <c:numCache>
                <c:formatCode>#,##0</c:formatCode>
                <c:ptCount val="11"/>
                <c:pt idx="0">
                  <c:v>99</c:v>
                </c:pt>
                <c:pt idx="1">
                  <c:v>159.4</c:v>
                </c:pt>
                <c:pt idx="2">
                  <c:v>292.2</c:v>
                </c:pt>
                <c:pt idx="3">
                  <c:v>510.90000000000003</c:v>
                </c:pt>
                <c:pt idx="4">
                  <c:v>710.8</c:v>
                </c:pt>
                <c:pt idx="5">
                  <c:v>832</c:v>
                </c:pt>
                <c:pt idx="6">
                  <c:v>876</c:v>
                </c:pt>
                <c:pt idx="7">
                  <c:v>898</c:v>
                </c:pt>
                <c:pt idx="8">
                  <c:v>901</c:v>
                </c:pt>
                <c:pt idx="9">
                  <c:v>906</c:v>
                </c:pt>
                <c:pt idx="10">
                  <c:v>901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19.4</c:v>
                </c:pt>
                <c:pt idx="1">
                  <c:v>22.3</c:v>
                </c:pt>
                <c:pt idx="2">
                  <c:v>25.7</c:v>
                </c:pt>
                <c:pt idx="3">
                  <c:v>33.5</c:v>
                </c:pt>
                <c:pt idx="4">
                  <c:v>37.5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12.8</c:v>
                </c:pt>
                <c:pt idx="1">
                  <c:v>15</c:v>
                </c:pt>
                <c:pt idx="2">
                  <c:v>18.7</c:v>
                </c:pt>
                <c:pt idx="3">
                  <c:v>25.7</c:v>
                </c:pt>
                <c:pt idx="4">
                  <c:v>31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9.1</c:v>
                </c:pt>
                <c:pt idx="1">
                  <c:v>12.3</c:v>
                </c:pt>
                <c:pt idx="2">
                  <c:v>17</c:v>
                </c:pt>
                <c:pt idx="3">
                  <c:v>24.3</c:v>
                </c:pt>
                <c:pt idx="4">
                  <c:v>29.4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6.3</c:v>
                </c:pt>
                <c:pt idx="1">
                  <c:v>8.8</c:v>
                </c:pt>
                <c:pt idx="2">
                  <c:v>12.9</c:v>
                </c:pt>
                <c:pt idx="3">
                  <c:v>20.2</c:v>
                </c:pt>
                <c:pt idx="4">
                  <c:v>27.4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7.8</c:v>
                </c:pt>
                <c:pt idx="1">
                  <c:v>-6.5</c:v>
                </c:pt>
                <c:pt idx="2">
                  <c:v>7.4</c:v>
                </c:pt>
                <c:pt idx="3">
                  <c:v>10.7</c:v>
                </c:pt>
                <c:pt idx="4">
                  <c:v>57.2</c:v>
                </c:pt>
                <c:pt idx="5">
                  <c:v>30.5</c:v>
                </c:pt>
                <c:pt idx="6">
                  <c:v>33.4</c:v>
                </c:pt>
                <c:pt idx="7">
                  <c:v>12.6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184</c:v>
                </c:pt>
                <c:pt idx="1">
                  <c:v>159</c:v>
                </c:pt>
                <c:pt idx="2">
                  <c:v>131</c:v>
                </c:pt>
                <c:pt idx="3">
                  <c:v>114</c:v>
                </c:pt>
                <c:pt idx="4">
                  <c:v>133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259</c:v>
                </c:pt>
                <c:pt idx="1">
                  <c:v>317</c:v>
                </c:pt>
                <c:pt idx="2">
                  <c:v>287</c:v>
                </c:pt>
                <c:pt idx="3">
                  <c:v>209</c:v>
                </c:pt>
                <c:pt idx="4">
                  <c:v>222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73</c:v>
                </c:pt>
                <c:pt idx="1">
                  <c:v>66</c:v>
                </c:pt>
                <c:pt idx="2">
                  <c:v>52</c:v>
                </c:pt>
                <c:pt idx="3">
                  <c:v>39</c:v>
                </c:pt>
                <c:pt idx="4">
                  <c:v>50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(SAR,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-15</c:v>
                </c:pt>
                <c:pt idx="1">
                  <c:v>-102.19999999999999</c:v>
                </c:pt>
                <c:pt idx="2">
                  <c:v>80.4</c:v>
                </c:pt>
                <c:pt idx="3">
                  <c:v>639.2</c:v>
                </c:pt>
                <c:pt idx="4">
                  <c:v>493.3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48.8</c:v>
                </c:pt>
                <c:pt idx="1">
                  <c:v>94.2</c:v>
                </c:pt>
                <c:pt idx="2">
                  <c:v>201</c:v>
                </c:pt>
                <c:pt idx="3">
                  <c:v>401.7</c:v>
                </c:pt>
                <c:pt idx="4">
                  <c:v>629.9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c:v>
                </c:pt>
                <c:pt idx="1">
                  <c:v>12.7</c:v>
                </c:pt>
                <c:pt idx="2">
                  <c:v>22.5</c:v>
                </c:pt>
                <c:pt idx="3">
                  <c:v>47.3</c:v>
                </c:pt>
                <c:pt idx="4">
                  <c:v>70</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12.2</c:v>
                </c:pt>
                <c:pt idx="1">
                  <c:v>12.2</c:v>
                </c:pt>
                <c:pt idx="2">
                  <c:v>12.2</c:v>
                </c:pt>
                <c:pt idx="3">
                  <c:v>12.2</c:v>
                </c:pt>
                <c:pt idx="4">
                  <c:v>12.2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8.3</c:v>
                </c:pt>
                <c:pt idx="1">
                  <c:v>15.5</c:v>
                </c:pt>
                <c:pt idx="2">
                  <c:v>29.2</c:v>
                </c:pt>
                <c:pt idx="3">
                  <c:v>47.5</c:v>
                </c:pt>
                <c:pt idx="4">
                  <c:v>56.1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1.95</c:v>
                </c:pt>
                <c:pt idx="1">
                  <c:v>2.1</c:v>
                </c:pt>
                <c:pt idx="2">
                  <c:v>1.19</c:v>
                </c:pt>
                <c:pt idx="3">
                  <c:v>-0.19</c:v>
                </c:pt>
                <c:pt idx="4">
                  <c:v>-0.45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(SAR,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2026</c:v>
                </c:pt>
              </c:strCache>
            </c:strRef>
          </c:cat>
          <c:val>
            <c:numRef>
              <c:f>Hoja1!$B$2</c:f>
              <c:numCache>
                <c:formatCode>#,##0</c:formatCode>
                <c:ptCount val="1"/>
                <c:pt idx="0">
                  <c:v>15.1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(SAR,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0.1</c:v>
                </c:pt>
                <c:pt idx="1">
                  <c:v>0</c:v>
                </c:pt>
                <c:pt idx="2">
                  <c:v>6.3</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22.3</c:v>
                </c:pt>
                <c:pt idx="1">
                  <c:v>45</c:v>
                </c:pt>
                <c:pt idx="2">
                  <c:v>84.4</c:v>
                </c:pt>
                <c:pt idx="3">
                  <c:v>196.6</c:v>
                </c:pt>
                <c:pt idx="4">
                  <c:v>280.1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0.2</c:v>
                </c:pt>
                <c:pt idx="1">
                  <c:v>0</c:v>
                </c:pt>
                <c:pt idx="2">
                  <c:v>3.1</c:v>
                </c:pt>
                <c:pt idx="3">
                  <c:v>1.8</c:v>
                </c:pt>
                <c:pt idx="4">
                  <c:v>5.6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Independiente</c:v>
                </c:pt>
                <c:pt idx="2">
                  <c:v>Ejecutivo</c:v>
                </c:pt>
              </c:strCache>
            </c:strRef>
          </c:cat>
          <c:val>
            <c:numRef>
              <c:f>Hoja1!$B$2:$B$4</c:f>
              <c:numCache>
                <c:formatCode>0</c:formatCode>
                <c:ptCount val="3"/>
                <c:pt idx="0">
                  <c:v>4</c:v>
                </c:pt>
                <c:pt idx="1">
                  <c:v>3</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Adja Company for Industrial Services (familia Al-Quraishi)</c:v>
                </c:pt>
                <c:pt idx="1">
                  <c:v>Fahad Saad Al-Tuwaijri</c:v>
                </c:pt>
                <c:pt idx="2">
                  <c:v>Faisal Saad Al-Tuwaijri</c:v>
                </c:pt>
                <c:pt idx="3">
                  <c:v>Mahmoud Al-Toukhi y familiares</c:v>
                </c:pt>
                <c:pt idx="4">
                  <c:v>Inversores extranjeros (todos)</c:v>
                </c:pt>
                <c:pt idx="5">
                  <c:v>Autocartera</c:v>
                </c:pt>
              </c:strCache>
            </c:strRef>
          </c:cat>
          <c:val>
            <c:numRef>
              <c:f>Hoja1!$B$2:$B$7</c:f>
              <c:numCache>
                <c:formatCode>0.0"%"</c:formatCode>
                <c:ptCount val="6"/>
                <c:pt idx="0">
                  <c:v>15</c:v>
                </c:pt>
                <c:pt idx="1">
                  <c:v>5.45</c:v>
                </c:pt>
                <c:pt idx="2">
                  <c:v>5.15</c:v>
                </c:pt>
                <c:pt idx="3">
                  <c:v>5.91</c:v>
                </c:pt>
                <c:pt idx="4">
                  <c:v>18.96</c:v>
                </c:pt>
                <c:pt idx="5">
                  <c:v>1.11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-28.8</c:v>
                </c:pt>
                <c:pt idx="1">
                  <c:v>-9.5</c:v>
                </c:pt>
                <c:pt idx="2">
                  <c:v>-16.2</c:v>
                </c:pt>
                <c:pt idx="3">
                  <c:v>-7.1</c:v>
                </c:pt>
                <c:pt idx="4">
                  <c:v>64.1</c:v>
                </c:pt>
                <c:pt idx="5">
                  <c:v>9.2</c:v>
                </c:pt>
                <c:pt idx="6">
                  <c:v>-11.9</c:v>
                </c:pt>
                <c:pt idx="7">
                  <c:v>212.7</c:v>
                </c:pt>
                <c:pt idx="8">
                  <c:v>163.5</c:v>
                </c:pt>
                <c:pt idx="9">
                  <c:v>60.2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7.7</c:v>
                </c:pt>
                <c:pt idx="1">
                  <c:v>6.1</c:v>
                </c:pt>
                <c:pt idx="2">
                  <c:v>13.1</c:v>
                </c:pt>
                <c:pt idx="3">
                  <c:v>9.3</c:v>
                </c:pt>
                <c:pt idx="4">
                  <c:v>2.7</c:v>
                </c:pt>
                <c:pt idx="5">
                  <c:v>33.6</c:v>
                </c:pt>
                <c:pt idx="6">
                  <c:v>-6.1</c:v>
                </c:pt>
                <c:pt idx="7">
                  <c:v>15</c:v>
                </c:pt>
                <c:pt idx="8">
                  <c:v>-0.2</c:v>
                </c:pt>
                <c:pt idx="9">
                  <c:v>-8.2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14.3</c:v>
                </c:pt>
                <c:pt idx="1">
                  <c:v>8.7</c:v>
                </c:pt>
                <c:pt idx="2">
                  <c:v>12</c:v>
                </c:pt>
                <c:pt idx="3">
                  <c:v>15.7</c:v>
                </c:pt>
                <c:pt idx="4">
                  <c:v>17.2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14.3</c:v>
                </c:pt>
                <c:pt idx="1">
                  <c:v>14.3</c:v>
                </c:pt>
                <c:pt idx="2">
                  <c:v>14.3</c:v>
                </c:pt>
                <c:pt idx="3">
                  <c:v>14.3</c:v>
                </c:pt>
                <c:pt idx="4">
                  <c:v>14.3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EIC</c:v>
                </c:pt>
                <c:pt idx="1">
                  <c:v>HD Hyundai Electric</c:v>
                </c:pt>
                <c:pt idx="2">
                  <c:v>Hyosung Heavy Industries</c:v>
                </c:pt>
                <c:pt idx="3">
                  <c:v>LS Electric</c:v>
                </c:pt>
                <c:pt idx="4">
                  <c:v>Hammond Power Solutions</c:v>
                </c:pt>
                <c:pt idx="5">
                  <c:v>WEG</c:v>
                </c:pt>
                <c:pt idx="6">
                  <c:v>Shihlin Electric &amp; Engineering</c:v>
                </c:pt>
                <c:pt idx="7">
                  <c:v>Chung-Hsin Electric &amp; Machinery</c:v>
                </c:pt>
                <c:pt idx="8">
                  <c:v>Allis Electric</c:v>
                </c:pt>
                <c:pt idx="9">
                  <c:v>Siemens Energy</c:v>
                </c:pt>
                <c:pt idx="10">
                  <c:v>ElSewedy Electric</c:v>
                </c:pt>
              </c:strCache>
            </c:strRef>
          </c:cat>
          <c:val>
            <c:numRef>
              <c:f>Hoja1!$B$2:$B$12</c:f>
              <c:numCache>
                <c:formatCode>0.0"x"</c:formatCode>
                <c:ptCount val="11"/>
                <c:pt idx="0">
                  <c:v>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Prolec GE (transformadores; 50 % restante)</c:v>
                </c:pt>
                <c:pt idx="1">
                  <c:v>NSI Industries (equipos y accesorios eléctricos)</c:v>
                </c:pt>
                <c:pt idx="2">
                  <c:v>AEG Power Solutions (electrónica de potencia)</c:v>
                </c:pt>
              </c:strCache>
            </c:strRef>
          </c:cat>
          <c:val>
            <c:numRef>
              <c:f>Hoja1!$B$2:$B$4</c:f>
              <c:numCache>
                <c:formatCode>0.0"x"</c:formatCode>
                <c:ptCount val="3"/>
                <c:pt idx="0">
                  <c:v>14.1</c:v>
                </c:pt>
                <c:pt idx="1">
                  <c:v>15.5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(SAR,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2026e</c:v>
                </c:pt>
                <c:pt idx="1">
                  <c:v>2027e</c:v>
                </c:pt>
                <c:pt idx="2">
                  <c:v>2028e</c:v>
                </c:pt>
                <c:pt idx="3">
                  <c:v>2029e</c:v>
                </c:pt>
                <c:pt idx="4">
                  <c:v>2030e</c:v>
                </c:pt>
                <c:pt idx="5">
                  <c:v>2031e</c:v>
                </c:pt>
              </c:strCache>
            </c:strRef>
          </c:cat>
          <c:val>
            <c:numRef>
              <c:f>Hoja1!$B$2:$B$7</c:f>
              <c:numCache>
                <c:formatCode>#,##0</c:formatCode>
                <c:ptCount val="6"/>
                <c:pt idx="0">
                  <c:v>442</c:v>
                </c:pt>
                <c:pt idx="1">
                  <c:v>531</c:v>
                </c:pt>
                <c:pt idx="2">
                  <c:v>598</c:v>
                </c:pt>
                <c:pt idx="3">
                  <c:v>643</c:v>
                </c:pt>
                <c:pt idx="4">
                  <c:v>699</c:v>
                </c:pt>
                <c:pt idx="5">
                  <c:v>703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(SAR,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2400</c:v>
                </c:pt>
                <c:pt idx="1">
                  <c:v>4313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(SAR) · precio actual 10,17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3.5</c:v>
                </c:pt>
                <c:pt idx="1">
                  <c:v>5.78</c:v>
                </c:pt>
                <c:pt idx="2">
                  <c:v>7.33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(SAR) · precio actual 10,17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(9,98 – 19,90)</c:v>
                </c:pt>
                <c:pt idx="1">
                  <c:v>Precio objetivo de los analistas (15,50 – 15,50)</c:v>
                </c:pt>
                <c:pt idx="2">
                  <c:v>Comparables: PER NTM (14,07 – 20,08)</c:v>
                </c:pt>
                <c:pt idx="3">
                  <c:v>Transacciones precedentes (EV/ventas) (5,38 – 10,36)</c:v>
                </c:pt>
                <c:pt idx="4">
                  <c:v>DCF (WACC y g ± 0,5) (5,28 – 6,39)</c:v>
                </c:pt>
                <c:pt idx="5">
                  <c:v>Escenarios (bajista – alcista) (3,50 – 7,33)</c:v>
                </c:pt>
                <c:pt idx="6">
                  <c:v>DCF con la prima implícita del mercado (4,2 %)</c:v>
                </c:pt>
                <c:pt idx="7">
                  <c:v>Precio actual (10,17)</c:v>
                </c:pt>
              </c:strCache>
            </c:strRef>
          </c:cat>
          <c:val>
            <c:numRef>
              <c:f>Hoja1!$B$2:$B$9</c:f>
              <c:numCache>
                <c:formatCode>#,##0.0</c:formatCode>
                <c:ptCount val="8"/>
                <c:pt idx="0">
                  <c:v>9.98</c:v>
                </c:pt>
                <c:pt idx="1">
                  <c:v>15.5</c:v>
                </c:pt>
                <c:pt idx="2">
                  <c:v>14.07</c:v>
                </c:pt>
                <c:pt idx="3">
                  <c:v>5.38</c:v>
                </c:pt>
                <c:pt idx="4">
                  <c:v>5.28</c:v>
                </c:pt>
                <c:pt idx="5">
                  <c:v>3.5</c:v>
                </c:pt>
                <c:pt idx="6">
                  <c:v>6.43</c:v>
                </c:pt>
                <c:pt idx="7">
                  <c:v>10.12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(9,98 – 19,90)</c:v>
                </c:pt>
                <c:pt idx="1">
                  <c:v>Precio objetivo de los analistas (15,50 – 15,50)</c:v>
                </c:pt>
                <c:pt idx="2">
                  <c:v>Comparables: PER NTM (14,07 – 20,08)</c:v>
                </c:pt>
                <c:pt idx="3">
                  <c:v>Transacciones precedentes (EV/ventas) (5,38 – 10,36)</c:v>
                </c:pt>
                <c:pt idx="4">
                  <c:v>DCF (WACC y g ± 0,5) (5,28 – 6,39)</c:v>
                </c:pt>
                <c:pt idx="5">
                  <c:v>Escenarios (bajista – alcista) (3,50 – 7,33)</c:v>
                </c:pt>
                <c:pt idx="6">
                  <c:v>DCF con la prima implícita del mercado (4,2 %)</c:v>
                </c:pt>
                <c:pt idx="7">
                  <c:v>Precio actual (10,17)</c:v>
                </c:pt>
              </c:strCache>
            </c:strRef>
          </c:cat>
          <c:val>
            <c:numRef>
              <c:f>Hoja1!$C$2:$C$9</c:f>
              <c:numCache>
                <c:formatCode>#,##0.0</c:formatCode>
                <c:ptCount val="8"/>
                <c:pt idx="0">
                  <c:v>9.919999999999998</c:v>
                </c:pt>
                <c:pt idx="1">
                  <c:v>0</c:v>
                </c:pt>
                <c:pt idx="2">
                  <c:v>6.009999999999998</c:v>
                </c:pt>
                <c:pt idx="3">
                  <c:v>4.9799999999999995</c:v>
                </c:pt>
                <c:pt idx="4">
                  <c:v>1.1099999999999994</c:v>
                </c:pt>
                <c:pt idx="5">
                  <c:v>3.83</c:v>
                </c:pt>
                <c:pt idx="6">
                  <c:v>0.9000000000000004</c:v>
                </c:pt>
                <c:pt idx="7">
                  <c:v>0.10000000000000142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