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Wolters Kluwer N.V.</w:t>
      </w:r>
    </w:p>
    <w:p>
      <w:pPr>
        <w:spacing w:after="60"/>
        <w:rPr>
          <w:color w:val="52514E"/>
          <w:sz w:val="22"/>
          <w:szCs w:val="22"/>
        </w:rPr>
      </w:pPr>
      <w:r>
        <w:rPr>
          <w:color w:val="52514E"/>
          <w:sz w:val="22"/>
          <w:szCs w:val="22"/>
        </w:rPr>
        <w:t xml:space="preserve">WKL · Euronext Ámsterdam · ISIN NL0000395903 · Industrials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78,06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80,18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+6,0 % (base +10,1 %)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117,15 EUR · mercado 139,64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17.415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Wolters Kluwer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WKL / NL0000395903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Industrials / Professional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Alphen aan den Rijn · 1836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https://www.wolterskluwer.com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78,06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54,64 – 115,15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17.415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87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80,18 EUR</w:t>
      </w:r>
      <w:r>
        <w:t xml:space="preserve"> frente a 78,06 · Rentabilidad a 12 meses </w:t>
      </w:r>
      <w:r>
        <w:rPr>
          <w:b/>
          <w:bCs/>
        </w:rPr>
        <w:t xml:space="preserve">+6,0 % (base +10,1 %)</w:t>
      </w:r>
      <w:r>
        <w:t xml:space="preserve"> · Valor intrínseco 117,15 EUR · con la prima implícita del mercado: 139,64 (+78,9 %) · Alcista / bajista +110,6 % / -22,8 %</w:t>
      </w:r>
    </w:p>
    <w:p>
      <w:pPr>
        <w:spacing w:after="100"/>
      </w:pPr>
      <w:r>
        <w:rPr>
          <w:b/>
        </w:rPr>
        <w:t xml:space="preserve">La recomendación y por qué.</w:t>
      </w:r>
      <w:r>
        <w:t xml:space="preserve"> Mantener, con convicción media. El objetivo a 12 meses es de 80,18 EUR frente a 78,06 EUR: +6,0 % ponderado con el dividendo y +10,1 % en el base, lejos del 15 % que pide comprar. El valor intrínseco, 117,15 EUR (+50,1 %), dice otra cosa: la empresa vale bastante más, pero la regla vigente no supone que el mercado vuelva a pagar su múltiplo de antes en un año. El selector de método decide con la v2 porque la mediana del PER adelantado de 2021-2025 (27,8 veces) es dos veces el de hoy (14,2): eso es un cambio de régimen, el de la IA generativa, y no se da por revertido. Con la v3 sin selector saldría +16,0 % (base +20,6 %). Los analistas apuntan a 89,91 EUR. La convicción subiría con un 4-nov que acelere el orgánico hacia el 6 % (BPA hacia el consenso) y bajaría con Clinical Solutions por debajo del 3 %.</w:t>
      </w:r>
    </w:p>
    <w:p>
      <w:pPr>
        <w:spacing w:after="100"/>
      </w:pPr>
      <w:r>
        <w:rPr>
          <w:b/>
        </w:rPr>
        <w:t xml:space="preserve">El negocio.</w:t>
      </w:r>
      <w:r>
        <w:t xml:space="preserve"> El 85 % de los ingresos es recurrente y crece un 7 % orgánico por tercer año; la nube, un 14 % [8]. Las renovaciones superan el 90 % en UpToDate y el 95 % en CCH Axcess [18, 19], y el ROIC del 25,4 % supera al WACC del 6,80 % en 18,6 puntos (18,0 % el publicado por la empresa, con todo el fondo de comercio): la calidad pasa con holgura. La calidad sostiene el crecimiento que proyectamos (sostenibilidad «Sí», también para el motor): un 5 % en 2027-2028, el orgánico de hoy, sin capital nuevo, porque los cobros anticipados financian el circulante.</w:t>
      </w:r>
    </w:p>
    <w:p>
      <w:pPr>
        <w:spacing w:after="100"/>
      </w:pPr>
      <w:r>
        <w:rPr>
          <w:b/>
        </w:rPr>
        <w:t xml:space="preserve">El riesgo de la IA.</w:t>
      </w:r>
      <w:r>
        <w:t xml:space="preserve"> Es el centro de la tesis. Lo sustituible por asistentes generales es la consulta: UpToDate (en torno al 10 % de los ingresos) y la información jurídica europea, frente a OpenEvidence (gratis para el médico, 15.000 M USD de valoración) y Harvey [24, 38]. Los datos no muestran sustitución en el grupo, pero sí frenazo en lo expuesto: Clinical Solutions del 7 % al 5 % y T&amp;A Norteamérica del 8 % al 5 % en el semestre [8]. Sin datos de retención ni precios por producto, el bajista pesa un 35 %: si se cumple (ingresos casi planos, cuatro puntos menos de margen), la acción valdría 60,23 EUR.</w:t>
      </w:r>
    </w:p>
    <w:p>
      <w:pPr>
        <w:spacing w:after="100"/>
      </w:pPr>
      <w:r>
        <w:rPr>
          <w:b/>
        </w:rPr>
        <w:t xml:space="preserve">Finanzas.</w:t>
      </w:r>
      <w:r>
        <w:t xml:space="preserve"> Margen operativo ajustado del 25,3 % en 2021 al 29,4 % en el 1S26 [1, 8]; flujo libre del 7,7 % de la capitalización; deuda neta ajustada de 4.458 M (2,0 veces el EBITDA, A-). La recompra de 2026 va lenta: quedan 236 M [92].</w:t>
      </w:r>
    </w:p>
    <w:p>
      <w:pPr>
        <w:spacing w:after="100"/>
      </w:pPr>
      <w:r>
        <w:rPr>
          <w:b/>
        </w:rPr>
        <w:t xml:space="preserve">Valoración.</w:t>
      </w:r>
      <w:r>
        <w:t xml:space="preserve"> El DCF da 127,64 EUR; los comparables, 97,86 por EV/EBITDA y 117,56 por PER; los escenarios ponderados, 111,39. Con nuestro WACC, el precio implica ingresos que caen un 2,7 % al año en 2027-2030 o una rentabilidad exigida del 9,2 %. Nuestro EBITDA de 2027-2028 es el del consenso con medio punto menos de crecimiento; el BPA de 2028e (5,87 EUR) queda un 7 % por debajo del suyo porque no contamos recompras sin anunciar. Desde el 8-oct ha subido un 8,7 % con todo el sector, sin noticias propias [81].</w:t>
      </w:r>
    </w:p>
    <w:p>
      <w:pPr>
        <w:spacing w:after="100"/>
      </w:pPr>
      <w:r>
        <w:rPr>
          <w:b/>
        </w:rPr>
        <w:t xml:space="preserve">Riesgos y catalizadores.</w:t>
      </w:r>
      <w:r>
        <w:t xml:space="preserve"> Medio punto más de WACC quita un 11 % al valor; un punto menos de crecimiento y de margen, un 10 %. El catalizador con fecha es la actualización de nueve meses del 4-nov-2026, a 20 días; después, los resultados y la guía de febrero de 2027. Los foros, compradores, no cambian la tesis.</w:t>
      </w:r>
    </w:p>
    <w:p>
      <w:pPr>
        <w:spacing w:after="100"/>
      </w:pPr>
      <w:r>
        <w:rPr>
          <w:b/>
        </w:rPr>
        <w:t xml:space="preserve">Qué cambiaría la decisión.</w:t>
      </w:r>
      <w:r>
        <w:t xml:space="preserve"> Compraríamos por debajo de 71,98 EUR, donde pasan la v2 y la v3, el valor intrínseco y la calidad. Venderíamos por encima de 91,98 EUR. Revisaríamos el BPA hacia el consenso si el 4-nov el orgánico acelera hacia el 6 %, y rebajaríamos el base si Clinical Solutions crece menos de un 3 % o los recurrentes menos de un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(el valor intrínseco, a más de un año) · Objetivo a 12 meses: </w:t>
      </w:r>
      <w:r>
        <w:rPr>
          <w:b/>
          <w:bCs/>
        </w:rPr>
        <w:t xml:space="preserve">80,18 EUR</w:t>
      </w:r>
      <w:r>
        <w:t xml:space="preserve"> (rentabilidad +6,0 % (base +10,1 %)) · Valor intrínseco: 117,15 EUR (+50,1 % sobre 78,06) · con la prima implícita del mercado: 139,64 (+78,9 %)</w:t>
      </w:r>
    </w:p>
    <w:p>
      <w:pPr>
        <w:spacing w:after="100"/>
      </w:pPr>
      <w:r>
        <w:t xml:space="preserve">Wolters Kluwer vende información y software por suscripción a médicos, despachos fiscales, abogados y departamentos de cumplimiento: 6.125 M EUR de ingresos en 2025, un 83 % recurrentes, con un orgánico del 6 % en cada uno de los últimos cinco años [1] y un ROIC del 25,4 % frente a un WACC del 6,80 %. Sus renovaciones superan el 90 % en UpToDate y el 95 % en CCH Axcess [18, 19].</w:t>
      </w:r>
    </w:p>
    <w:p>
      <w:pPr>
        <w:spacing w:after="100"/>
      </w:pPr>
      <w:r>
        <w:t xml:space="preserve">El precio, 78,06 EUR, descuenta un negocio en contracción: con nuestro WACC solo cuadra con ingresos que caen un 2,7 % al año en 2027-2030 o con un margen EBITDA del 24,6 %. Cotiza a 9,9 veces el EBITDA de los próximos 12 meses y a 14,2 veces nuestro BPA de 2027, frente a 24-28 veces adelantado en 2019-2023 [23, 51].</w:t>
      </w:r>
    </w:p>
    <w:p>
      <w:pPr>
        <w:spacing w:after="100"/>
      </w:pPr>
      <w:r>
        <w:t xml:space="preserve">Creemos que el mercado acierta en el riesgo y se equivoca en la escala, y por eso el valor intrínseco (117,15 EUR) queda un 50 % por encima. Pero la regla a 12 meses no supone que el múltiplo vuelva: con el de hoy y nuestro BPA, el objetivo es de 80,18 EUR (+6,0 %). Para comprar hace falta un precio más bajo o un beneficio que crezca más de lo que proyectamos.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35/45/20)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 × 4,48 = 54,21 · 14,2x × 5,87 = 83,35 · 18,4x × 6,44 = 118,50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(27,8x) es 2 veces el PER de hoy (14,2x);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89,91 (nuestro base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110,6 % / -22,8 %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6,8 % y 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(2027e-2030e)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frente a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71,98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71,98 y 91,98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91,98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71,98 EUR pasaríamos a Comprar (la v2 da entonces un 15 % ponderado y la v3 un 26 %); por encima de 91,98 EUR, a Vender.</w:t>
      </w:r>
    </w:p>
    <w:p>
      <w:pPr>
        <w:pStyle w:val="ListParagraph"/>
        <w:numPr>
          <w:ilvl w:val="0"/>
          <w:numId w:val="2"/>
        </w:numPr>
        <w:spacing w:after="60"/>
      </w:pPr>
      <w:r>
        <w:t xml:space="preserve">Si el 4-nov-2026 el orgánico de los nueve meses sube al 6 % con Clinical Solutions y T&amp;A Norteamérica acelerando, revisaríamos el BPA de 2027-2028 hacia el consenso (6,34 EUR en 2028e).</w:t>
      </w:r>
    </w:p>
    <w:p>
      <w:pPr>
        <w:pStyle w:val="ListParagraph"/>
        <w:numPr>
          <w:ilvl w:val="0"/>
          <w:numId w:val="2"/>
        </w:numPr>
        <w:spacing w:after="60"/>
      </w:pPr>
      <w:r>
        <w:t xml:space="preserve">Si el orgánico de Clinical Solutions baja del 3 % en un semestre o el de los recurrentes del 5 %, rebajaríamos el base y el valor intrínseco.</w:t>
      </w:r>
    </w:p>
    <w:p>
      <w:pPr>
        <w:pStyle w:val="ListParagraph"/>
        <w:numPr>
          <w:ilvl w:val="0"/>
          <w:numId w:val="2"/>
        </w:numPr>
        <w:spacing w:after="60"/>
      </w:pPr>
      <w:r>
        <w:t xml:space="preserve">Si el margen operativo ajustado de 2026 queda por debajo del 27,5 % (guía en torno al 28 %),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convierte el contenido profesional en una materia prima. A 78,06 EUR, un 51 % por debajo del cierre de 2024, la acción cotiza a 9,9 veces el EBITDA de los próximos 12 meses y con un rendimiento del flujo libre del 7,7 %; con nuestro WACC, eso solo cuadra con ingresos que caen un 2,7 % al año en 2027-2030 o con un margen EBITDA del 24,6 %.</w:t>
      </w:r>
    </w:p>
    <w:p>
      <w:pPr>
        <w:keepNext/>
        <w:spacing w:after="100"/>
      </w:pPr>
      <w:r>
        <w:rPr>
          <w:b/>
          <w:bCs/>
        </w:rPr>
        <w:t xml:space="preserve">Lo que creemos nosotros.</w:t>
      </w:r>
    </w:p>
    <w:p>
      <w:pPr>
        <w:spacing w:after="100"/>
      </w:pPr>
      <w:r>
        <w:t xml:space="preserve">Los datos a la fecha de corte no muestran esa contracción, aunque sí un frenazo en lo más expuesto: los recurrentes crecen un 7 % orgánico por tercer año, el software en la nube un 14 % y el margen ajustado sube 100 pb en el primer semestre de 2026 [8], mientras Clinical Solutions baja del 7 % al 5 %. Lo expuesto a la sustitución pura (UpToDate y la información jurídica europea) es una parte; el resto es software de flujo de trabajo y servicios de cumplimiento con renovaciones del 90-95 % [18, 19].</w:t>
      </w:r>
    </w:p>
    <w:p>
      <w:pPr>
        <w:keepNext/>
        <w:spacing w:after="100"/>
      </w:pPr>
      <w:r>
        <w:rPr>
          <w:b/>
          <w:bCs/>
        </w:rPr>
        <w:t xml:space="preserve">Por qué podemos tener razón.</w:t>
      </w:r>
    </w:p>
    <w:p>
      <w:pPr>
        <w:spacing w:after="100"/>
      </w:pPr>
      <w:r>
        <w:t xml:space="preserve">El mercado extrapola el riesgo de la parte más expuesta a todo el grupo. Pero tener razón en el valor no da una rentabilidad a 12 meses: para eso el múltiplo tiene que moverse, y no hay un catalizador con fecha que lo asegure. Podemos equivocarnos si el frenazo de Clinical Solutions es el principio de la sustitución: lo sabremos el 4-nov-2026 y en febrero de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8,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una contracción que no se ve en las cifras</w:t>
      </w:r>
      <w:r>
        <w:t xml:space="preserve">: con nuestro WACC implica ingresos que caen un 2,7 % al año, cuando el orgánico del 1S26 fue del +5 % [8].</w:t>
      </w:r>
    </w:p>
    <w:p>
      <w:pPr>
        <w:pStyle w:val="ListParagraph"/>
        <w:numPr>
          <w:ilvl w:val="0"/>
          <w:numId w:val="2"/>
        </w:numPr>
        <w:spacing w:after="60"/>
      </w:pPr>
      <w:r>
        <w:rPr>
          <w:b/>
        </w:rPr>
        <w:t xml:space="preserve">Ingresos recurrentes del 85 %</w:t>
      </w:r>
      <w:r>
        <w:t xml:space="preserve"> que crecen un 7 % orgánico por tercer año, con la nube al 14 % [8].</w:t>
      </w:r>
    </w:p>
    <w:p>
      <w:pPr>
        <w:pStyle w:val="ListParagraph"/>
        <w:numPr>
          <w:ilvl w:val="0"/>
          <w:numId w:val="2"/>
        </w:numPr>
        <w:spacing w:after="60"/>
      </w:pPr>
      <w:r>
        <w:rPr>
          <w:b/>
        </w:rPr>
        <w:t xml:space="preserve">Flujo libre del 7,7 % de la capitalización</w:t>
      </w:r>
      <w:r>
        <w:t xml:space="preserve"> y deuda neta de 2,0 veces el EBITDA con calificación A- [8].</w:t>
      </w:r>
    </w:p>
    <w:p>
      <w:pPr>
        <w:pStyle w:val="ListParagraph"/>
        <w:numPr>
          <w:ilvl w:val="0"/>
          <w:numId w:val="2"/>
        </w:numPr>
        <w:spacing w:after="60"/>
      </w:pPr>
      <w:r>
        <w:rPr>
          <w:b/>
        </w:rPr>
        <w:t xml:space="preserve">ROIC del 25,4 %</w:t>
      </w:r>
      <w:r>
        <w:t xml:space="preserve">, 18,6 puntos sobre el WACC (18,0 % el publicado con todo el fondo de comercio) [1].</w:t>
      </w:r>
    </w:p>
    <w:p>
      <w:pPr>
        <w:pStyle w:val="ListParagraph"/>
        <w:numPr>
          <w:ilvl w:val="0"/>
          <w:numId w:val="2"/>
        </w:numPr>
        <w:spacing w:after="60"/>
      </w:pPr>
      <w:r>
        <w:rPr>
          <w:b/>
        </w:rPr>
        <w:t xml:space="preserve">La IA ya se cobra</w:t>
      </w:r>
      <w:r>
        <w:t xml:space="preserve">: más del 90 % de los clientes Enterprise de UpToDate en EE. UU. adoptó Expert AI y Libra se vende a unas dos veces el precio del contenido jurídico [8, 19].</w:t>
      </w:r>
    </w:p>
    <w:p>
      <w:pPr>
        <w:pStyle w:val="Heading2"/>
      </w:pPr>
      <w:r>
        <w:t xml:space="preserve">En contra</w:t>
      </w:r>
    </w:p>
    <w:p>
      <w:pPr>
        <w:pStyle w:val="ListParagraph"/>
        <w:numPr>
          <w:ilvl w:val="0"/>
          <w:numId w:val="2"/>
        </w:numPr>
        <w:spacing w:after="60"/>
      </w:pPr>
      <w:r>
        <w:rPr>
          <w:b/>
        </w:rPr>
        <w:t xml:space="preserve">Lo más expuesto se frena</w:t>
      </w:r>
      <w:r>
        <w:t xml:space="preserve">: Clinical Solutions pasó del 7 % al 5 % orgánico y Tax &amp; Accounting Norteamérica del 8 % al 5 % en el 1S26 [8].</w:t>
      </w:r>
    </w:p>
    <w:p>
      <w:pPr>
        <w:pStyle w:val="ListParagraph"/>
        <w:numPr>
          <w:ilvl w:val="0"/>
          <w:numId w:val="2"/>
        </w:numPr>
        <w:spacing w:after="60"/>
      </w:pPr>
      <w:r>
        <w:rPr>
          <w:b/>
        </w:rPr>
        <w:t xml:space="preserve">Rivales con capital abundante y precio cero</w:t>
      </w:r>
      <w:r>
        <w:t xml:space="preserve">: OpenEvidence, gratis para el médico, vale 15.000 M USD [24, 38].</w:t>
      </w:r>
    </w:p>
    <w:p>
      <w:pPr>
        <w:pStyle w:val="ListParagraph"/>
        <w:numPr>
          <w:ilvl w:val="0"/>
          <w:numId w:val="2"/>
        </w:numPr>
        <w:spacing w:after="60"/>
      </w:pPr>
      <w:r>
        <w:rPr>
          <w:b/>
        </w:rPr>
        <w:t xml:space="preserve">Objetivo a 12 meses de solo +6,0 %</w:t>
      </w:r>
      <w:r>
        <w:t xml:space="preserve">: con el múltiplo de hoy, el BPA crece un 7 % en 2028e y no basta.</w:t>
      </w:r>
    </w:p>
    <w:p>
      <w:pPr>
        <w:pStyle w:val="ListParagraph"/>
        <w:numPr>
          <w:ilvl w:val="0"/>
          <w:numId w:val="2"/>
        </w:numPr>
        <w:spacing w:after="60"/>
      </w:pPr>
      <w:r>
        <w:rPr>
          <w:b/>
        </w:rPr>
        <w:t xml:space="preserve">Recompras menores y lentas</w:t>
      </w:r>
      <w:r>
        <w:t xml:space="preserve">: 67,96 EUR de media en 2026, con 236 M por ejecutar y casi paradas en septiembre [92].</w:t>
      </w:r>
    </w:p>
    <w:p>
      <w:pPr>
        <w:pStyle w:val="ListParagraph"/>
        <w:numPr>
          <w:ilvl w:val="0"/>
          <w:numId w:val="2"/>
        </w:numPr>
        <w:spacing w:after="60"/>
      </w:pPr>
      <w:r>
        <w:rPr>
          <w:b/>
        </w:rPr>
        <w:t xml:space="preserve">Valor muy sensible a la tasa</w:t>
      </w:r>
      <w:r>
        <w:t xml:space="preserve">: medio punto más de WACC quita un 11 % al DCF; el precio implica un 9,2 % de rentabilidad exigida.</w:t>
      </w:r>
    </w:p>
    <w:p>
      <w:pPr>
        <w:pStyle w:val="Heading2"/>
      </w:pPr>
      <w:r>
        <w:t xml:space="preserve">Qué tiene que pasar para que la tesis funcione</w:t>
      </w:r>
    </w:p>
    <w:p>
      <w:pPr>
        <w:spacing w:after="100"/>
      </w:pPr>
      <w:r>
        <w:t xml:space="preserve">La tesis depende de que la IA sea un módulo de pago y no un sustituto gratuito del contenido de consulta. La señal de que no se cumple es el orgánico de Clinical Solutions por debajo del 3 % en un semestre, o el de los ingresos recurrentes del grupo por debajo del 5 % (7 % en el 1S26). Se vigila el 4-nov-2026 y con los resultados de febrero de 2027, junto con el margen ajustado frente al 28 % guiado.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Clinical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más expuesto a OpenEvidence y a los asistentes generales.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los ingresos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retención y el precio de todo 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Tax &amp; Accounting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 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 (1S26); guía de en torno al 28 %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27,5 %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gasto en IA se paga con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de la política financiera; frenaría recompras y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 / 14,0x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Wolters Kluwer nace en 1987 de la fusión de Kluwer con Wolters Samsom, heredera de la editorial escolar que Jan-Berend Wolters fundó en Groninga en 1836 [21]. En los noventa compró en EE. UU. las piezas que hoy son su núcleo: Lippincott (1990), CT Corporation (1995), CCH por 1.900 M USD (1996) y Ovid (1998) [21]. Desde 2002 vendió lo académico, la educación y las editoriales de menor valor añadido [6, 21]. Nancy McKinstry (consejera delegada de septiembre de 2003 a febrero de 2026) llevó la inversión en producto del 8 % al 11 % de los ingresos y convirtió una editorial en papel en un proveedor de software y bases de conocimiento: en 2025 el 83 % de los ingresos fue recurrente y el 21 %, software en la nube [1, 3]. Stacey Caywood, en el consejo de dirección desde mayo de 2025, la sucedió en febrero de 2026 con tres prioridades: acelerar la IA, las alianzas y la capacidad comercial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Jan-Berend Wolters funda en Groninga la editorial escolar de la que procede la rama Wolters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Kluwer se fusiona con Wolters Samsom y nace Wolters Kluwer, segunda editorial de los Países Bajos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EE. UU.: J. B. Lippincott (1990), CT Corporation (1995), CCH Inc. por 1.900 M USD (1996), Waverly y Ovid Technologies (1998). Son la base de Health, Tax &amp; Accounting y Financial &amp; Corporate Compliance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negocios editoriales: venta de Kluwer Academic Publishers a Cinven y Candover (2002) y de Wolters Kluwer Education a Bridgepoint (2007)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Nancy McKinstry, consejera delegada hasta febrero de 2026; sube la inversión en desarrollo de producto de en torno al 8 % al 11 % de los ingresos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UpToDate (septiembre), hoy en torno al 10 % de los ingresos del grupo [18,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Enablon (software de EHS y ESG), germen de la división Corporate Performance &amp; ESG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 por 114 M EUR (624 empleados)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cartera de soluciones en la nube de Isabel Group (Finca) por 325 M EUR para Tax &amp; Accounting Europa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RASi (386 M EUR), Brightflag (436 M EUR) y Libra (IA jurídica, Berlín); venta de Finance, Risk &amp; Regulatory Reporting a Regnology por un valor empresa de 450 M EUR, con una plusvalía de 232 M EUR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comercial de UpToDate Expert AI (octubre) y de los módulos agénticos de CCH Axcess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Stacey Caywood, consejera delegada (febrero). El 3 de febrero la acción cae un 12,7 % en un día con todo el sector de información profesional tras el anuncio de herramientas jurídicas de Anthropic; en junio, alianza ampliada con OpenAI [3, 8, 22,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Wolters Kluwer vende información, software y servicios a profesionales en cinco divisiones (ingresos de 2025: 6.125 M EUR) [1]. </w:t>
      </w:r>
      <w:r>
        <w:rPr>
          <w:b/>
        </w:rPr>
        <w:t xml:space="preserve">Health</w:t>
      </w:r>
      <w:r>
        <w:t xml:space="preserve"> (1.596 M EUR; margen operativo ajustado del 32,1 %) da apoyo a la decisión clínica (UpToDate, Lexidrug, Medi-Span) a hospitales y médicos, y contenidos de formación e investigación (Lippincott, Ovid) [3]. </w:t>
      </w:r>
      <w:r>
        <w:rPr>
          <w:b/>
        </w:rPr>
        <w:t xml:space="preserve">Tax &amp; Accounting</w:t>
      </w:r>
      <w:r>
        <w:t xml:space="preserve"> (1.660 M EUR; 35,2 %) vende software fiscal y contable a despachos, sobre todo en EE. UU. con la suite en la nube CCH Axcess [3]. </w:t>
      </w:r>
      <w:r>
        <w:rPr>
          <w:b/>
        </w:rPr>
        <w:t xml:space="preserve">Financial &amp; Corporate Compliance</w:t>
      </w:r>
      <w:r>
        <w:t xml:space="preserve"> (1.239 M EUR; 35,2 %) presta servicios de agente registrado y cumplimiento societario (CT Corporation) y de cumplimiento en préstamos para bancos [3]. </w:t>
      </w:r>
      <w:r>
        <w:rPr>
          <w:b/>
        </w:rPr>
        <w:t xml:space="preserve">Legal &amp; Regulatory</w:t>
      </w:r>
      <w:r>
        <w:t xml:space="preserve"> (1.005 M EUR; 18,2 %) vende información jurídica en Europa y software jurídico (ELM, Kleos, Legisway) [3]. </w:t>
      </w:r>
      <w:r>
        <w:rPr>
          <w:b/>
        </w:rPr>
        <w:t xml:space="preserve">Corporate Performance &amp; ESG</w:t>
      </w:r>
      <w:r>
        <w:t xml:space="preserve"> (625 M EUR; 7,5 %) vende software de planificación financiera (CCH Tagetik), auditoría interna (TeamMate) y EHS/ESG (Enablon) [3]. El 63 % de los ingresos procede de Norteamérica; tiene clientes en más de 180 países y 21.100 empleados [3].</w:t>
      </w:r>
    </w:p>
    <w:p>
      <w:pPr>
        <w:pStyle w:val="Heading2"/>
      </w:pPr>
      <w:r>
        <w:t xml:space="preserve">Cómo gana dinero</w:t>
      </w:r>
    </w:p>
    <w:p>
      <w:pPr>
        <w:spacing w:after="100"/>
      </w:pPr>
      <w:r>
        <w:t xml:space="preserve">El 83 % de los ingresos de 2025 es recurrente: suscripciones a software en la nube y a información digital, y mantenimiento de software instalado [3]. El resto son licencias, implantación, formación y comisiones por transacción, concentradas en Financial &amp; Corporate Compliance (operaciones societarias y de préstamo) y en la facturación de gasto jurídico de ELM (10 % de Legal &amp; Regulatory) [3]. La renovación de los mayores productos por suscripción supera el 90 % (UpToDate, más del 90 %; CCH Axcess, más del 95 %) [3, 19]. Los costes son sobre todo de personal (más de la mitad) y de proveedores (41 %), con una inversión en producto del 11 % de los ingresos que sube al 12-13 % desde 2026 [3]. El margen operativo ajustado fue del 27,5 % en 2025, con apalancamiento operativo por la mezcla hacia software en la nube, que creció un 15 % orgánico [1]. La estacionalidad es limitada [8]. La IA se cobra por cuatro vías: subida anual de precio, paquetes superiores, módulos aparte y precios por consumo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Health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Financial &amp; Corporate Compliance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 &amp; Regulatory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Corporate Performance &amp; ESG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empresa no publica concentración por cliente; la base es muy atomizada. UpToDate llega a más de 50.000 centros, 3 millones de usuarios y 50-60 millones de consultas al mes; el 80 % de sus ingresos procede de instituciones [18]. En Norteamérica, el software fiscal sirve a más de 64.000 despachos, incluido el 95 % de los 100 mayores según Accounting Today, y CCH Axcess a más de 10.000 [19]. Los contratos son suscripciones anuales o plurianuales con renovaciones por encima del 90 % en los grandes productos y un NPS de más de 70 en UpToDate [3, 18]. El poder de precio se ve en la IA: Libra se cobra a unas dos veces el precio de la oferta de contenidos jurídicos y convierte en licencia el 70 % de las pruebas, y un tercio de los médicos individuales que renuevan sube a UpToDate Pro Plus con Expert AI [19, 20]. La empresa no publica la subida media de precios.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1T24 6 %, 1S24 6 %, 9M24 6 %, 2024 6 %; 1T25 5 %, 1S25 5 %, 9M25 6 %, 2025 6 %; 1T26 5 %, 1S26 5 % (6 % sin impresos) [1, 8, 9, 10, 11, 12, 13,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 del total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+7 % (2025); 85 %; +7 %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recurrentes: +1 % (2024), -1 % (2025), -3 % (1S26); licencias on-premise e implantación -5 % (2025) y -6 %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en la nube (% de ingresos y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+15 % (2025); 24 % recurrente; +14 %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 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es el 46 % del software en 2025 [1, 8,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Clinical Solutions (UpToDate y fármacos),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 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UpToDate: tasa de renovación &gt;90 %, 3 M+ de usuarios, ~10 % de los ingresos del grupo; &gt;90 % de los clientes Enterprise de EE. UU. han adoptado UpToDate Expert AI a julio de 2026 [1, 8, 17,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CCH Axcess (nube de Tax &amp; Accounting Norteamérica),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No publicado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T&amp;A Norteamérica: 8 % (2024 y 2025) y 5 % en 1S26, con la nube +18 %; tasa de renovación de CCH Axcess &gt;95 %; ~250 despachos con los módulos de IA agéntica a julio de 2026 [1, 17,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 (2025); 29,4 %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p.b. / +100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~28,0 % pese a subir el desarrollo de producto al 12-13 % de los ingresos (11 % en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 de producto (% ingresos, opex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(2025); objetivo 12-13 % en 2026 y siguientes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Concentrado en el segundo semestre de 2026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impresos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 (2025); ~4 %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orgánico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Restan 50 p.b. al orgánico de 2025 y 130 p.b. en 1T26 [1,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información y el software de flujo de trabajo para profesionales en cuatro verticales: fiscal y contable, jurídico, cumplimiento societario y financiero, y decisión clínica en el punto de atención. Es sobre todo norteamericano (63 % de los ingresos de Wolters Kluwer) y europeo [3]. Uso dos fuentes independientes que no se solapan: Thomson Reuters estima en 31.000 M USD el mercado de sus tres grandes segmentos (jurídico, empresas y fiscal-contable), que coincide con Tax &amp; Accounting, Financial &amp; Corporate Compliance y Legal &amp; Regulatory [26]; y Towards Healthcare mide el software de apoyo a la decisión clínica en 4.000 M USD en 2025 [34]. Quedan fuera la formación y la investigación médica (Learning, Research &amp; Practice) y el software de gestión del rendimiento (Corporate Performance &amp; ESG), que suman en torno al 17 % de los ingresos.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26.400 M EUR (31.000 M USD) en 2025 en información y software jurídico, fiscal-contable y de cumplimiento, estimación de Thomson Reuters [26], más ≈ 3.400 M EUR (4.000 M USD) en 2025 en apoyo a la decisión clínica según Towards Healthcare [34]; en total, ≈ 29.800 M EUR (estimación propia sumando ambas al tipo del BCE del 31-12-2025 [32]).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Adopción de IA generativa y agéntica en el trabajo profesional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el 70 % de los ingresos digitales de Wolters Kluwer procede de productos con IA y más del 90 % de sus clientes Enterprise de EE. UU. ha adoptado UpToDate Expert AI [1, 8]; a la vez, OpenEvidence, gratuito para el médico, lo usa más del 40 % de los médicos de EE. UU.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incorpora 250.000-300.000 cambios normativos al año y mantiene más de 4.000 formularios fiscales [19]; Thomson Reuters prevé que su mercado crezca un 8-11 % anual en cinco años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profesionales contables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y Thomson Reuters citan la falta de contables como motor de la automatización [3, 26]; el software en la nube de Tax &amp; Accounting Norteamérica creció un 18 % orgánico en el primer semestre de 2026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en la nube es el 21 % de los ingresos del grupo y creció un 15 % orgánico en 2025; CCH Axcess, un 19 %, y CCH Tagetik en la nube, otro 19 %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societarias, préstamos y gasto jurídico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comisiones por transacción de Financial &amp; Corporate Compliance siguieron débiles en el primer semestre de 2026 (préstamos −2 %) y la suspensión de la Corporate Transparency Act en marzo de 2025 recortó los ingresos por titularidad real [3,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presupuestaria de los hospitales y declive del papel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cita la presión presupuestaria de las instituciones; los libros impresos de Learning, Research &amp; Practice cayeron un 7 % en 2025 y el papel restó 50 puntos básicos al crecimiento orgánico del grupo [1,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de tres en jurídico y fiscal (Thomson Reuters, RELX y Wolters Kluwer se citan como sus principales rivales en sus propios informes) con márgenes altos: 47 % de EBITDA en los segmentos jurídico y fiscal de Thomson Reuters y 23 % de margen operativo ajustado en LexisNexis [26, 28]. La rivalidad sube con la IA: todos lanzan asistentes (CoCounsel, Lexis+ AI con Protégé, Expert AI) [3, 26,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(más de 64.000 despachos fiscales y más de 50.000 centros con UpToDate) y renovaciones por encima del 90 % [18, 19]. En Thomson Reuters el mayor cliente pesa en torno al 5 % de los ingresos [26]. Los grandes sistemas hospitalarios negocian contratos de empresa y tienen presión de presupuesto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costes de Wolters Kluwer va a terceros (contenidos, tecnología, servicios) [3]. Crece la dependencia de los modelos de lenguaje de OpenAI, Microsoft o AWS, con los que la empresa tiene alianzas, aunque su plataforma propia de IA (FAB) está pensada para integrar modelos de terceros y cambiarlos con facilidad [8,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modelos de lenguaje han abaratado la entrada. Harvey superó los 400 M USD de ingresos recurrentes anuales y se valoró en 15.500 M USD en septiembre de 2026 [25]; OpenEvidence se valoró en 15.000 M USD en septiembre de 2026, 25 % más que en enero [38]. Las barreras que quedan son el contenido propio validado y la integración en el flujo (historia clínica, presentación telemática de impuestos)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asistentes generales ya sustituyen consultas: OpenEvidence, gratuito y financiado con publicidad, lo usa más del 40 % de los médicos de EE. UU. [24]; el anuncio de herramientas jurídicas de Anthropic hizo caer el 3 de febrero de 2026 un 12,7 % a Wolters Kluwer, un 14,4 % a RELX y un 15,7 % a Thomson Reuters [22, 23]. Outsell avisa de que la IA de las grandes tecnológicas cuesta una fracción y apenas va por detrás en calidad [35].</w:t>
            </w:r>
          </w:p>
        </w:tc>
      </w:tr>
    </w:tbl>
    <w:p>
      <w:pPr>
        <w:spacing w:after="160" w:before="0"/>
      </w:pPr>
    </w:p>
    <w:p>
      <w:pPr>
        <w:pStyle w:val="Heading2"/>
      </w:pPr>
      <w:r>
        <w:t xml:space="preserve">Ciclo</w:t>
      </w:r>
    </w:p>
    <w:p>
      <w:pPr>
        <w:spacing w:after="100"/>
      </w:pPr>
      <w:r>
        <w:t xml:space="preserve">El negocio es poco cíclico: el 83 % de los ingresos es recurrente [3]. En 2020 el crecimiento orgánico bajó al 2 % y en 2021 volvió al 6 % [7]; en 2022, con inflación y subidas de tipos, fue del 6,2 % [6]. Lo cíclico es la parte transaccional (operaciones societarias, préstamos, gasto jurídico), débil en 2025-2026 por el bajo volumen de fusiones y préstamos [8]. El ciclo que importa hoy no es el económico sino el tecnológico: el crecimiento orgánico del grupo se mantiene en el 5-6 % [8] mientras la acción cae un 38 % desde máximos por el miedo a la IA [22]. No hay datos de 2008-09 en los documentos consultados.</w:t>
      </w:r>
    </w:p>
    <w:p>
      <w:pPr>
        <w:pStyle w:val="Heading2"/>
      </w:pPr>
      <w:r>
        <w:t xml:space="preserve">Regulación</w:t>
      </w:r>
    </w:p>
    <w:p>
      <w:pPr>
        <w:spacing w:after="100"/>
      </w:pPr>
      <w:r>
        <w:rPr>
          <w:b/>
        </w:rPr>
        <w:t xml:space="preserve">IA en la UE</w:t>
      </w:r>
      <w:r>
        <w:t xml:space="preserve">: el Reglamento de IA prohíbe prácticas desde el 2-2-2025 y obliga a los modelos de uso general desde el 2-8-2025; el acuerdo Ómnibus de mayo de 2026 retrasó las obligaciones de alto riesgo al 2-12-2027 (anexo III) y al 2-8-2028 (productos regulados del anexo I, como los productos sanitarios), y las de transparencia del artículo 50 rigen desde el 2-8-2026 con gracia hasta el 2-12-2026 [33]. </w:t>
      </w:r>
      <w:r>
        <w:rPr>
          <w:b/>
        </w:rPr>
        <w:t xml:space="preserve">FDA</w:t>
      </w:r>
      <w:r>
        <w:t xml:space="preserve">: la guía revisada de software de apoyo a la decisión clínica del 6-1-2026 relaja criterios, pero no aclara cómo se regulan los asistentes de IA generativa para médicos [37]. </w:t>
      </w:r>
      <w:r>
        <w:rPr>
          <w:b/>
        </w:rPr>
        <w:t xml:space="preserve">EE. UU., fiscal y societario</w:t>
      </w:r>
      <w:r>
        <w:t xml:space="preserve">: la suspensión de la Corporate Transparency Act en marzo de 2025 recortó ingresos de cumplimiento [3]. </w:t>
      </w:r>
      <w:r>
        <w:rPr>
          <w:b/>
        </w:rPr>
        <w:t xml:space="preserve">Europa</w:t>
      </w:r>
      <w:r>
        <w:t xml:space="preserve">: la factura electrónica obligatoria y el Pilar II impulsan la demanda de software fiscal [3, 8].</w:t>
      </w:r>
    </w:p>
    <w:p>
      <w:pPr>
        <w:pStyle w:val="Heading2"/>
      </w:pPr>
      <w:r>
        <w:t xml:space="preserve">Tendencias y disrupción</w:t>
      </w:r>
    </w:p>
    <w:p>
      <w:pPr>
        <w:spacing w:after="100"/>
      </w:pPr>
      <w:r>
        <w:t xml:space="preserve">La IA generativa decide el sector. A favor de Wolters Kluwer: los clientes institucionales compran IA a sus proveedores de confianza (más del 90 % de los clientes Enterprise de UpToDate en EE. UU. ya adoptó Expert AI en nueve meses; unos 250 despachos, los módulos agénticos de CCH Axcess; Libra ya está en diez países) y la IA se integra en el flujo con socios como Abridge, Dragon Copilot y OpenAI [8]. En contra: nuevos rivales con capital abundante, como OpenEvidence (40 % de los médicos de EE. UU., gratis) y Harvey (más de 400 M USD de ingresos recurrentes) [24, 25], y los laboratorios de IA que entran en jurídico [23]. El mercado ya descuenta erosión: en 2026 caen todas las del sector (Thomson Reuters −23 %, RELX −14 %, Wolters Kluwer −19 % en precio hasta el 8-10) aunque todas crecieron más rápido en el primer semestre [22, 35].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mundial de información y software jurídico, fiscal y de cumplimiento, detrás de Thomson Reuters: sus divisiones Tax &amp; Accounting, Financial &amp; Corporate Compliance (sin la unidad vendida en 2025) y Legal &amp; Regulatory suman unos 3.790 M EUR, ≈ 14 % del mercado de 31.000 M USD que estima Thomson Reuters, frente al ≈ 20 % de este y el ≈ 8 % de LexisNexis (estimación propia con las cuentas de cada uno [3, 26, 28]). En apoyo a la decisión clínica, UpToDate (≈ 10 % de los ingresos del grupo) tendría en torno al 18 % de un mercado de 4.000 M USD (estimación propia [18, 34]). Verisk, LSEG, Experian y Veeva no compiten de forma directa (seguros, datos financieros, crédito y ciencias de la vida) y no se incluyen; CSC, rival de CT Corporation, no publica cuentas.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jurídico (Westlaw), fiscal-contable (Checkpoint, UltraTax) y cumplimiento. Sus tres grandes segmentos ingresaron 6.157 M USD con crecimiento orgánico del 9 % en 2025; el fiscal-contable, 1.302 M USD (+11 % orgánico, 47,1 % de margen EBITDA). Su asistente CoCounsel es su respuesta a la IA. Cuota sobre el mercado de 31.000 M USD que ella misma estima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 (LexisNexis, Elsevier)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LexisNexis Legal &amp; Professional ingresó 1.806 M GBP (+9 % subyacente; 23,0 % de margen) con Lexis+ AI y Protégé; Elsevier compite con UpToDate con ClinicalKey AI (STM: 2.714 M GBP; 38,1 %). La cuota es solo la de LexisNexis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(ProTax: Lacerte, ProSeries, ProConnect)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julio de 2026. Su software fiscal profesional ingresó 647 M USD (+4 %), frente a ≈ 960 M EUR de Tax &amp; Accounting Norteamérica; compite en despachos pequeños y medianos y se integra con QuickBooks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Workiva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CCH Tagetik y Enablon en información financiera y ESG; ingresó 884,6 M USD en 2025 (+20 %) con pérdidas operativas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Red profesional gratuita para los médicos de EE. UU., que cobra a laboratorios farmacéuticos y hospitales por marketing y contratación; su asistente de IA clínica «Ask» (antes DoxGPT) responde preguntas clínicas e incluye una referencia de más de 3.200 monografías de fármacos, en competencia con UpToDate y Lexidrug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OpenEvidence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Asistente clínico gratuito para el médico y financiado con publicidad; más de 100 M USD de ingresos anualizados en 2025 y uso por más del 40 % de los médicos de EE. UU. [24]. Valorado en 12.000 M USD en enero de 2026 y en 15.000 M USD en septiembre de 2026 [24, 38]. Es la principal amenaza para la suscripción individual de UpToDate.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Harvey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IA jurídica para despachos; más de 400 M USD de ingresos recurrentes anuales en septiembre de 2026 (el dato es de ritmo anual, no de ejercicio) y valoración de 15.500 M USD; trabaja con 80 de los 100 mayores despachos de EE. UU. [25]. Compite con Libra y con los asistentes de Legal &amp; Regulatory.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Débiles: UpToDate se enriquece con lo que preguntan los usuarios y CCH Axcess tiene un mercado de integraciones [7], pero el valor no depende del número de usuarios como en una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está dentro del flujo y de los datos del cliente: CCH Axcess renueva por encima del 95 %, con 18 millones de declaraciones presentadas en 2025; UpToDate, por encima del 90 %, integrado en las historias clínicas Epic y Oracle Health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7.600 médicos y más de 800 analistas fiscales; más de 100 estudios asocian UpToDate a mejores resultados clínicos; el margen ajustado subió del 21,0 % en 2014 al 27,5 % en 2025 [1, 7, 8, 2]. La IA reduce el valor del contenido como simple consulta.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el coste del contenido, pero Outsell estima que la IA de las grandes tecnológicas cuesta una fracción de las herramientas de los incumbentes [25] y OpenEvidence se da gratis al médico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con dos o tres proveedores rentables: Thomson Reuters, RELX y Wolters Kluwer se nombran como principales rivales entre sí en jurídico y fiscal [16, 18]; la entrada de capital riesgo (Harvey, OpenEvidence) muestra que la escala ya no basta para disuadir [15, 28].</w:t>
            </w:r>
          </w:p>
        </w:tc>
      </w:tr>
    </w:tbl>
    <w:p>
      <w:pPr>
        <w:spacing w:after="160" w:before="0"/>
      </w:pPr>
    </w:p>
    <w:p>
      <w:pPr>
        <w:pStyle w:val="Heading2"/>
      </w:pPr>
      <w:r>
        <w:t xml:space="preserve">Amenazas</w:t>
      </w:r>
    </w:p>
    <w:p>
      <w:pPr>
        <w:spacing w:after="100"/>
      </w:pPr>
      <w:r>
        <w:t xml:space="preserve">La amenaza principal es la sustitución de la consulta por asistentes de IA de propósito general o verticales. En salud, OpenEvidence ya lo usa más del 40 % de los médicos de EE. UU. gratis y se valora en 15.000 M USD [24, 38]; la defensa de UpToDate es el contrato del hospital (más del 90 % de los clientes Enterprise de EE. UU. adoptó Expert AI) y la integración con los asistentes de documentación clínica: Abridge, activa desde el primer trimestre de 2026, y Dragon Copilot de Microsoft, prevista para finales de 2026 [8, 11]. En jurídico, Harvey crece rápido y Anthropic entró con herramientas propias [23, 25]. En fiscal la amenaza es menor: el valor está en el cálculo y la presentación telemática, no en la respuesta. Probabilidad de erosión del margen en cinco años: media en Health y Legal &amp; Regulatory, baja en Tax &amp; Accounting y Financial &amp; Corporate Compliance (juicio propio).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7,1 %</w:t>
      </w:r>
      <w:r>
        <w:t xml:space="preserve">, BPA </w:t>
      </w:r>
      <w:r>
        <w:rPr>
          <w:b/>
          <w:bCs/>
        </w:rPr>
        <w:t xml:space="preserve">19,3 %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4.771 M (2021) a 6.125 M (2025), un 6,4 % anual, casi todo orgánico: el crecimiento orgánico fue del 6 % cada año (259 M en 2021, 292 M en 2022, 310 M en 2023, 325 M en 2024 y 325 M en 2025) [1, 2, 5, 6, 7]. La divisa sumó un 9 % en 2022 y restó un 3 % en 2023 y 2025; el perímetro neto osciló entre -1 % y +1 % [1, 5, 6]. En el 1S26 los ingresos cayeron un 0,6 % (orgánico +5 %, divisa -4,8 %, perímetro -0,8 % por la venta de FRR) [8].</w:t>
      </w:r>
    </w:p>
    <w:p>
      <w:pPr>
        <w:spacing w:after="100"/>
      </w:pPr>
      <w:r>
        <w:t xml:space="preserve">El margen operativo ajustado subió de 25,3 % (2021) a 27,5 % (2025) y 29,4 % en el 1S26 (+100 p.b.), por mezcla hacia software en la nube y suscripciones digitales, apalancamiento operativo y la salida de FRR (de margen casi nulo) [1, 8, 15]. El margen EBITDA NIIF salta en 2022 (33,0 %) y 2025 (36,1 %) por plusvalías de venta; sin ellas fue del 31,7 % y el 32,8 %. Por división en 2025: Tax &amp; Accounting 35,2 %, FCC 35,2 %, Health 32,1 %, L&amp;R 18,2 % y CP&amp;ESG 7,5 % (cayó 270 p.b. por menos licencias y más implantación por terceros) [1].</w:t>
      </w:r>
    </w:p>
    <w:p>
      <w:pPr>
        <w:pStyle w:val="Heading2"/>
      </w:pPr>
      <w:r>
        <w:t xml:space="preserve">Ajustes y partidas no recurrentes</w:t>
      </w:r>
    </w:p>
    <w:p>
      <w:pPr>
        <w:spacing w:after="100"/>
      </w:pPr>
      <w:r>
        <w:t xml:space="preserve">La empresa publica el «adjusted operating profit», que añade al beneficio operativo NIIF la amortización y deterioro de intangibles adquiridos y fondo de comercio (164 M en 2021, 160 M en 2022 con 20 M de deterioro en Health, 146 M, 149 M y 157 M en 2025) y quita las partidas no recurrentes («other gains and losses»): -29 M en 2021 (incluida la pérdida por la venta de la educación jurídica de EE. UU.), +69 M en 2022 (plusvalía de 75 M por Francia y España), -7 M, -10 M y +205 M en 2025 (plusvalía de 231 M por FRR menos 25 M de costes de adquisición) [1, 2, 6]. Este informe solo trata como no recurrentes dentro del EBITDA los resultados de desinversiones: pérdida de 20 M en 2021, plusvalías de 75 M en 2022 y 4 M en 2023, pérdida de 3 M en 2024 y plusvalía de 231 M en 2025 (FRR); en los doce meses a junio de 2026, plusvalía de 239 M [1, 2, 6, 8]. Los costes de adquisición e integración (3-25 M al año; 25 M en 2025) se repiten todos los años y se quedan dentro del EBITDA como coste recurrente. El ajustado de 2024 incluye una ganancia de pensiones de 15 M en L&amp;R y bajas de producto en Health no cuantificadas [1]. EBITDA ajustado de la empresa: 1.775 M (2023), 1.930 M (2024), 2.007 M (2025) [1,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Wolters Kluwer no publica transcripciones gratuitas; esto sale de las presentaciones y notas de resultados. </w:t>
      </w:r>
      <w:r>
        <w:rPr>
          <w:b/>
        </w:rPr>
        <w:t xml:space="preserve">FY2025 (25-feb-26)</w:t>
      </w:r>
      <w:r>
        <w:t xml:space="preserve">: cambio de consejera delegada (Nancy McKinstry se retira; Stacey Caywood la sustituye), «cerca del 70 %» de los ingresos digitales vienen de soluciones con IA, y anuncio de subir el desarrollo de producto del 11 % al 12-13 % de las ventas en 2026 y siguientes sin renunciar a ampliar el margen (guía ~28,0 %); recompra rebajada a hasta 500 M desde 1.100 M; prioridades: acelerar la IA, alianzas y comercialización [1, 16]. Avisó de un 1T26 con comparativa difícil en L&amp;R y CP&amp;ESG. </w:t>
      </w:r>
      <w:r>
        <w:rPr>
          <w:b/>
        </w:rPr>
        <w:t xml:space="preserve">1S26 (5-ago-26)</w:t>
      </w:r>
      <w:r>
        <w:t xml:space="preserve">: guía de grupo reiterada; «buen comienzo», renovaciones sólidas, orgánico del 5 % (6 % sin impresos), recurrentes +7 %, no recurrentes -3 % [8, 17]. Cambios en el discurso: pasa de describir la IA como oportunidad a dar métricas de adopción (más del 90 % de los clientes Enterprise de UpToDate en EE. UU. con Expert AI; ~250 despachos con los módulos agénticos de CCH Axcess; Libra en 10 países) [8, 17]. Rebajó la guía orgánica de CP&amp;ESG a «en línea» con 2025 por ciclos de venta más largos y avisó de variabilidad transaccional en FCC [1, 8]. Lo que no detalla: el crecimiento orgánico de Clinical Solutions bajó del 7 % (2025) al 5 % y el de Tax &amp; Accounting Norteamérica del 8 % al 5 % en el 1S26, sin cifra de precios ni de retención por producto [1, 17]. El gasto de producto se concentra en el 2S26.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Venta de la información jurídica de Francia y España a Karnov (30-nov-22, 114 M): sale del balance y de la cuenta en diciembre.; 2025: Compras de RASi (13-mar-25, 386 M), Brightflag (11-jun-25, 436 M) y Libra (19-nov-25, hasta 90 M) y venta de FRR a Regnology (1-dic-25, 419 M): el balance de cierre incluye las compradas y excluye FRR; la cuenta recoge FRR 11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Wolters Kluwer cobra por adelantado: los ingresos diferidos y otros pasivos de contrato (2.139 M en 2025, el 35 % de las ventas) superan a clientes, existencias y activos de contrato, y el circulante comercial es muy negativo [1, 3, 6]. La deuda financiera bruta sin arrendamientos pasó de 2.800 M (2021) a 4.667 M (2025) y la deuda neta que publica la empresa de 2.131 M a 4.024 M (2,0x EBITDA, dentro del objetivo de 1,5-2,5x), porque recompras y dividendos (6.854 M en cinco años) superaron al flujo libre [1, 3, 6]. El patrimonio cayó de 2.417 M a 798 M por las recompras. A 30-jun-26 la deuda neta seguía en 4.024 M (bruta 5.548 M, caja 1.494 M) [8]. La deuda financiera de este informe excluye los pagos aplazados de adquisiciones y los derivados que la empresa suma a su deuda bruta (88 M en 2025). El coste de la deuda (2,6 %) son los intereses de bonos, papel comercial, comisiones y descubiertos de 2025 (113 M) sobre la deuda bruta media sin arrendamientos, y la vida media (~3,5 años) sale del calendario de vencimientos: ambas son estimaciones propias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5.942</w:t>
      </w:r>
      <w:r>
        <w:t xml:space="preserve">, conversión </w:t>
      </w:r>
      <w:r>
        <w:rPr>
          <w:b/>
          <w:bCs/>
        </w:rPr>
        <w:t xml:space="preserve">115 %</w:t>
      </w:r>
      <w:r>
        <w:t xml:space="preserve"> del beneficio neto; adquisiciones 1.467, dividendos 2.348, recompras 4.506.</w:t>
      </w:r>
    </w:p>
    <w:p>
      <w:pPr>
        <w:spacing w:after="100"/>
      </w:pPr>
      <w:r>
        <w:t xml:space="preserve">Los intereses pagados (79 M en 2025, incluida la parte de intereses de los arrendamientos) y los impuestos (358 M) están dentro del flujo operativo, así que el flujo libre ya va después de intereses [1]. El flujo libre ajustado de la empresa (flujo operativo menos capex y principal de arrendamientos, sin costes de adquisición ni impuestos de desinversiones) fue de 1.010 M (2021), 1.220 M, 1.164 M, 1.276 M y 1.348 M (2025), y 533 M en el 1S26 (+14 % a divisa constante) [1, 2, 6, 8]. La conversión de caja (flujo operativo ajustado sobre beneficio operativo ajustado) fue del 112 %, 107 %, 100 %, 102 % y 103 %: el cobro anticipado de suscripciones aporta circulante cada año (+98 M en 2023, +82 M en 2024, +104 M en 2025) [1, 2]. El capex (4,5-5,8 % de las ventas) es sobre todo software desarrollado internamente: 283 M de los 303 M de 2025 fueron inversión en intangibles propios [3]; la empresa no separa mantenimiento y crecimiento. Guía 2026: capex del 5-6 % de las ventas, conversión del 95-100 % y flujo libre ajustado de 1.300-1.350 M [1, 8]. En 2021-2025 las adquisiciones netas de desinversiones sumaron 877 M y la retribución al accionista 6.854 M (2.348 M en dividendos y 4.506 M en recompras). 1S26: flujo operativo 694 M, capex 143 M, arrendamientos 28 M, adquisiciones 33 M, dividendos 303 M y recompras 215 M [8].</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Accountants N.V. (desde el ejercicio 2025; antes Deloitte, sustituida por rotación obligatoria)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KPMG auditó por primera vez el ejercicio 2025, con opinión favorable; su asunto clave fue el reconocimiento de ingresos en obligaciones satisfechas en un momento del tiempo (licencias, implantaciones) [3, 4]. El cambio de auditor es un riesgo menor de primer año. La empresa capitaliza desarrollo de software: 283 M en 2025 (293 M en 2024), frente a 227 M de amortización y 14 M de deterioro de esos intangibles propios, de modo que la capitalización neta suma ~42 M al beneficio operativo de 2025 [3]. La remuneración en acciones (LTIP y RSU) es pequeña: 24-31 M al año, el 2-3 % del beneficio neto [1, 2, 6]. Deterioros de fondo de comercio prácticamente nulos (2 M en 2024) y de intangibles adquiridos solo en 2022 (20 M en Health) [3, 5]. Las cifras ajustadas excluyen la amortización de intangibles adquiridos (146-164 M al año, recurrente mientras siga comprando) y las plusvalías; el beneficio NIIF superó al ajustado en 2022 y 2025 por ventas de negocios. El tipo efectivo NIIF de 2025 (20,7 %) es bajo por la plusvalía exenta de FRR; el de referencia fue del 23,6 % [1]. Los ingresos diferidos crecieron con las ventas hasta 2024 y bajaron en 2025 (de 2.240 M a 2.139 M con otros pasivos de contrato) por la divisa y la venta de FRR [1, 2]. Los indicadores del motor no muestran alarmas: el Beneish M es de −2,74, por debajo del umbral de manipulación; el Piotroski F, de 7 sobre 9; el Altman Z, de 2,34, cae en zona gris solo por la estructura del balance (circulante negativo por los cobros anticipados y patrimonio de 798 M tras las recompras), no por falta de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software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283 M capitalizados frente a 241 M de amortización y deterioro en 2025 [3]; con el gasto de producto subiendo al 12-13 % de las ventas en 2026, vigilar qué parte se capitaliza.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año de un nuevo auditor (KPMG)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obligatoria tras Deloitte; opinión favorable sin salvedades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en el beneficio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 M por FRR en 2025 y 75 M por Francia y España en 2022 elevan el BPA NIIF; el BPA ajustado (5,29 EUR en 2025) las excluye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neto reducido por recompras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798 M en 2025 frente a 2.417 M en 2021: distorsiona ROE y Altman Z, no es un problema de solvencia [1,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4.787 M en 2025 (el 101 % del capital invertido medio); ha subido más de un 5 % en 2 de 4 años: compras pequeñas.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6,8 %.</w:t>
      </w:r>
    </w:p>
    <w:p>
      <w:pPr>
        <w:spacing w:after="100"/>
      </w:pPr>
      <w:r>
        <w:t xml:space="preserve">Wolters Kluwer crea valor holgadamente: el ROIC calculado aquí subió del 17,8 % en 2021 al 25,4 % en 2025, frente a un WACC del 6,80 %: 18,6 puntos de diferencia. Ese ROIC usa el capital invertido neto de los ingresos cobrados por adelantado (unos 2.100 M), que financian el circulante; la propia empresa, que incluye todo el fondo de comercio (4.787 M) y los intangibles adquiridos (1.825 M), publica un 18,0 % en 2025 y guía un 18-19 % en 2026 [1, 8]: 11 puntos sobre el WACC, también por encima del umbral. El ROIC sin fondo de comercio no tiene sentido aquí: el fondo de comercio es casi todo el capital invertido neto (101 %), porque los cobros anticipados financian el resto. La mejora viene del margen y de la rotación (de 0,53 a 0,64). El ROE del 111,7 % no dice nada: el patrimonio se ha reducido a 798 M con recompras financiadas con deuda. Frente a los competidores, el margen EBIT NIIF de 2025 (24,6 %; 28,3 % ajustado) queda por debajo del de RELX (34,8 %) y Thomson Reuters (28,5 %) [26, 29].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neta de descubiertos 891 M (caja 932 M) y línea de crédito multidivisa comprometida de 600 M sin disponer, con vencimiento en 2030 y una opción de prórroga, sin covenant financiero; programa de papel comercial (ECP) de hasta 1.000 M con 180 M emitidos [1, 3]. A 30-jun-26: caja 1.494 M tras emitir el 22-jun-26 un bono de 500 M a siete años (cupón 3,625 %); vencen en los 12 meses siguientes 1.000 M de bonos (el de 2022-2026 al 3,0 % y el de 2017-2027 al 1,5 %) [3, 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 A-2, perspectiva estable (25-mar-25); Moody's A3, perspectiva estable (afirmado el 26-mar-25)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covenants financieros en la línea de crédito; todos los bonos son sin garantía y a tipo fijo [3]. Pensiones y beneficios a empleados: pasivo neto de 62 M en 2025 (9 M de planes de jubilación, 44 M de otros beneficios post-empleo, sobre todo médicos en EE. UU., y 9 M de otros a largo plazo) [3]. Provisiones de 38 M (25 M de reestructuración y 9 M legales), sin pasivos contingentes materiales por litigios; garantías emitidas de 17 M [3]. Pagos aplazados y contingentes de adquisiciones (earn-outs): 50 M en 2025 (49 M de valor razonable por las compras de 2025, sobre todo Libra; máximo sin descontar 62 M), que la empresa incluye en su deuda bruta [1, 3]. Derivados de deuda: 38 M de pasivo. Ingresos diferidos: 2.051 M (1.911 M corrientes y 140 M no corrientes) más 88 M de otros pasivos de contrato; son cobros anticipados de suscripciones, no deuda, pero explican el circulante negativo [1]. Colocaciones privadas en yenes (20.000 M JPY, 108 M) cubiertas con swaps de divisa [3].</w:t>
      </w:r>
    </w:p>
    <w:p>
      <w:pPr>
        <w:pStyle w:val="Heading1"/>
      </w:pPr>
      <w:r>
        <w:t xml:space="preserve">12. Asignación de capital</w:t>
      </w:r>
    </w:p>
    <w:p>
      <w:pPr>
        <w:pStyle w:val="Confianza"/>
        <w:spacing w:after="100"/>
      </w:pPr>
      <w:r>
        <w:t xml:space="preserve">Confianza: Media</w:t>
      </w:r>
    </w:p>
    <w:p>
      <w:pPr>
        <w:spacing w:after="100"/>
      </w:pPr>
      <w:r>
        <w:t xml:space="preserve">Dividendo progresivo: la empresa quiere subir el dividendo por acción en euros cada año, con independencia de la divisa; a cuenta del 40 % del total del año anterior. Dividendo de 2025: 2,52 EUR (+8 %), a cuenta de 2026: 1,01 EUR [1, 8]. Política antidilución desde 2012 (recompra las acciones que emite por incentivos) y recompras adicionales: 1.000 M al año en 2022-2024, 1.100 M en 2025 (8,6 M de acciones a 128,45 EUR de media) y hasta 500 M en 2026, de los que 244 M ya ejecutados a 67,79 EUR de media hasta el 4-ago-26 [1, 2, 8]. Apalancamiento objetivo de 1,5-2,5x deuda neta/EBITDA, con desvíos temporales permitidos; prioridades: inversión orgánica (desarrollo de producto al 12-13 % de las ventas desde 2026), adquisiciones selectivas y retorno al accionista [1,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Vanguard Software (planificación integrada en la nube, Tax &amp; Accounting/CP&amp;ESG)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CCH Tagetik; sin deterioros publicados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educación jurídica de EE. UU.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Vendida con 32 M de ingresos en 2021; pérdida contable incluida en los -20 M de resultados de desinversión de 2021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Document Services (IDS, documentación hipotecaria,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Financial Services; sin deterioros publicados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 información jurídica de Francia y España a Karnov</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(cobro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75 M; anunciada en diciembre de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Della AI, Level Programs, IJS Publishing (bolt-ons)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 + 1 M aplazado (Della), 5 M + 1 M (Level), 13 M (IJSPG)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NurseTim, Invistics (Health) y MFAS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Contraprestación total de 2023; Invistics es hoy Sentri7 Drug Diversion [2, 5,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Finca Group / soluciones de Isabel Group (flujos financieros y factura electrónica en la nube, T&amp;A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 M de ingresos brutos en 2023 (+23 %): ~9,6x ventas (estimación propia); creció a doble dígito en 2025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 agente registrado, FCC)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(bonos de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por encima del plan inicial según la empresa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 (gestión de gasto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doble dígito en 1S26, por encima del plan [1,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Libra Technology (asistente jurídico con IA, L&amp;R)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M en caja + 47 M de valor razonable de pago contingente (máximo 90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Lanzada en 10 países; ingresos por encima del plan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Finance, Risk &amp; Regulatory Reporting (FRR) a Regnology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(399 M netos cobrados)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231 M (exenta de impuestos); FRR facturó 123 M en 2024 con resultado ajustado casi nulo: ~3,4x ventas (estimación propia) [1,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StandardFusion (GRC en la nube, CP&amp;ESG/TeamMate)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9-ene-26 [1, 8].</w:t>
            </w:r>
          </w:p>
        </w:tc>
      </w:tr>
    </w:tbl>
    <w:p>
      <w:pPr>
        <w:spacing w:after="160" w:before="0"/>
      </w:pPr>
    </w:p>
    <w:p>
      <w:pPr>
        <w:spacing w:after="100"/>
      </w:pPr>
      <w:r>
        <w:t xml:space="preserve">Como gestora del negocio, la dirección ha acertado: el ROIC subió casi 8 puntos en cinco años con adquisiciones pequeñas (1.467 M en 2021-2025) y ventas oportunas (FRR, con 231 M de plusvalía). Como gestora del balance, peor: devolvió 6.854 M en 2021-2025, un 115 % del flujo libre, y la diferencia se pagó con deuda (deuda neta de 2.131 M a 4.024 M; de 1,4 a 2,0 veces el EBITDA). Las recompras se hicieron caras: 149,23 EUR de media en 2024 y 128,45 EUR en 2025 [1, 2]. Y ahora que la acción vale la mitad, recompra menos: hasta 500 M en 2026, 67,96 EUR de media hasta el 16-sep, con 236 M aún por ejecutar antes del 28-dic [92]. El dividendo progresivo (2,52 EUR en 2025, +8 %) es sostenible: el 43 % del flujo libre ajustado por acción.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presidenta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Executive Board desde la junta del 15-may-2025 (99,96 % a favor) y CEO desde la presentación de resultados de febrero de 2026, tras un año de transición anunciado el 26-feb-2025 [2, 40]. Antes fue CEO de Health, donde llevó la IA generativa a UpToDate, y de Legal &amp; Regulatory, división que devolvió al crecimiento y a buenos márgenes según la empresa [2]. Tiene 21.137 acciones (1,7 veces el salario a cierre de 2025, frente a un mínimo de 3 veces en cinco años) [3,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miembro del Executive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mayo de 2013; reelegido en 2025 con el 99,99 % [3, 40]. En su etapa el flujo libre ajustado pasó de 1.220 M EUR (2022) a 1.348 M EUR (2025) y el ROIC del 15,5 % al 18,0 % [3, 6]. Tiene 61.426 acciones (6,0 veces el salario a cierre de 2025) [3,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 y copresidenta de la Comisión de Selección y Remuneración (nombramientos)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2017 y presidenta desde la junta de 2022; reelegida en 2025 hasta 2027 con el 98,11 % [3, 40]. Fue vicepresidenta sénior, directora financiera y miembro del comité ejecutivo de CDW; es consejera de US Foods y Reynolds Consumer Products [3]. Tiene 4.358 ADR, comprados con su dinero [8,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Samios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la división Health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junio de 2025 al pasar Caywood a la sucesión; antes dirigía Clinical Effectiveness, la mayor unidad de Clinical Solutions, y en la casa desde 2014 [3]. En 2025 Health creció un 5 % orgánico (Clinical Solutions, un 7 %) y la guía de 2026 es repetir ese ritmo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Jason Marx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la división Tax &amp; Accounting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global de la división desde 2023, tras siete años al frente de Tax &amp; Accounting Norteamérica; en Wolters Kluwer desde 2007 [3]. La división creció un 8 % orgánico en 2023 y un 7 % en 2024 y 2025, y lideró el crecimiento del grupo en 2025 [1, 4, 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25,5-26,0 %; flujo libre ajustado 1.025-1.075 M EUR; ROIC en torno al 14 %; BPA ajustado diluido con crecimiento de un dígito medio en divisa constante; recompras de hasta 600 M EUR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26,1 %; flujo libre 1.220 M EUR; ROIC 15,5 %; BPA 4,14 EUR, +8 % en divisa constante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26,1-26,5 %; flujo libre en torno a 1.200 M EUR; ROIC 16,5-17,0 %; BPA con crecimiento alto de un dígito en divisa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26,4 %; flujo libre 1.164 M EUR (−2 % en divisa constante, en línea con la guía); ROIC 16,8 %; BPA 4,55 EUR, +12 % en divisa constante [4,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26,4-26,8 %; flujo libre 1.150-1.200 M EUR; ROIC 17,0-18,0 %; BPA con crecimiento medio-alto de un dígito en divisa constante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27,1 %; flujo libre 1.276 M EUR (+9 % en divisa constante); ROIC 18,1 %; BPA 4,97 EUR, +11 % en divisa constante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27,1-27,5 %; flujo libre 1.250-1.300 M EUR; ROIC 18-19 %; BPA con crecimiento de un dígito medio en divisa constante, elevada en julio de 2025 [3,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27,5 % (techo del rango); flujo libre 1.348 M EUR (+10 % en divisa constante, por encima); ROIC 18,0 % (suelo del rango); BPA +9 % en divisa constante [1,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2023-2025 (objetivos del LTIP)</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internos a tres años fijados por el Supervisory Board: crecimiento anual compuesto del BPA ajustado diluido del 10,8 %, ROIC del último año del 19,0 % (ambos en divisa constante) y TSR relativo frente a 15 comparables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+10,5 % anual, ROIC 18,2 % y TSR en el puesto 15 de 16: pago del 98 %, 77 % y 0 % de cada tramo [3,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lo que promete: entre 2022 y 2025 alcanzó o superó la guía anual en margen, flujo libre, ROIC y BPA, aunque el ROIC de 2025 quedó justo en el suelo del rango (18,0 %) [1, 3, 4, 5, 6, 7]. Los objetivos internos del LTIP 2023-2025 se quedaron cortos en BPA, ROIC y, sobre todo, TSR, que pagó cero [3]. La guía de 2026 (margen en torno al 28 %, flujo libre 1.300-1.350 M EUR, ROIC 18-19 %, BPA con crecimiento alto de un dígito) se reiteró el 5-ago-2026 [8]. </w:t>
      </w:r>
      <w:r>
        <w:rPr>
          <w:b/>
        </w:rPr>
        <w:t xml:space="preserve">La sucesión fue ordenada</w:t>
      </w:r>
      <w:r>
        <w:t xml:space="preserve">: Nancy McKinstry, CEO durante 22 años, anunció su retirada con un año de antelación y la sustituyó una ejecutiva de la casa [2]. Pero el equipo es nuevo: además de la CEO, en 2025-2026 cambiaron los primeros ejecutivos de Health, Financial &amp; Corporate Compliance (fichaje externo) y Corporate Performance &amp; ESG [2, 3]. El CFO, con 13 años en el cargo, es el ancla de continuidad.</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Stacey Caywood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presidenta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(órgano de gestión)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Entricken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y miembro del Executive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Board; preside el Comité Corporativo de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 Ziegler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Heleen Kersten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 (copresidenta,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Anjana Harve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Hikmet Ersek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V. Vandebroek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Sides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Rose Lee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Maarten de Vries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Supervisory Board (CFO de Akzo Nobel)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publicadas a la fecha de corte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0,14 / ventas 0,32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Notificó un 8,36 % el 3-mar-2026 y ha oscilado entre el 8,0 % y el 8,4 %; última notificación, 8,01 % el 24-jun-2026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2,33 % del capital y 3,20 % de los votos el 8-may-2026; tenía un 2,97 % en enero de 2024 y un 2,16 % en febrero de 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Independent Franchise Partners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(3,14 %) el 14-ene-2026 y bajó al 2,79 % el 19-jun-2026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Group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posiciones de intermediación)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Cruza el 3 % arriba y abajo casi cada semana desde febrero de 2026; última notificación, 2,94 % el 16-jul-2026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 Morgan Chase &amp; 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(incluye swaps y opciones)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1,4 % y el 4,3 % desde mayo de 2026; 2,83 % el 8-sep-2026, de ello un 1,50 % en instrumentos potenciales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Amundi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(3,30 %) el 3-sep-2026 y volvió a bajar al 2,96 % el 25-sep-2026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Wolters Kluwer N.V. (autocartera)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2.276.510 acciones el 18-sep-2026, tras amortizar 7,8 millones. Tenía un 4,2 % el 4-ago-2026 y un 2,73 % a cierre de 2025 [3, 8,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Stacey Caywood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Entricken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 Ziegler (presidenta del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 Vogelzang (Supervisory Board)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Datos de 2025 de la CEO saliente, Nancy McKinstry, según el coste contable (NIIF): 8,52 M EUR, de los que 1,57 M de salario, 0,51 M de seguridad social, pensión y otros, 0,79 M de costes fiscales por expatriación, 2,10 M de bonus anual y 3,55 M de LTIP [3]. El fijo de la tabla incluye esos costes fiscales. La ratio con el empleado medio es de 66 veces (77 en 2024) [3]. </w:t>
      </w:r>
      <w:r>
        <w:rPr>
          <w:b/>
        </w:rPr>
        <w:t xml:space="preserve">El bonus anual</w:t>
      </w:r>
      <w:r>
        <w:t xml:space="preserve"> pesa un 90 % en ingresos, beneficio neto ajustado y flujo libre, y un 10 % en tres métricas no financieras. Para 2025 pagó el 141,8 % del salario [3]. </w:t>
      </w:r>
      <w:r>
        <w:rPr>
          <w:b/>
        </w:rPr>
        <w:t xml:space="preserve">El LTIP 2026-2028</w:t>
      </w:r>
      <w:r>
        <w:t xml:space="preserve"> pondera BPA ajustado diluido (50 %), TSR relativo (30 %) y ROIC (20 %), con objetivos publicados: BPA +9,1 % anual, ROIC final del 20,6 % y puesto 5-6 en TSR [3]. Hay </w:t>
      </w:r>
      <w:r>
        <w:rPr>
          <w:i/>
        </w:rPr>
        <w:t xml:space="preserve">clawback</w:t>
      </w:r>
      <w:r>
        <w:t xml:space="preserve">, indemnización máxima de un año de salario y una cláusula de cambio de control que consolida el 100 % del LTIP pendiente [3]. </w:t>
      </w:r>
      <w:r>
        <w:rPr>
          <w:b/>
        </w:rPr>
        <w:t xml:space="preserve">El voto en contra va en aumento</w:t>
      </w:r>
      <w:r>
        <w:t xml:space="preserve">: 5,30 % en 2024, 7,14 % en 2025 y 14,81 % en 2026 [39, 40, 41].</w:t>
      </w:r>
    </w:p>
    <w:p>
      <w:pPr>
        <w:pStyle w:val="Heading2"/>
      </w:pPr>
      <w:r>
        <w:t xml:space="preserve">Operaciones vinculadas, estructura de control y defensas</w:t>
      </w:r>
    </w:p>
    <w:p>
      <w:pPr>
        <w:spacing w:after="100"/>
      </w:pPr>
      <w:r>
        <w:t xml:space="preserve">No hay accionista de control: el mayor es BlackRock, con un 8 % [43], y en las juntas vota entre el 71 % y el 79 % del capital [39, 40, 41]. </w:t>
      </w:r>
      <w:r>
        <w:rPr>
          <w:b/>
        </w:rPr>
        <w:t xml:space="preserve">La defensa es la fundación de acciones preferentes</w:t>
      </w:r>
      <w:r>
        <w:t xml:space="preserve"> (Stichting Preferente Aandelen Wolters Kluwer). Tiene una opción para suscribir acciones preferentes por hasta el 100 % de las ordinarias en circulación, contra cualquier tercero que quiera influir sin el acuerdo de ambos consejos [3, 43]. Sus miembros son independientes y no la ha ejercido [3]. Por eso no rige el principio de una acción, un voto. Los ADR son un programa de cotización en EE. UU., no certificados de depósito para retener el voto. No hay operaciones vinculadas relevantes en 2025 ni en el primer semestre de 2026 [3, 8]. </w:t>
      </w:r>
      <w:r>
        <w:rPr>
          <w:b/>
        </w:rPr>
        <w:t xml:space="preserve">La junta de 2026 rebajó la mayoría para aprobar la política de remuneración</w:t>
      </w:r>
      <w:r>
        <w:t xml:space="preserve"> del 75 % a la mayoría simple, con solo un 54,17 % a favor [39, 42].</w:t>
      </w:r>
    </w:p>
    <w:p>
      <w:pPr>
        <w:pStyle w:val="Heading2"/>
      </w:pPr>
      <w:r>
        <w:t xml:space="preserve">Señales de alerta</w:t>
      </w:r>
    </w:p>
    <w:p>
      <w:pPr>
        <w:pStyle w:val="ListParagraph"/>
        <w:numPr>
          <w:ilvl w:val="0"/>
          <w:numId w:val="2"/>
        </w:numPr>
        <w:spacing w:after="60"/>
      </w:pPr>
      <w:r>
        <w:t xml:space="preserve">Junta del 21-may-2026: el cambio de estatutos que rebaja la mayoría para aprobar la política de remuneración del Executive Board, del 75 % a más del 50 %, salió con un 54,17 % a favor y un 45,83 % en contra [39, 42]. La empresa se compromete a dialogar con los accionistas si el rechazo supera el 20 % [42]. Con la regla anterior, una política con el apoyo de esta junta no se habría aprobado.</w:t>
      </w:r>
    </w:p>
    <w:p>
      <w:pPr>
        <w:pStyle w:val="ListParagraph"/>
        <w:numPr>
          <w:ilvl w:val="0"/>
          <w:numId w:val="2"/>
        </w:numPr>
        <w:spacing w:after="60"/>
      </w:pPr>
      <w:r>
        <w:t xml:space="preserve">El voto en contra del informe de remuneraciones se ha duplicado en cada junta: 5,30 % (2024), 7,14 % (2025) y 14,81 % (2026) [39, 40, 41].</w:t>
      </w:r>
    </w:p>
    <w:p>
      <w:pPr>
        <w:pStyle w:val="ListParagraph"/>
        <w:numPr>
          <w:ilvl w:val="0"/>
          <w:numId w:val="2"/>
        </w:numPr>
        <w:spacing w:after="60"/>
      </w:pPr>
      <w:r>
        <w:t xml:space="preserve">Equipo directivo casi nuevo: en 2025-2026 cambiaron la CEO (McKinstry, tras 22 años) y los primeros ejecutivos de Health, Financial &amp; Corporate Compliance (fichaje externo) y Corporate Performance &amp; ESG [2, 3]. Además, Jack de Kreij, vicepresidente del Supervisory Board y presidente de la Comisión de Auditoría, salió en mayo de 2026 [3, 39].</w:t>
      </w:r>
    </w:p>
    <w:p>
      <w:pPr>
        <w:pStyle w:val="ListParagraph"/>
        <w:numPr>
          <w:ilvl w:val="0"/>
          <w:numId w:val="2"/>
        </w:numPr>
        <w:spacing w:after="60"/>
      </w:pPr>
      <w:r>
        <w:t xml:space="preserve">Rotación del auditor: KPMG sustituyó a Deloitte desde las cuentas de 2025. Es la rotación obligatoria neerlandesa y la Comisión de Auditoría describe la transición como fluida [3].</w:t>
      </w:r>
    </w:p>
    <w:p>
      <w:pPr>
        <w:pStyle w:val="ListParagraph"/>
        <w:numPr>
          <w:ilvl w:val="0"/>
          <w:numId w:val="2"/>
        </w:numPr>
        <w:spacing w:after="60"/>
      </w:pPr>
      <w:r>
        <w:t xml:space="preserve">Posiciones cortas en el registro de la AFM: D.E. Shaw llegó al 0,80 % (10-abr-2026) y estaba en el 0,40 % el 18-sep-2026; Millennium llegó al 0,71 % el 17-sep-2026 y bajó al 0,09 % al día siguiente [44]. A 8-oct-2026 ninguna posición supera el 0,5 % en el registro actual [44].</w:t>
      </w:r>
    </w:p>
    <w:p>
      <w:pPr>
        <w:pStyle w:val="ListParagraph"/>
        <w:numPr>
          <w:ilvl w:val="0"/>
          <w:numId w:val="2"/>
        </w:numPr>
        <w:spacing w:after="60"/>
      </w:pPr>
      <w:r>
        <w:t xml:space="preserve">Cláusula de cambio de control: los miembros del Executive Board y un pequeño grupo de directivos cobrarían el 100 % del LTIP pendiente, más una indemnización en efectivo si salen tras la operación [3].</w:t>
      </w:r>
    </w:p>
    <w:p>
      <w:pPr>
        <w:pStyle w:val="ListParagraph"/>
        <w:numPr>
          <w:ilvl w:val="0"/>
          <w:numId w:val="2"/>
        </w:numPr>
        <w:spacing w:after="60"/>
      </w:pPr>
      <w:r>
        <w:t xml:space="preserve">El LTIP 2023-2025 pagó cero en su tramo de TSR: la empresa quedó en el puesto 15 de 16 comparables, con una caída de la acción del 45 % en 2025 [3, 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publicada el 25-feb-2026 y confirmada sin cambios el 5-ago-2026 [1, 10], pide otro año de buen crecimiento orgánico, un margen operativo ajustado de en torno al 28,0 % (27,5 % en 2025), un flujo de caja libre ajustado de 1.300-1.350 M EUR, un ROIC del 18-19 % y un crecimiento de un dígito alto del BPA diluido ajustado en divisa constante (5,29 EUR en 2025) [1]. Por división: Health y Tax &amp; Accounting en línea con 2025 (5 % y 7 %, T&amp;A acelerando en el 2S), FCC y Legal &amp; Regulatory por encima (3 % y 5 %), CP&amp;ESG rebajada a en línea (7 %) [10]. Incluye 500 M EUR de recompras, un gasto en desarrollo del 12-13 % de las ventas cargado en el 2S, unos 20 M de reestructuración y unos 105 M de coste financiero [10]. Cada céntimo de dólar mueve 4,5 céntimos el BPA ajustado. Próxima publicación: 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15-oct-2026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15-oct-2026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15-oct-2026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56,00 – 120,00</w:t>
            </w:r>
          </w:p>
        </w:tc>
      </w:tr>
    </w:tbl>
    <w:p>
      <w:pPr>
        <w:spacing w:after="160" w:before="0"/>
      </w:pPr>
    </w:p>
    <w:p>
      <w:pPr>
        <w:pStyle w:val="Heading2"/>
      </w:pPr>
      <w:r>
        <w:t xml:space="preserve">Revisiones de estimaciones</w:t>
      </w:r>
    </w:p>
    <w:p>
      <w:pPr>
        <w:spacing w:after="100"/>
      </w:pPr>
      <w:r>
        <w:t xml:space="preserve">No hay serie gratuita de revisiones con cifras: MarketScreener solo las publica como gráficos [52]. Frente al 8-oct las estimaciones apenas se mueven (BPA 2026e 5,19 frente a 5,18; 2028e 6,34 frente a 6,32) y el precio objetivo medio sube de 89,78 a 89,91 EUR con un mínimo que pasa de 54 a 56 EUR [51, 52]. Tras los resultados semestrales del 5-ago-2026 UBS y Goldman Sachs se quedaron en neutral (Goldman con 71 EUR de objetivo) mientras Deutsche Bank y Bernstein mantenían compra; KBC Securities recortó su precio objetivo el 25-ago sin cambiar la recomendación; TD Cowen empezó a cubrir con compra el 11-sep y Bernstein reiteró compra el 7-oct [52]. El BPA del consenso es el NIIF (5,64 EUR en 2025 con la plusvalía de FRR), no el ajustado de la empresa (5,29 EUR en 2025) [1, 51]. El objetivo medio queda un 15 % por encima de la cotización, con un rango muy ancho (56-120 EUR): los analistas discrepan sobre cuánto daño hará la IA [52, 53].</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un año la acción ha perdido un 26,0 % con dividendos, frente al +20,6 % del ETF del AEX y el +0,4 % del ETF de medios europeo; en lo que va de año, −8,0 % frente a +21,2 % [22]. La caída máxima de cinco años, del −67,8 %, va del 12-feb-2025 al 13-may-2026 [22]. Es sobre todo una caída de múltiplo y del sector. El 3-feb-2026 cayó un 12,7 %, el mismo día que RELX (−14,4 %), Thomson Reuters (−15,7 %) y LSEG (−12,8 %) [22, 57], cuando Anthropic presentó herramientas de IA para el trabajo jurídico [23]. Hubo dos caídas propias: −7,3 % el 6-may-2026, con el avance del primer trimestre [11], y −7,8 % el 6-nov-2025, tras el avance de nueve meses [12]. Desde el mínimo del 25-jun-2026 (54,64 EUR) ha subido un 43 %, y un 8,7 % solo entre el 8 y el 14 de octubre, en bloque con RELX (+6,9 %), Experian (+4,7 %) y Thomson Reuters (+3,8 %) [22, 81], mientras los analistas hablaban de que el miedo a la disrupción por IA se enfriaba en el software [82]. El 21-sep-2026 salió del EURO STOXX 50 en la revisión anual (entró Engie) [83]: la venta forzosa de los fondos indexados ya ha pasado. No hay posiciones cortas netas declaradas a la AFM por encima del 0,5 % [56].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Del cierre de 2024 (160,40 EUR) a hoy (78,06 EUR) la acción ha perdido un 51 % [5], mientras el BPA diluido ajustado subía de 4,97 a 5,29 EUR en 2025 y otro 14 % en divisa constante en el primer semestre de 2026 [1, 10]. La caída es de múltiplo, no de beneficio: el PER de los últimos 12 meses ha pasado de una media de 31,5 veces en sus cierres de 2021-2025 a 13,3 veces, y el adelantado (precio ÷ BPA del año siguiente) de 25-28 veces en 2019-2023 a 14,2 veces hoy. Ha cambiado la duración que el mercado concede a esos ingresos: desde febrero de 2026 descuenta que la IA generativa abarate los contenidos profesionales [17]. No hay serie gratuita de múltiplos de los próximos 12 meses históricos, así que la comparación usa los de los últimos 12 meses de cada ejercicio.</w:t>
      </w:r>
    </w:p>
    <w:p>
      <w:pPr>
        <w:pStyle w:val="Heading1"/>
      </w:pPr>
      <w:r>
        <w:t xml:space="preserve">18. Comparables cotizados</w:t>
      </w:r>
    </w:p>
    <w:p>
      <w:pPr>
        <w:pStyle w:val="Confianza"/>
        <w:spacing w:after="100"/>
      </w:pPr>
      <w:r>
        <w:t xml:space="preserve">Confianza: Media</w:t>
      </w:r>
    </w:p>
    <w:p>
      <w:pPr>
        <w:spacing w:after="100"/>
      </w:pPr>
      <w:r>
        <w:t xml:space="preserve">Información profesional y datos por suscripción con márgenes altos e ingresos recurrentes: RELX, Thomson Reuters, LSEG, Verisk y Experian son el núcleo; los cinco venden bases de datos y software de flujo de trabajo a profesionales. Intuit (impuestos y contabilidad de pymes y particulares) y Veeva (software vertical de ciencias de la vida) comparten nicho con Tax &amp; Accounting y Health, pero crecen más y sus EBITDA excluyen la remuneración en acciones. Gartner (investigación por suscripción) encaja peor: sus ventas caen en 2026. Quedan fuera Informa (eventos) y Pearson (educación), con modelos menos recurrentes. Cifras del 8-oct-2026 llevadas al cierre del 14-oct con la variación de precio de cada acción en su divisa (el EV con la deuda neta del 8-oct; el BPA y el EBITDA estimados no cambian en una semana)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LSEG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Gartner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11,9x / 13,9x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13,2x / 15,6x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 / 21,0x / 24,2x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5,6x / 6,8x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5,5 + 0,97 × crecimiento; R² = 0,46. Para el crecimiento esperado de la empresa (5,8 %), el múltiplo ajustado es 11,1x y el valor por acción, 89,66.</w:t>
      </w:r>
    </w:p>
    <w:p>
      <w:pPr>
        <w:spacing w:after="100"/>
      </w:pPr>
      <w:r>
        <w:t xml:space="preserve">Todo el grupo ha bajado de múltiplo en 2026 por el mismo miedo a la IA, y en la última semana ha rebotado en bloque (RELX +6,9 %, Experian +4,7 %, Wolters +8,7 % del 8 al 14-oct [81]). Con un orgánico del 5 % y un margen operativo ajustado del 28 % [8], Wolters cotiza a 9,9 veces el EBITDA de los próximos 12 meses y a 14,0 veces el beneficio, frente a una mediana de 11,9 y 21,0 veces de los ocho comparables y de 13,3 y 22,4 de los cinco de información profesional [51, 58, 59, 60, 61, 62, 63, 64, 65, 66, 67, 68, 69, 70, 71, 72, 73]. Ojo con la base: el PER de Wolters es sobre el BPA NIIF y el de los comparables suele ser el ajustado del consenso. Solo Intuit y Gartner cotizan por debajo. El descuento es mayor de lo que explican el crecimiento o el ROIC: es la prima de riesgo que el mercado pone a Health y Legal &amp; Regulatory. La mediana de los ocho da 97,86 EUR por acción con el EBITDA y 117,56 con el beneficio; pesa solo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empresa de 44.000 M USD con 4.800 M de deuda neta [75]. Múltiplos sobre ventas (4.287,8 M USD) y EBITDA ajustado (1.836,7 M USD) del ejercicio a noviembre de 2020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Anaplan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por 10.700 M USD a 66 USD por acción, un 46 % sobre la media ponderada de cinco sesiones [79]; ventas de 592,2 M USD en el ejercicio a enero de 2022 y pérdidas operativas [80]. Excluida: software de planificación con pérdidas y un crecimiento del 32 %.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10.500 M USD en efectivo y acciones a Thoma Bravo [74]. Múltiplos sobre las ventas previstas para 2023 (unos 590 M USD) y un margen de EBITDA ajustado del 58 % [74]. Excluida: los múltiplos son de previsión y el crecimiento orgánico era del 15 %.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en efectivo a 9,15 USD por acción; 7.700 M USD con deuda, 4.100 M de capital [77]. Múltiplos sobre ventas (2.381,7 M USD) y EBITDA ajustado (926,6 M USD) de 2024 [78]. Datos comerciales con un crecimiento orgánico del 3 %.</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Registered Agent Solutions (RASi)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386 M EUR en efectivo, sin pagos aplazados; unos 180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Brightflag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436 M EUR en efectivo por software de gasto jurídico con IA; 155 empleados [3]. No se publicaron ventas ni EBITDA.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Marosa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Proveedor europeo de automatización del IVA con 112 empleados, comprado por 112 M EUR de valor empresa en efectivo [8]. EV/ventas de 11,2 veces: estimación propia con los ingresos brutos de 2025 que da la empresa, en torno a 10 M EUR sin auditar (+25 %)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164,68 – 273,75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comparables con múltiplo publicado van de 8,3 veces el EBITDA (Dun &amp; Bradstreet, datos con un crecimiento del 3 % comprados por capital privado en 2025 [77, 78]) a 24 veces (IHS Markit, información profesional de alto margen en 2020, con tipos cero [75, 76]). Wolters Kluwer no tiene accionista de control (flotante del 99,7 % [50]), pero una OPA hostil es improbable. Una fundación neerlandesa tiene una opción sobre acciones preferentes que puede ejercer ante una oferta no deseada [3]. Con unos 20.000 M EUR de valor empresa, solo un consorcio de capital privado o un par como RELX o Thomson Reuters podría pagarlo. Las compras propias (RASi, Brightflag, Marosa) son pequeñas y no publican múltiplos [3, 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orgánico fue del 6 % en cada ejercicio de 2021 a 2025 y del 5 % en el primer semestre de 2026, con los recurrentes al 7 % [1, 8]. La guía por división para 2026 es «en línea» con 2025 en Health (5 %), Tax &amp; Accounting (7 %) y CP&amp;ESG (7 %) y «por encima» en FCC (3 %) y Legal &amp; Regulatory (5 %) [8]. En 2026 la cifra publicada queda en +2,5 % (6.282 M del consenso [51]) porque el dólar resta y la venta de FRR saca ingresos; el año va fijo. Para 2027-2028 suponemos un 5,0 %, el orgánico de hoy sin la aceleración que espera la empresa y medio punto por debajo del consenso (5,7 % y 5,5 % [51]); en 2029-2030, 4,5 % y 4,0 %, porque la IA quita algo de precio en la información de consulta y los impresos siguen cayendo. Sin adquisiciones: el DCF no gasta caja en ellas.</w:t>
      </w:r>
    </w:p>
    <w:p>
      <w:pPr>
        <w:keepNext/>
        <w:spacing w:after="100"/>
      </w:pPr>
      <w:r>
        <w:rPr>
          <w:b/>
          <w:bCs/>
        </w:rPr>
        <w:t xml:space="preserve">Márgenes.</w:t>
      </w:r>
    </w:p>
    <w:p>
      <w:pPr>
        <w:spacing w:after="100"/>
      </w:pPr>
      <w:r>
        <w:t xml:space="preserve">El margen EBITDA sin desinversiones subió del 31,7 % en 2021 al 32,8 % en 2025, y el operativo ajustado del 25,3 % al 27,5 % (29,4 % en el 1S26) [1, 8]. Para 2026 la empresa guía en torno al 28,0 % pese a subir el desarrollo al 12-13 % de los ingresos [8]; con la amortización de software, inmovilizado y derechos de uso (5,1 %) eso da un 33,2 %. En 2027-2028 tomamos el margen EBITDA del consenso (33,5 % y 33,8 % [51]) y después 20 pb al año hasta el 34,2 % de 2030: el operativo ajustado sube unos 15 pb al año, un tercio del ritmo de 2021-2025 (55 pb), porque el gasto en IA se queda alto.</w:t>
      </w:r>
    </w:p>
    <w:p>
      <w:pPr>
        <w:keepNext/>
        <w:spacing w:after="100"/>
      </w:pPr>
      <w:r>
        <w:rPr>
          <w:b/>
          <w:bCs/>
        </w:rPr>
        <w:t xml:space="preserve">Inversión y circulante.</w:t>
      </w:r>
    </w:p>
    <w:p>
      <w:pPr>
        <w:spacing w:after="100"/>
      </w:pPr>
      <w:r>
        <w:t xml:space="preserve">El capex fue del 4,9-5,8 % de las ventas en 2021-2025 y la guía de 2026 es del 5-6 % [1, 8]. Le sumamos las altas de derechos de uso (en torno al 0,9 % de las ventas), porque con NIIF 16 el EBITDA no lleva los alquileres [3]: un 6,2-6,4 % en total. La amortización sin intangibles adquiridos sube del 5,1 % al 5,6 % por el software capitalizado; dejar fuera la de intangibles adquiridos (76 M en el 1S26 [8]) quita su escudo fiscal y hace el DCF algo conservador. El circulante es negativo, −16 % de las ventas, por los ingresos cobrados por adelantado: el crecimiento libera caja, como en 2021-2025. Tipo impositivo del 24 %, el de la guía (23,5-24,5 %) [8].</w:t>
      </w:r>
    </w:p>
    <w:p>
      <w:pPr>
        <w:keepNext/>
        <w:spacing w:after="100"/>
      </w:pPr>
      <w:r>
        <w:rPr>
          <w:b/>
          <w:bCs/>
        </w:rPr>
        <w:t xml:space="preserve">Coste del capital.</w:t>
      </w:r>
    </w:p>
    <w:p>
      <w:pPr>
        <w:spacing w:after="100"/>
      </w:pPr>
      <w:r>
        <w:t xml:space="preserve">Tasa libre del 3,51 %, el Bund a 10 años del 14-oct-2026 [54]. Beta de 0,80: la propia frente al AEX es 0,55 (mensual, 5 años; ajustada 0,70) y 0,77 la semanal de dos años [22], pero la mensual sale sesgada porque la caída de 2025-2026 fue del sector y no del mercado, que subía. Usamos la de los pares de información profesional (RELX, LSEG, Thomson Reuters), desapalancada en torno a 0,65 y reapalancada con la deuda de Wolters: 0,79 [57]. Prima de mercado del 5,5 % y sin prima adicional: el riesgo de la IA está en el escenario bajista, con un 35 % de probabilidad, y contarlo también en la tasa sería contarlo dos veces. Coste de la deuda del 3,75 % (eurobono a 7 años de junio de 2026, calificación A-) [8]; peso de la deuda del 22 % a valor de mercado. WACC del 6,80 %.</w:t>
      </w:r>
    </w:p>
    <w:p>
      <w:pPr>
        <w:keepNext/>
        <w:spacing w:after="100"/>
      </w:pPr>
      <w:r>
        <w:rPr>
          <w:b/>
          <w:bCs/>
        </w:rPr>
        <w:t xml:space="preserve">Valor terminal.</w:t>
      </w:r>
    </w:p>
    <w:p>
      <w:pPr>
        <w:spacing w:after="100"/>
      </w:pPr>
      <w:r>
        <w:t xml:space="preserve">Gordon con un 2,0 %: la inflación esperada del euro y por debajo del Bund menos medio punto (3,01 %). Es menos de la mitad del orgánico actual y deja sitio para que la IA abarate parte del contenido. El múltiplo implícito, 13,5 veces el EBITDA, queda cerca de la mediana de los cinco comparables de información profesional (13,3 veces los próximos 12 meses [51, 58, 59, 60, 61, 62]), coherente con un negocio que a esa fecha sigue creciendo al 2 % con un ROIC de más del 20 %.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127,64 por acción; sin ella (crecimiento terminal desde 2030e), 121,85.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8.043</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0,602</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0,564</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Cinco años de transición tras 2030 porque el ROIC lo permite y la ventaja dura más que la proyección explícita. El ROIC de la empresa, con 4.787 M de fondo de comercio y 1.825 M de intangibles en el capital, fue del 18,0 % en 2025, once puntos sobre el WACC; el calculado aquí, neto de los ingresos cobrados por adelantado, es del 25,4 % [1]. El 85 % de los ingresos es recurrente, con renovaciones por encima del 90 % en UpToDate y del 95 % en CCH Axcess, y la nube aún es solo el 46 % del software y crece un 14 % [8, 18, 19]. El margen se queda en el de 2030 y el crecimiento baja en línea recta del 4,0 % al 2,0 %. Sin la etapa, el DCF da 121,85 EUR.</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(reinvierte el 26 %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 frente al 4,2 %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93 M, el 1 % del NOPAT, con un capex bruto medio del 6,3 % de las ventas). En un negocio de activos ligeros, el crecimiento medio del 4,2 %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en el 1S26 (6 % sin impresos) y guía reiterada el 5-ago-2026; «otros» es la divisa y la venta de FRR (−0,8 %) [8]. El reparto del orgánico entre volumen y precio es estimación propia: la empresa no publica su subida media de precios.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la subida anual de tarifa y el paso a paquetes con IA, que se cobran más caros (Libra a unas dos veces el contenido jurídico; un tercio de los médicos individuales que renuevan sube a la versión con Expert AI) [18, 19]. Volumen: la nube (+14 %) menos impresos y no recurrentes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el orgánico del 1S26, medio punto por debajo del consenso (+5,5 %) y un punto por debajo del orgánico de 2021-2025 [1, 51].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con la competencia de asistentes de IA en la información de consulta (UpToDate y jurídico europeo) [24, 25].</w:t>
            </w:r>
          </w:p>
        </w:tc>
      </w:tr>
    </w:tbl>
    <w:p>
      <w:pPr>
        <w:spacing w:after="160" w:before="0"/>
      </w:pPr>
    </w:p>
    <w:p>
      <w:pPr>
        <w:spacing w:after="100"/>
      </w:pPr>
      <w:r>
        <w:t xml:space="preserve">Sí: proyectamos un 5,0 % en 2027-2028 y un 4,0-4,5 % después, ni más que el orgánico del 5-6 % que la empresa ha sostenido cada año de 2021 al 1S26, con 2022 y 2025 de ciclo transaccional débil incluidos [1, 8]. Es un negocio de activos ligeros: el circulante es negativo por los cobros anticipados y la proyección reinvierte el 1 % del NOPAT; con la reinversión bruta, el ROIC actual financiaría un 6,7 % (el motor también dice «Sí»). El foso son los costes de cambio (renovaciones por encima del 90 % en UpToDate y del 95 % en CCH Axcess) y el precio se sostiene: la IA se cobra con subidas y paquetes superiores [18, 19]. La cuota no se mide con el motor (el 14,4 % es de tres divisiones sobre el mercado de Thomson Reuters): esas divisiones crecerían a la mitad que el mercado previsto (8-11 %) [26]. El riesgo, la IA gratuita, es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(2027e-2030e)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 (base: 34,2 %)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6,8 %)</w:t>
            </w:r>
          </w:p>
        </w:tc>
      </w:tr>
    </w:tbl>
    <w:p>
      <w:pPr>
        <w:spacing w:after="160" w:before="0"/>
      </w:pPr>
    </w:p>
    <w:p>
      <w:pPr>
        <w:spacing w:after="100"/>
      </w:pPr>
      <w:r>
        <w:t xml:space="preserve">El DCF da 127,64 EUR por acción, un 63,5 % sobre el precio, con un WACC del 6,80 % y el 66 % del valor en el terminal; sin la etapa de transición, 121,85. La pregunta central es qué descuenta el precio de 78,06 EUR, y la respuesta sigue siendo una contracción: con nuestro WACC, el precio solo cuadra con ingresos que caen un 2,7 % al año en 2027-2030 (frente al +4,6 % del caso base y al +6 % orgánico de los últimos cinco años) o con un margen EBITDA del 24,6 % en vez del 34,2 %. Dicho de otra forma, quien compra hoy y acierta con nuestro caso base obtiene una rentabilidad anual implícita del 9,2 %, 2,4 puntos por encima del WACC (era 9,6 % a 71,78 EUR). Nuestras cifras no son optimistas: el EBITDA de 2027-2028 es el del consenso con medio punto menos de crecimiento. La diferencia con el mercado está en la duración que concede a esos ingresos, no en la previsión. El valor intrínseco y el objetivo a 12 meses dicen cosas distintas, y eso se explica en la valoración.</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asistentes clínicos y jurídicos generales (OpenEvidence, Harvey, los agentes de los grandes modelos) se convierten en la puerta de entrada del profesional y el contenido de Wolters pasa a ser un proveedor más: el crecimiento cae a un 1 % anual, como el de 2004 cuando la información en papel perdía peso, el margen EBITDA baja 4 puntos porque el gasto en desarrollo sube sin precio que lo pague, y el mercado pide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se suma al producto (Expert AI en UpToDate, módulos agénticos en CCH Axcess, Libra) y defiende las renovaciones sin cambiar la tendencia: crecimiento del 5 % en 2027-2028, el orgánico de hoy, que se modera hacia el 2 %; margen EBITDA del 33,2 % al 34,2 % pese al gasto en desarrollo del 12-13 %, y flujo de caja que sigue pagando dividendo y recompras.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sube el precio y el uso: Expert AI se cobra como mejora, los módulos agénticos amplían el gasto por despacho y las alianzas (OpenAI, Abridge, Dragon Copilot) abren ingresos por licencia del contenido; el crecimiento vuelve al 6-6,5 % de 2021-2025 y el margen sigue subiendo.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8,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111,39 EUR (+42,7 %).</w:t>
      </w:r>
    </w:p>
    <w:p>
      <w:pPr>
        <w:spacing w:after="100"/>
      </w:pPr>
      <w:r>
        <w:t xml:space="preserve">La asimetría es favorable: el alcista gana un 110,6 % y el bajista pierde un 22,8 %, una relación de 4,85 veces. El bajista no es cosmético: supone ingresos casi planos (0,6 % de crecimiento medio), un margen EBITDA final del 30,2 % y medio punto más de WACC, y da 60,23 EUR, por encima del mínimo de 52 semanas (54,64 EUR del 25-jun-2026). Mantenemos un 35 % de probabilidad, como el 8-oct: no hay datos nuevos que lo bajen, y las dos unidades más expuestas se frenaron en el semestre (Clinical Solutions del 7 % al 5 %, Tax &amp; Accounting Norteamérica del 8 % al 5 %) [8]. El valor ponderado de los tres escenarios es de 111,39 EUR: solo se pierde dinero si se cumple el bajista.</w:t>
      </w:r>
    </w:p>
    <w:p>
      <w:pPr>
        <w:pStyle w:val="Heading1"/>
      </w:pPr>
      <w:r>
        <w:t xml:space="preserve">22. Suma de partes</w:t>
      </w:r>
    </w:p>
    <w:p>
      <w:pPr>
        <w:pStyle w:val="Confianza"/>
        <w:spacing w:after="100"/>
      </w:pPr>
      <w:r>
        <w:t xml:space="preserve">Confianza: Media</w:t>
      </w:r>
    </w:p>
    <w:p>
      <w:pPr>
        <w:spacing w:after="100"/>
      </w:pPr>
      <w:r>
        <w:t xml:space="preserve">No se aplica. Las cinco divisiones venden suscripciones de información y software a profesionales con crecimientos orgánicos parecidos (3-7 % en 2025) y comparten tecnología, marca y la plataforma de IA; los márgenes difieren (de 7,5 % en CP&amp;ESG a 35,2 % en Tax &amp; Accounting y FCC) [1], pero no hay comparables cotizados puros para valorarlas por separado: Elsevier va dentro de RELX y el rival de CT Corporation (CSC) no cotiza. Una suma de partes con múltiplos prestados añadiría error sin información nueva.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8,0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117,15 EUR (+50,1 % sobre 78,06).</w:t>
      </w:r>
    </w:p>
    <w:p>
      <w:pPr>
        <w:spacing w:after="100"/>
      </w:pPr>
      <w:r>
        <w:t xml:space="preserve">El DCF pesa un 40 % y los escenarios otro 40 % porque son los únicos métodos que recogen la pregunta de la IA de forma explícita. Los comparables pesan un 20 %: la muestra es frágil (la mediana del EV/EBITDA de los próximos 12 meses va de 10,6 a 13,3 veces según qué empresa se quite) y todo el grupo ha bajado de múltiplo por el mismo miedo. Las transacciones no pesan: solo dos operaciones grandes publican EV/EBITDA y llevan prima de control. Todos los métodos salvo la cotización y el mínimo de los analistas quedan por encima del precio: EV/EBITDA de los comparables 97,86 EUR, PER 117,56 y DCF 127,64. El valor objetivo es de 117,15 EUR. Ese es el valor real; el objetivo a 12 meses (80,18 EUR) es otra cosa: el precio al que cotizará en un año si el múltiplo de hoy no se mueve, y la regla vigente no supone que vuelva.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r>
    </w:tbl>
    <w:p>
      <w:pPr>
        <w:spacing w:after="160" w:before="0"/>
      </w:pPr>
    </w:p>
    <w:p>
      <w:pPr>
        <w:spacing w:after="100"/>
      </w:pPr>
      <w:r>
        <w:rPr>
          <w:b/>
          <w:bCs/>
        </w:rPr>
        <w:t xml:space="preserve">Objetivo a 12 meses (ponderado):</w:t>
      </w:r>
      <w:r>
        <w:t xml:space="preserve"> 80,18 EUR · rentabilidad +6,0 % (base +10,1 %) · señal Mantener.</w:t>
      </w:r>
    </w:p>
    <w:p>
      <w:pPr>
        <w:spacing w:after="100"/>
      </w:pPr>
      <w:r>
        <w:t xml:space="preserve">Para comparar, con la regla v2 (historia al cierre, mismo precio): 12,1x / 14,2x / 18,4x, 6,0 % Mantener; con el tope anterior del base (×1,3, 14-oct mediodía): 36,4 % Comprar; con la v3 sin el selector (tope ×1,1): 16,0 % Comprar. Decide la v2, elegida por el selector de método (desrateada: la mediana adelantada (27,8x) es 2 veces el PER de hoy (14,2x); la historia es de otro régimen y decide la v2; METODO-VIGENTE.md).</w:t>
      </w:r>
    </w:p>
    <w:p>
      <w:pPr>
        <w:keepNext/>
        <w:spacing w:after="100"/>
      </w:pPr>
      <w:r>
        <w:rPr>
          <w:b/>
          <w:bCs/>
        </w:rPr>
        <w:t xml:space="preserve">Frente al consenso (solo contraste).</w:t>
      </w:r>
    </w:p>
    <w:p>
      <w:pPr>
        <w:spacing w:after="100"/>
      </w:pPr>
      <w:r>
        <w:t xml:space="preserve">Nuestro BPA base de 2028e (5,87 EUR) queda un 7 % por debajo del consenso (6,34 EUR NIIF [51]): medio punto menos de crecimiento (6.922 frente a 7.004 M de ventas), el mismo margen EBITDA y ninguna recompra que no esté anunciada (el consenso supone unos 500 M al año). Nuestro precio base a 12 meses (83,35 EUR, v2) queda un 7 % por debajo del objetivo medio de los analistas (89,91 EUR): la diferencia es el múltiplo, que la regla deja en el de hoy (14,2 veces).</w:t>
      </w:r>
    </w:p>
    <w:p>
      <w:pPr>
        <w:keepNext/>
        <w:spacing w:after="100"/>
      </w:pPr>
      <w:r>
        <w:rPr>
          <w:b/>
          <w:bCs/>
        </w:rPr>
        <w:t xml:space="preserve">Del valor intrínseco al objetivo a 12 meses.</w:t>
      </w:r>
    </w:p>
    <w:p>
      <w:pPr>
        <w:spacing w:after="100"/>
      </w:pPr>
      <w:r>
        <w:t xml:space="preserve">Valor intrínseco 117,15 EUR (+50,1 %) frente a un objetivo a 12 meses ponderado de 80,18 EUR (+6,0 % con dividendo; base +10,1 %). La distancia pasa del 25 %: la tesis del valor intrínseco es a más de un año. Para cerrarla hace falta que el mercado vuelva a pagar un múltiplo cercano a su historia (24-28 veces adelantado) o que el beneficio crezca dos o tres años sin que el múltiplo baje más. El selector de método decide con la v2 porque la mediana adelantada (27,8 veces) es dos veces el PER de hoy: la historia es de otro régimen, el de antes de la IA generativa, y la regla no supone que vuelva. Con la v3 sin selector, +16,0 % (base +20,6 %).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tercer trimestre con el gasto en desarrollo cargado en el segundo semestre: orgánico de Clinical Solutions (5 % en el 1S26, 7 % en 2025) y de Tax &amp; Accounting Norteamérica (5 %; la empresa espera que acelere en el 2S), y confirmación del margen ajustado de en torno al 28 %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UpToDate en Microsoft Dragon Copilot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Pone el contenido de UpToDate dentro del asistente clínico de Microsoft: prueba de que el contenido se licencia a los agentes en vez de ser sustituido por ellos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el 28-dic-2026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recompra de 2026 (quedan unos 236 M del mandato de 256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10 al 16 de septiembre solo se compraron 20.938 acciones [92]; completar el mandato a 78 EUR retiraría unos 3,0 M de acciones, el 1,4 % del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fiscal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temporada completa de los módulos agénticos de CCH Axcess; mide si la IA vende más módulos o abarata el producto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dividendo y recompra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margen con el gasto en desarrollo al 12-13 % y tamaño de la recompra; el plan estratégico 2025-2027 acaba y se espera el siguiente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del informe de remuneraciones tras el 14,8 % en contra de 2026 y renovación de la autorización de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contenido de consulta por asistentes de IA generales (OpenEvidence en medicina, Harvey y los agentes de los grandes modelos en derecho)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−53 % sobre el valor base (escenario bajista: 60,23 EUR; −22,8 %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Contenido propio validado por expertos, integración en la historia clínica y en los asistentes de Microsoft y Abridge, y Expert AI adoptado por más del 90 % de los clientes Enterprise de UpToDate en EE. UU. [8,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Clinical Solutions por debajo del 3 % (5 % en el 1S26) o renovaciones de UpToDate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en las renovaciones: la IA reduce el valor percibido de la suscripción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punto menos de crecimiento y de margen: 114,51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85 % de ingresos recurrentes con contratos anuales o plurianuales; Libra se cobra a unas dos veces el precio del contenido jurídico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los recurrentes por debajo del 5 % (7 %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Tax &amp; Accounting Norteamérica, la mayor fuente de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menos de crecimiento: 119,40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CCH Axcess es la suite fiscal nativa en la nube líder para despachos en EE. UU., con renovación superior al 95 % y la nube creciendo un 18 % [8,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T&amp;A Norteamérica por debajo del 4 % dos semestres seguidos (8 % en 2025, 5 % en 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gasto en desarrollo sube al 12-13 % de los ingresos sin retorno comercial y el margen deja de crecer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(dos puntos menos de margen: 117,35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se ha comprometido a subir el margen ajustado a la vez y ha cumplido su guía en 2022-2025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 2026 por debajo del 28 % guiado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del sector: el mercado sigue pidiendo una rentabilidad cercana a la implícita del 9,2 %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por cada medio punto más de WACC (113,73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del flujo libre del 7,7 % y 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caídas sectoriales como la del 3-feb-2026 sin cambio en las cifras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más del 60 % de los ingresos y del beneficio en dólares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del BPA por cada 10 céntimos que se aprecie el euro (4,5 céntimos de BPA ajustado por céntimo) [8]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costes de la parte americana también van en dólares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USD (1,12 el 14-oct [55])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Adquisiciones caras para comprar crecimiento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 M pagados a 24 veces el EBITDA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Criterio declarado: cubrir el coste de capital en 3-5 años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anuales por encima de 1.000 M o deterioros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caída de las plataformas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Puntual, menos del −3 % (juicio propio)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ciberseguridad evaluado por un tercero; precedente de mayo de 2019 (CCH Axcess desconectado)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con interrupción de servicio en temporada fiscal</w:t>
            </w:r>
          </w:p>
        </w:tc>
      </w:tr>
    </w:tbl>
    <w:p>
      <w:pPr>
        <w:spacing w:after="160" w:before="0"/>
      </w:pPr>
    </w:p>
    <w:p>
      <w:pPr>
        <w:pStyle w:val="Heading2"/>
      </w:pPr>
      <w:r>
        <w:t xml:space="preserve">Pre-mortem</w:t>
      </w:r>
    </w:p>
    <w:p>
      <w:pPr>
        <w:spacing w:after="100"/>
      </w:pPr>
      <w:r>
        <w:t xml:space="preserve">Octubre de 2029: la acción vale 43 EUR. La historia empezó en el semestre que hoy parecía ruido. Clinical Solutions pasó del 7 % al 5 % en 2026 y al 2 % en 2027: los hospitales renovaron UpToDate Enterprise con Expert AI, pero sin subida de precio, porque OpenEvidence, gratis para el médico, valorado en 15.000 M USD y usado por más del 40 % de los médicos de EE. UU. [24, 38], se integró en Epic y fijó el precio de referencia en cero. En derecho, Harvey y los agentes de los grandes modelos convirtieron la consulta jurídica en una función del procesador de textos; Legal &amp; Regulatory perdió un 5 % de ingresos de información al año. Tax &amp; Accounting aguantó, pero con herramientas agénticas más baratas el crecimiento bajó al 3 %. La dirección, con un equipo casi nuevo, respondió con más gasto en desarrollo (14 % de las ventas) y adquisiciones caras de empresas de IA, y el margen ajustado bajó del 28 % al 25 %. Con la deuda en 2,5 veces el EBITDA, las recompras se pararon. Las señales estaban a la vista: el orgánico de Clinical Solutions por debajo del 4 %, el de los recurrentes por debajo del 5 % y el margen ajustado de 2026 por debajo del 28 % guiado.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−53 % sobre el valor base si se cumple el bajista (60,23 frente a 127,64 EUR); con su 35 % de probabilidad, el valor ponderado de los escenarios queda un 13 % por debajo del base (111,39 EUR)</w:t>
      </w:r>
    </w:p>
    <w:p>
      <w:pPr>
        <w:spacing w:after="100"/>
      </w:pPr>
      <w:r>
        <w:t xml:space="preserve">Toca la mitad del negocio de forma distinta. Lo sustituible por asistentes generales es la consulta: UpToDate (en torno al 10 % de los ingresos) y la información jurídica europea; ahí compiten OpenEvidence (gratis para el médico, 15.000 M USD de valoración) y Harvey [24, 25, 38]. El resto, software fiscal y contable, cumplimiento y documentación, se vende como flujo de trabajo y la IA entra como módulo de pago. Los datos a junio de 2026 no muestran sustitución en el grupo: recurrentes +7 % orgánico por tercer año, suscripciones digitales +7 %, renovaciones del 90-95 % y Expert AI en el 90 % de los clientes Enterprise de EE. UU. [8, 18]. Sí muestran frenazo en lo expuesto: Clinical Solutions del 7 % al 5 %. La empresa no publica precios ni retención en ingresos por producto. Señal: Clinical Solutions bajo el 3 % o recurrentes bajo el 5 %.</w:t>
      </w:r>
    </w:p>
    <w:p>
      <w:pPr>
        <w:pStyle w:val="Heading1"/>
      </w:pPr>
      <w:r>
        <w:t xml:space="preserve">26. ESG y controversias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(séptimo año consecutivo)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11,0, riesgo bajo (11,4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Governance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(escala 1-10; 1 es el menor riesgo)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Social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Environment QualityScore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r>
    </w:tbl>
    <w:p>
      <w:pPr>
        <w:spacing w:after="160" w:before="0"/>
      </w:pPr>
    </w:p>
    <w:p>
      <w:pPr>
        <w:pStyle w:val="Heading2"/>
      </w:pPr>
      <w:r>
        <w:t xml:space="preserve">Asuntos materiales</w:t>
      </w:r>
    </w:p>
    <w:p>
      <w:pPr>
        <w:spacing w:after="100"/>
      </w:pPr>
      <w:r>
        <w:t xml:space="preserve">Los asuntos ESG que mueven las cifras son tres. </w:t>
      </w:r>
      <w:r>
        <w:rPr>
          <w:b/>
        </w:rPr>
        <w:t xml:space="preserve">Ciberseguridad y privacidad de datos</w:t>
      </w:r>
      <w:r>
        <w:t xml:space="preserve">: la empresa custodia historias clínicas, declaraciones fiscales y datos societarios; en mayo de 2019 un programa malicioso obligó a desconectar varias plataformas, entre ellas CCH Axcess [36]. </w:t>
      </w:r>
      <w:r>
        <w:rPr>
          <w:b/>
        </w:rPr>
        <w:t xml:space="preserve">IA responsable y exactitud del contenido</w:t>
      </w:r>
      <w:r>
        <w:t xml:space="preserve">: un error clínico o fiscal de un asistente pone en juego la marca; la empresa responde con validación por expertos («expert-in-the-loop») y con el Reglamento de IA europeo, cuyas obligaciones de alto riesgo llegan en 2027-2028 [3, 33]. </w:t>
      </w:r>
      <w:r>
        <w:rPr>
          <w:b/>
        </w:rPr>
        <w:t xml:space="preserve">Capital humano</w:t>
      </w:r>
      <w:r>
        <w:t xml:space="preserve">: más de la mitad de los costes es personal; la rotación subió al 10,5 % en 2025 (voluntaria, 6,8 %) [3]. Las emisiones son bajas por ser un negocio digital y tiene objetivos validados por SBTi [3].</w:t>
      </w:r>
    </w:p>
    <w:p>
      <w:pPr>
        <w:pStyle w:val="Heading2"/>
      </w:pPr>
      <w:r>
        <w:t xml:space="preserve">Controversias</w:t>
      </w:r>
    </w:p>
    <w:p>
      <w:pPr>
        <w:spacing w:after="100"/>
      </w:pPr>
      <w:r>
        <w:t xml:space="preserve">No he encontrado sanciones, litigios ni incidentes materiales en los últimos tres años (octubre de 2023 a octubre de 2026) en los informes anuales ni en las búsquedas. El ciberataque a CCH que se suele citar fue en mayo de 2019, no en 2021: el 6 de mayo de 2019 la empresa detectó un programa malicioso y apagó plataformas, sin pruebas de robo de datos de clientes según la compañía [36]. Queda fuera del periodo de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ha sido la retención bruta y neta en ingresos de UpToDate Enterprise en las renovaciones de 2026, y cuánto precio adicional se cobra por Expert 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90 % de los clientes Enterprise de EE. UU. (unos 2.500 hospitales) lo ha adoptado, pero el orgánico de Clinical Solutions bajó del 7 % de 2025 al 5 %; es el dato que separa palanca de defensa.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Contenido sustituible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procede de consulta de contenido (UpToDate, bases jurídicas, libros) y qué parte de software de flujo de trabajo y servicios de cumplimiento?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de sustitución por asistentes generales no es igual en todo el grupo; sin este desglose el mercado aplica el descuento a los 6.125 M enteros.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Tax &amp; Accounting 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orgánico de T&amp;A Norteamérica bajó del 8 % en 2025 al 5 % en el semestre, si la nube crece un 18 %, y qué acelera el segundo semestre?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fuente de beneficio del grupo (584 M de beneficio operativo ajustado de la división en 2025); la dirección lo atribuye a los impresos y a los servicios externalizados, sin cuantificarlo.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Alianza con OpenAI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factura al cliente final en la alianza con OpenAI, y se licencia contenido propio para consultar o también para entrenar?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Licenciar el contenido a un tercero puede abrir ingresos nuevos o enseñar al competidor; el contrato decide cuál de las 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se recompraron 1.100 M a 128 EUR en 2025 y solo hasta 500 M a 68 EUR en 2026, y por qué las compras casi se pararon en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7,7 %, recomprar ahora rinde más que las adquisiciones; la reducción contradice la tesis de la propia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desarrollo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gasto en desarrollo al 12-13 % de los ingresos se capitaliza y cuánto subirá la amortización de software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capitalización crece, el margen ajustado sube a costa del capex.</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subida media de precios se aplicó en las renovaciones de 2025 y 2026 por división, y ha cambiado la resistencia de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orgánico del 5-6 % incluye precio; si la IA quita poder de negociación, el primer síntoma será una subida menor con el mismo volumen.</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(WTKWY)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y casi todos de particulares que compran o promedian a la baja («la venta es teórica, por miedo a la IA, no por cifras»); el único hecho comentado en septiembre es la salida del EURO STOXX 50 [1].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colaboradores)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artículos de julio a septiembre, todos alcistas («compra antes de que desaparezca el descuento por IA», «compounder infravalorado», «el negocio de la verdad que la IA no reemplaza») [2].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 Belegger (blog neerlandés de inversión)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de septiembre y octubre que piden pruebas: la IA tiene que traducirse en ingresos pagados, retención y caja; si no, el gasto en desarrollo es una defensa cara. Sin comentarios de lectores [3].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pone el valor razonable en unos 71 EUR (cerca del precio) y otra en 50 EUR, con el argumento de que el gasto en IA y las recompras no sostienen el múltiplo [4].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(noticias y consenso)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semestre, el debate se centra en si la adopción de UpToDate Expert AI se traduce en precio; Morningstar la ve positiva pero de efecto gradual [5].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sustituye a UpToDate y al contenido jurídico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del 1S26 no muestran sustitución en el grupo (recurrentes +7 % orgánico, renovaciones sólidas), pero la parte más expuesta es la que más se frena: Clinical Solutions del 7 % de 2025 al 5 %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un dígito» y descuento histórico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cifra de algunos foros (PER de 6-7) es errónea: a 78 EUR la acción cotiza a 15 veces el BPA NIIF de 2026e del consenso y 13,7 veces el de 2027e [51]. El descuento frente a su historia (24-28 veces adelantado en 2019-2023) sí es real.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de 2026 (hasta 500 M) son la mitad que en 2025 y en septiembre casi se pararon: quedan unos 236 M para antes del 28-dic [92].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del EURO STOXX 50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Efectiva el 21-sep-2026 [83]: la venta de los fondos indexados ya ocurrió y la acción ha subido desde entonces.</w:t>
            </w:r>
          </w:p>
        </w:tc>
      </w:tr>
    </w:tbl>
    <w:p>
      <w:pPr>
        <w:spacing w:after="160" w:before="0"/>
      </w:pPr>
    </w:p>
    <w:p>
      <w:pPr>
        <w:spacing w:after="100"/>
      </w:pPr>
      <w:r>
        <w:t xml:space="preserve">El particular que escribe es más alcista que el analista: en Stocktwits y Seeking Alpha casi todo es compra por descuento, mientras el consenso tiene 3 mantener y 1 vender y objetivos de 56 a 120 EUR. No hay euforia: hay poco debate y el tono cambia con cada caída sectorial por noticias de IA. Los foros no traen un riesgo que el informe no tenga; sí repiten una cifra de PER equivocada, que no usamos. Aporta poco a la decisión: confirma que el precio lo mueve el relato de la IA y no las cifras trimestrales.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92 (50 primarias); citas distintas en el texto: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-15,8 % real: genera una variación de circulante de -37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25,4 % frente a WACC 6,8 %: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10,6x a 13,3x según qué comparable se quite (84,83 a 110,89 por acción): la muestra es frágil; explícalo y no le des mucho peso. Explicación: La mediana del EV/EBITDA de los próximos 12 meses va de 10,6 a 13,3 veces según qué empresa se quite: depende de Intuit, Veeva y Gartner, que encajan peor (EBITDA sin remuneración en acciones o ventas a la baja). Se explica en la sección de comparables y por eso pesan solo un 20 % del valor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92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46, 47, 48, 49, 84, 85, 86, 87, 88, 90, 91.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2021-2023 (las cinco divisiones)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2025 (solo 2024 pro forma); 2) documento pro forma 2024 del traspaso de FRR (solo 1S24 y 2024) e informe anual 2023 (2022 reexpresado con FRR dentro de CP&amp;ESG); 3) derivarlo restando FRR: la empresa solo publica sus cifras de 2024 (123 M de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2024 (pro forma) y 2025 con las cinco divisiones; Health, T&amp;A y L&amp;R tienen 2022-2023 reexpresados, pero se omiten para que ningún año quede incompleto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geografias_criterio (destino u origen)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 ingresos del informe anual 2025; 2) informe anual 2024; 3) búsqueda de «location of the customer» en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«origen» por prudencia; la nota no lo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los segundos semestres y crecimiento de 1S23/2S23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anuales y semestrales (solo año y semestre 1); 2) actualizaciones de 9 meses (9M24 6 %, 9M25 6 %); 3) no se descargó el semestral de 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los 2S se infieren ~6 % (2023-2025) por diferencia, sin cifra publicada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citan consenso); 2) presentaciones; 3) consenso previo no accesible gratis sin buscador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(solo presentaciones y webcast); 2) presentaciones FY2025 y 1S26 leídas; 3) no se buscaron transcripciones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ultima_presentacion se basa en presentaciones y notas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2016-2020 (Enablon, Tagetik, etc.) y múltiplos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2021-2025 (cubren 2021-2026); 2) notas de adquisiciones (no publican EBITDA de las compradas); 3) múltiplo de ventas estimado solo para Isabel/Finca y FRR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2016-2020; ev_ebitda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de resultados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(contiene 2020); 2) no hay informes 2016-2019 descargados; 3) no se priorizó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cinco ejercicios 2021-2025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y presentaciones de Wolters Kluwer (sin tamaño de mercado); 2) informe anual 2025 de Thomson Reuters (solo un año: 31.000 M USD) y de RELX (sin tamaño); 3) informes de mercado de apoyo a la decisión clínica (cifras de 2025 entre 2.400 y 6.400 M USD según el editor, y de un perímetro distinto)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Wolters Kluwer; 2) Thomson Reuters (solo previsión del 8-11 %); 3) Towards Healthcare (solo previsión del 8,3 % para 2026-2035)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Cuotas publicadas por Wolters Kluwer (no hay); 2) Thomson Reuters y RELX (no publican cuotas); 3) estimación propia con ingresos de cada uno sobre el mercado de 31.000 M USD: Thomson Reuters ≈ 20 %, Wolters Kluwer ≈ 14 %, LexisNexis ≈ 8 %, Intuit ProTax ≈ 2 % (≈ 44 % los cuatro); falta el quinto (Bloomberg Industry Group o CSC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(concentración y subida media de precios)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ingresos y riesgos; 2) presentaciones de resultados y teach-in de IA; 3) búsqueda de «price increase» en los informes semestrales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CSC (rival de CT Corporation)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CSC (empresa privada, sin cuentas); 2) informe anual de Wolters Kluwer (no cita rivales);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CDP y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calificaciones ESG del informe anual 2025 (solo MSCI, ISS y Sustainalytics); 2) declaración de sostenibilidad del informe anual 2025 (cita CDP sin nota);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solo trae la guía de 2022, no la de 2021; 2) no hay en notas/docs ni el informe anual 2020 ni la nota de resultados de 2020; 3) no descargado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Maarten de Vries y presidencia de Auditoría y vicepresidencia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Orden del día de la junta de 2026: no lo dice; 2) informe semestral 2026 y presentación de la junta: no lo dicen; 3) web de inversores no consultada (Cloudflare)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(cifras de cambio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del consenso: solo gráficos en imagen; 2) MarketScreener, página de consenso: solo los últimos cambios de recomendación y precio objetivo, sin cifras de estimaciones anteriores; 3) Investing, consenso: solo la foto actual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(texto cualitativo con los cambios de recomendación)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sin histórico de múltiplos de los próximos 12 meses gratis; 2) Stock Analysis: solo el múltiplo actual; 3) cálculo propio: no hay consenso histórico gratuito con el que hacerlo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usa los de los últimos 12 meses con el precio de cierre)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LSEG/Refinitiv y de las compras de Wolters (RASi, Brightflag, Marosa)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LSEG de 2019 (la dirección da 404); 2) búsqueda de texto completo en EDGAR: solo aparece el 6-K de Thomson Reuters, sin los múltiplos; 3) informe anual 2025 de Wolters, nota 8: precio y empleados, sin ventas ni EBITDA de lo comprado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Refinitiv; RASi, Brightflag y Marosa incluidas sin múltiplo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2025 Full-Year Report (resultados anuales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https://assets.contenthub.wolterskluwer.com/api/public/content/3118646-2026-02-25-wolters-kluwer-2025-full-year-results-7391945524?v=2c966da9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 2024 Full-Year Report (resultados anuales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https://assets.contenthub.wolterskluwer.com/api/public/content/2621178-2025-02-26-wolters-kluwer-2024-full-year-results-910a3f1b88?v=acc4926f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Annual Report (informe anual con cuentas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https://assets.contenthub.wolterskluwer.com/api/public/content/3210406-wolters-kluwer-2025-annual-report-pdf-8bb01b4e47?v=ddef685b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https://assets.contenthub.wolterskluwer.com/api/public/content/2630611-wolters-kluwer-2024-annual-report-cd216d4be7?v=7a259453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2023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https://assets.contenthub.wolterskluwer.com/api/public/content/2190891-wolters-kluwer-2023-annual-report-3ff32c52c4?v=f6d1aeee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2022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https://assets.contenthub.wolterskluwer.com/api/public/content/7ecf79d725094df588fddb8b58370a0c?v=0723f0d6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2021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https://assets.contenthub.wolterskluwer.com/api/public/content/dcdbbde666bc48f2a8fd19fbfeeb9a4d?v=be16ae17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2026 Half-Year Report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https://assets.contenthub.wolterskluwer.com/api/public/content/3775537-2026-08-05-wolters-kluwer-2026-half-year-results-7d85c04c6c?v=15135ed1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https://assets.contenthub.wolterskluwer.com/api/public/content/2889175-2025-07-30-wolters-kluwer-2025-half-year-results-859cfb3b56?v=8876f75e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Half-Year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https://assets.contenthub.wolterskluwer.com/api/public/content/2363214--wolters-kluwer-2024-half-year-results-0fc01d8188?v=ce3d4d2f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https://assets.contenthub.wolterskluwer.com/api/public/content/3316098-2026-05-06-wolters-kluwer-first-quarter-2026-trading-update-a6a04158be?v=9092ad42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2025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https://assets.contenthub.wolterskluwer.com/api/public/content/3027635-wolters-kluwer-2025-nine-month-trading-update-828d0c7655?v=9d2a32f2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First-Quarter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https://assets.contenthub.wolterskluwer.com/api/public/content/2721261-wolters-kluwer-first-quarter-2025-trading-update-29258f91b0?v=10880624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2024 Nine-Month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https://assets.contenthub.wolterskluwer.com/api/public/content/2453143-2024-10-30---wolters-kluwer-2024-nine-month-trading-update-c715197273?v=1caa1139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forma financials 2024 – business unit transfer (FRR de CP&amp;ESG a FCC)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https://assets.contenthub.wolterskluwer.com/api/public/content/2780837-wolters-kluwer-pro-forma-2024-financials-business-unit-transfer-5ae7e4a04a?v=419631e0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https://assets.contenthub.wolterskluwer.com/api/public/content/3118800-wolters-kluwer-full-year-2025-presentation-1e296e76b9?v=2f4e289e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https://assets.contenthub.wolterskluwer.com/api/public/content/3777688-wolters-kluwer-half-year-2026-presentation-42bee5991d?v=38780039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UpToDate: presentación a inversores (Clinical Decision Support)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https://assets.contenthub.wolterskluwer.com/api/public/content/2971261-2025-09-11-wolters-kluwer-uptodate-presentation-f335034a04?v=147fabc2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Intelligence Teach-in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https://assets.contenthub.wolterskluwer.com/api/public/content/3060139-wolters-kluwer-artificial-intelligence-teach-in-ed993f4be7?v=f79f45bf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https://assets.contenthub.wolterskluwer.com/api/public/content/3336093-2026-wolters-kluwer-annual-general-meeting-19ca124c1b?v=4c128a37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https://en.wikipedia.org/wiki/Wolters_Kluwer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WKL.AS, REL.L, TRI, INTU, LSEG.L, EXPN.L, VRSK y WK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https://finance.yahoo.com/quote/WKL.AS/history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Claude Crash Impact On Thomson Reuters + LexisNexis Is Irrational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Artificial Lawyer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https://www.artificiallawyer.com/2026/02/04/claude-crash-impact-on-thomson-reuters-lexisnexis-is-irrational/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OpenEvidence doubles valuation to $12bn as physician adoption accelerates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https://hlth.com/insights/news/openevidence-doubles-valuation-to-12bn-as-physician-adoption-accelerates-2026-01-22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Harvey's valuation soars to $15.5bn in latest funding 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Nonbillable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https://www.nonbillable.co.uk/news/harvey-15-billion-valuation-funding-round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(anexo 99.1 del Form 40-F)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https://www.sec.gov/Archives/edgar/data/1075124/000119312526094222/tri-ex99_1.htm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fiscal 2026 (a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Market segments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https://www.relx.com/~/media/Files/R/RELX-Group/documents/reports/annual-reports/2025-ar-sections/relx-2025-market-segments.pdf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https://www.relx.com/~/media/Files/R/RELX-Group/documents/results/results-presentations/2025-results-presentation.pdf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datos XBRL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Workiva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https://data.sec.gov/api/xbrl/companyfacts/CIK0001445305.json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ejercicio a 31-3-2026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https://www.sec.gov/Archives/edgar/data/1516513/000151651326000025/docs-20260331.htm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31-12-2025, 31-3-2026 y 31-7-2026)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AI Act Omnibus Agreement: Postponed High-Risk Deadlines and Other Key Changes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Gibson Dunn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https://www.gibsondunn.com/eu-ai-act-omnibus-agreement-postponed-high-risk-deadlines-and-other-key-changes/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Decision Support Systems (CDSS) Market Sizing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Towards Healthcare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https://www.towardshealthcare.com/insights/clinical-decision-support-systems-cdss-market-sizing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Thomson Reuters, Wolters Kluwer H1 2026: Growth Accelerates, Valuations Don't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https://outsellinc.com/?p=34383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Services Giant Wolters Kluwer Hit by Malware Attack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SecurityWeek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https://www.securityweek.com/information-services-giant-wolters-kluwer-hit-malware-attack/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Key Takeaways from FDA's Revised Clinical Decision Support (CDS) Software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Covington &amp; Burling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https://www.cov.com/en/news-and-insights/insights/2026/01/5-key-takeaways-from-fdas-revised-clinical-decision-support-cds-software-guidance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Clinical AI startup OpenEvidence secures $250M led by Andreessen Horowitz at $15B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https://af.net/realtime/clinical-ai-startup-openevidence-secures-250m-led-by-andreessen-horowitz-at-15b-valuation/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resultados de las votaciones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https://assets.contenthub.wolterskluwer.com/api/public/content/3329199-wolters-kluwer-n-v-2026-agm-voting-results-be2bd32100?v=714b44a4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2025: resultados de las votaciones (15-may-2025)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https://assets.contenthub.wolterskluwer.com/api/public/content/2735794-wolters-kluwer-n-v-agm-2025---voting-results-9a8cedd183?v=fcd58744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2024: resultados de las votaciones (8-may-2024)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https://assets.contenthub.wolterskluwer.com/api/public/content/2293287-wolters-kluwer-2024-agm-voting-results-dc129639ca?v=266afa0f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2026: orden del día y explicación del cambio de estatutos (punto 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https://assets.contenthub.wolterskluwer.com/api/public/content/3244121-wolters-kluwer-n-v-agm-agenda-2026-4426c985ef?v=aa60cf76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significativas (substantiële deelnemingen), notificaciones sobre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 e histórico), Wolters Kluwer N.V. (NL0000395903)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https://www.afm.nl/en/sector/registers/meldingenregisters/netto-shortposities-historie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notificaciones de miembros del Executive Board y del Supervisory Board (bestuurders en commissarissen), Wolters Kluwer N.V.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https://www.afm.nl/en/sector/registers/meldingenregisters/bestuurders-commissarissen?KeyWords=Wolters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(EUR/USD 1,1814 el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September 17-23,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https://www.wolterskluwer.com/en/news/share-buyback-transaction-details-september-17-23-2026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completes capital reduction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https://www.wolterskluwer.com/en/news/wolters-kluwer-completes-capital-reduction-2026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June 18-24,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https://www.wolterskluwer.com/en/news/share-buyback-transaction-details-june-18-24-2026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(WKL)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https://stockanalysis.com/quote/ams/WKL/statistics/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https://www.marketscreener.com/quote/stock/WOLTERS-KLUWER-N-V-6291/consensus/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https://www.investing.com/equities/wolters-kluwer-consensus-estimates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la deuda federal alemana (Svensson), vencimiento residual de 10 años, datos diarios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(actual)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https://www.afm.nl/en/sector/registers/meldingenregisters/netto-shortposities-actueel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REN.AS, LSEG.L, TRI, IMAE.AS y EXSA.DE (betas y caídas de los pares)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https://finance.yahoo.com/quote/LSEG.L/history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https://www.marketscreener.com/quote/stock/RELX-PLC-22837336/finances/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Inc.: finanzas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https://www.marketscreener.com/quote/stock/GARTNER-INC-40311131/finances/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RELX (LON: REL)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https://stockanalysis.com/quote/lon/REL/statistics/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 LSEG)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 EXPN)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(INTU)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https://stockanalysis.com/stocks/intu/statistics/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(IT)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from Thoma Bravo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in all-stock transaction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https://www.sec.gov/Archives/edgar/data/64040/000119312520304880/d60362dex991.htm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fourth quarter and full year 2020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https://www.sec.gov/Archives/edgar/data/1598014/000159801421000005/ex991q420.htm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enters into definitive agreement to be acquired by Clearlake Capital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fourth quarter and full year 2024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https://www.sec.gov/Archives/edgar/data/1799208/000179920825000008/yearend2024prexhibit991.htm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to be acquired by Thoma Bravo for $10.7 billion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https://www.sec.gov/Archives/edgar/data/1540755/000119312522079976/d243192dex99.htm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fourth quarter and fiscal 2022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Anaplan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https://www.sec.gov/Archives/edgar/data/1540755/000154075522000007/plan-20220302x8kexhibit991.htm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6-15 oct 2026 de WKL.AS, REL.L, TRI, LSEG.L, VRSK, EXPN.L, INTU, VEEV e IT (API chart)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https://query1.finance.yahoo.com/v8/finance/chart/WKL.AS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software stocks scale fresh 2026 highs as AI disruption worries fade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https://www.investing.com/news/stock-market-news/us-software-stocks-scale-fresh-2026-highs-as-ai-disruption-worries-fade-4934831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STOXX Blue-chip indices composition changes (Sep 01, 2026): EURO STOXX 50, alta de Engie y baja de Wolters Kluwer, efectiva el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STOXX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https://stoxx.com/stoxx-blue-chip-indices-composition-changes-sep-01-2026/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de mensajes de WTKWY (API pública)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https://api.stocktwits.com/api/2/streams/symbol/WTKWY.json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N.V.: News and Analysis (RSS): artículos de jul-sep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https://seekingalpha.com/api/sa/combined/WTKWY.xml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moet bij Wolters Kluwer nu betaalde omzet opleveren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Belegger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https://www.debelegger.nl/post/ai-moet-bij-wolters-kluwer-nu-betaalde-omzet-opleveren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(ENXTAM:WKL):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https://simplywall.st/stocks/nl/commercial-services/ams-wkl/wolters-kluwer-shares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Earnings: UpToDate Expert AI Adoption Positive, But Impact Will Be Gradual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https://www.morningstar.com/company-reports/1493805-wolters-kluwer-earnings-uptodate-expert-ai-adoption-positive-but-impact-will-be-gradual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 2026 (actualización de nueve meses: 4-nov-2026)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https://www.wolterskluwer.com/es/investors/calendar-faq/investor-calendar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XBRL ESEF 2020-2025 (filings.xbrl.org, LEI 724500TEM53I0U077B74)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transaction details September 10-16,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Wolters Kluwer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https://www.wolterskluwer.com/en/news/share-buyback-transaction-details-september-10-16-2026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93,6 %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acciones ordinarias en Euronext Ámsterdam (WKL); el ADR (WTKWY) no se usa. Precio de cierre del 14-oct-2026 (78,06 EUR): a la hora del corte (15-oct, 13:17 en Ámsterdam) la sesión del 15 no había cerrado. Iteración del informe del 8-oct: no hay cuentas nuevas desde el primer semestre de 2026 (balance a 30-jun-2026); se rehacen precio, bolsa, consenso, comparables, tasa libre, supuestos del DCF, BPA, historia del PER y sentimiento. La actualización de nueve meses se publica el 4-nov-2026. El puente resta lo pagado después del 30-jun (dividendo a cuenta, recompras y Marosa). Wolters Kluwer guía con cifras ajustadas (beneficio operativo antes de amortizar intangibles adquiridos y sin no recurrentes); el informe usa las NIIF y devuelve al EBITDA solo los resultados de desinversiones (2025: plusvalía de 231 M por FRR). El BPA del informe y el de la historia del PER son NIIF sin plusvalías de desinversiones. Segmentos: solo 2024 (pro forma) y 2025 con las cinco divisiones. Publica semestres completos y avances trimestrales sin cuenta. La web de inversores bloquea las descargas automáticas; los documentos se bajaron de su repositorio público de archivos.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Wolters Kluwer N.V. (WKL)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(56,00 – 120,00)</c:v>
                </c:pt>
                <c:pt idx="2">
                  <c:v>Comparables: EV/EBITDA NTM (74,61 – 117,65)</c:v>
                </c:pt>
                <c:pt idx="3">
                  <c:v>Comparables: PER NTM (97,03 – 135,29)</c:v>
                </c:pt>
                <c:pt idx="4">
                  <c:v>DCF (WACC y g ± 0,5) (104,90 – 162,28)</c:v>
                </c:pt>
                <c:pt idx="5">
                  <c:v>Escenarios (bajista – alcista) (60,23 – 164,37)</c:v>
                </c:pt>
                <c:pt idx="6">
                  <c:v>DCF con la prima implícita del mercado (4,2 %)</c:v>
                </c:pt>
                <c:pt idx="7">
                  <c:v>Precio actual (78,06)</c:v>
                </c:pt>
              </c:strCache>
            </c:strRef>
          </c:cat>
          <c:val>
            <c:numRef>
              <c:f>Hoja1!$B$2:$B$9</c:f>
              <c:numCache>
                <c:formatCode>#,##0</c:formatCode>
                <c:ptCount val="8"/>
                <c:pt idx="0">
                  <c:v>54.64</c:v>
                </c:pt>
                <c:pt idx="1">
                  <c:v>56</c:v>
                </c:pt>
                <c:pt idx="2">
                  <c:v>74.61</c:v>
                </c:pt>
                <c:pt idx="3">
                  <c:v>97.03</c:v>
                </c:pt>
                <c:pt idx="4">
                  <c:v>104.9</c:v>
                </c:pt>
                <c:pt idx="5">
                  <c:v>60.23</c:v>
                </c:pt>
                <c:pt idx="6">
                  <c:v>137.88</c:v>
                </c:pt>
                <c:pt idx="7">
                  <c:v>77.67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(56,00 – 120,00)</c:v>
                </c:pt>
                <c:pt idx="2">
                  <c:v>Comparables: EV/EBITDA NTM (74,61 – 117,65)</c:v>
                </c:pt>
                <c:pt idx="3">
                  <c:v>Comparables: PER NTM (97,03 – 135,29)</c:v>
                </c:pt>
                <c:pt idx="4">
                  <c:v>DCF (WACC y g ± 0,5) (104,90 – 162,28)</c:v>
                </c:pt>
                <c:pt idx="5">
                  <c:v>Escenarios (bajista – alcista) (60,23 – 164,37)</c:v>
                </c:pt>
                <c:pt idx="6">
                  <c:v>DCF con la prima implícita del mercado (4,2 %)</c:v>
                </c:pt>
                <c:pt idx="7">
                  <c:v>Precio actual (78,06)</c:v>
                </c:pt>
              </c:strCache>
            </c:strRef>
          </c:cat>
          <c:val>
            <c:numRef>
              <c:f>Hoja1!$C$2:$C$9</c:f>
              <c:numCache>
                <c:formatCode>#,##0</c:formatCode>
                <c:ptCount val="8"/>
                <c:pt idx="0">
                  <c:v>60.510000000000005</c:v>
                </c:pt>
                <c:pt idx="1">
                  <c:v>64</c:v>
                </c:pt>
                <c:pt idx="2">
                  <c:v>43.040000000000006</c:v>
                </c:pt>
                <c:pt idx="3">
                  <c:v>38.25999999999999</c:v>
                </c:pt>
                <c:pt idx="4">
                  <c:v>57.379999999999995</c:v>
                </c:pt>
                <c:pt idx="5">
                  <c:v>104.14000000000001</c:v>
                </c:pt>
                <c:pt idx="6">
                  <c:v>45.31</c:v>
                </c:pt>
                <c:pt idx="7">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Health</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1584</c:v>
                </c:pt>
                <c:pt idx="1">
                  <c:v>1596</c:v>
                </c:pt>
              </c:numCache>
            </c:numRef>
          </c:val>
        </c:ser>
        <c:ser>
          <c:idx val="1"/>
          <c:order val="1"/>
          <c:tx>
            <c:strRef>
              <c:f>Hoja1!$C$1</c:f>
              <c:strCache>
                <c:ptCount val="1"/>
                <c:pt idx="0">
                  <c:v>Tax &amp; Accounting</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1561</c:v>
                </c:pt>
                <c:pt idx="1">
                  <c:v>1660</c:v>
                </c:pt>
              </c:numCache>
            </c:numRef>
          </c:val>
        </c:ser>
        <c:ser>
          <c:idx val="2"/>
          <c:order val="2"/>
          <c:tx>
            <c:strRef>
              <c:f>Hoja1!$D$1</c:f>
              <c:strCache>
                <c:ptCount val="1"/>
                <c:pt idx="0">
                  <c:v>Financial &amp; Corporate Compliance</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1228</c:v>
                </c:pt>
                <c:pt idx="1">
                  <c:v>1239</c:v>
                </c:pt>
              </c:numCache>
            </c:numRef>
          </c:val>
        </c:ser>
        <c:ser>
          <c:idx val="3"/>
          <c:order val="3"/>
          <c:tx>
            <c:strRef>
              <c:f>Hoja1!$E$1</c:f>
              <c:strCache>
                <c:ptCount val="1"/>
                <c:pt idx="0">
                  <c:v>Legal &amp; Regulatory</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946</c:v>
                </c:pt>
                <c:pt idx="1">
                  <c:v>1005</c:v>
                </c:pt>
              </c:numCache>
            </c:numRef>
          </c:val>
        </c:ser>
        <c:ser>
          <c:idx val="4"/>
          <c:order val="4"/>
          <c:tx>
            <c:strRef>
              <c:f>Hoja1!$F$1</c:f>
              <c:strCache>
                <c:ptCount val="1"/>
                <c:pt idx="0">
                  <c:v>Corporate Performance &amp; ESG</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597</c:v>
                </c:pt>
                <c:pt idx="1">
                  <c:v>625</c:v>
                </c:pt>
              </c:numCache>
            </c:numRef>
          </c:val>
        </c:ser>
        <c:ser>
          <c:idx val="5"/>
          <c:order val="5"/>
          <c:tx>
            <c:strRef>
              <c:f>Hoja1!$G$1</c:f>
              <c:strCache>
                <c:ptCount val="1"/>
                <c:pt idx="0">
                  <c:v>Corporativo</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0</c:v>
                </c:pt>
                <c:pt idx="1">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Health</c:v>
                </c:pt>
                <c:pt idx="1">
                  <c:v>Tax &amp; Accounting</c:v>
                </c:pt>
                <c:pt idx="2">
                  <c:v>Financial &amp; Corporate Compliance</c:v>
                </c:pt>
                <c:pt idx="3">
                  <c:v>Legal &amp; Regulatory</c:v>
                </c:pt>
                <c:pt idx="4">
                  <c:v>Corporate Performance &amp; ESG</c:v>
                </c:pt>
                <c:pt idx="5">
                  <c:v>Corporativo</c:v>
                </c:pt>
              </c:strCache>
            </c:strRef>
          </c:cat>
          <c:val>
            <c:numRef>
              <c:f>Hoja1!$B$2:$B$7</c:f>
              <c:numCache>
                <c:formatCode>General</c:formatCode>
                <c:ptCount val="6"/>
                <c:pt idx="0">
                  <c:v>26.1</c:v>
                </c:pt>
                <c:pt idx="1">
                  <c:v>27.1</c:v>
                </c:pt>
                <c:pt idx="2">
                  <c:v>20.2</c:v>
                </c:pt>
                <c:pt idx="3">
                  <c:v>16.4</c:v>
                </c:pt>
                <c:pt idx="4">
                  <c:v>10.2</c:v>
                </c:pt>
                <c:pt idx="5">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y Canadá</c:v>
                </c:pt>
                <c:pt idx="1">
                  <c:v>Europa (sin Países Bajos)</c:v>
                </c:pt>
                <c:pt idx="2">
                  <c:v>Países Bajos</c:v>
                </c:pt>
                <c:pt idx="3">
                  <c:v>Asia-Pacífico</c:v>
                </c:pt>
                <c:pt idx="4">
                  <c:v>Resto del mundo</c:v>
                </c:pt>
              </c:strCache>
            </c:strRef>
          </c:cat>
          <c:val>
            <c:numRef>
              <c:f>Hoja1!$B$2:$B$6</c:f>
              <c:numCache>
                <c:formatCode>0"%"</c:formatCode>
                <c:ptCount val="5"/>
                <c:pt idx="0">
                  <c:v>63</c:v>
                </c:pt>
                <c:pt idx="1">
                  <c:v>25</c:v>
                </c:pt>
                <c:pt idx="2">
                  <c:v>4.3</c:v>
                </c:pt>
                <c:pt idx="3">
                  <c:v>5.8</c:v>
                </c:pt>
                <c:pt idx="4">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4</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Wolters Kluwer</c:v>
                </c:pt>
                <c:pt idx="1">
                  <c:v>Thomson Reuters</c:v>
                </c:pt>
                <c:pt idx="2">
                  <c:v>RELX (LexisNexis, Elsevier)</c:v>
                </c:pt>
                <c:pt idx="3">
                  <c:v>Intuit (ProTax: Lacerte, ProSeries, ProConnect)</c:v>
                </c:pt>
                <c:pt idx="4">
                  <c:v>Workiva</c:v>
                </c:pt>
                <c:pt idx="5">
                  <c:v>Doximity</c:v>
                </c:pt>
                <c:pt idx="6">
                  <c:v>OpenEvidence</c:v>
                </c:pt>
                <c:pt idx="7">
                  <c:v>Harvey</c:v>
                </c:pt>
              </c:strCache>
            </c:strRef>
          </c:cat>
          <c:val>
            <c:numRef>
              <c:f>Hoja1!$B$2:$B$9</c:f>
              <c:numCache>
                <c:formatCode>0.0"%"</c:formatCode>
                <c:ptCount val="8"/>
                <c:pt idx="0">
                  <c:v>24.6</c:v>
                </c:pt>
                <c:pt idx="1">
                  <c:v>28.5</c:v>
                </c:pt>
                <c:pt idx="2">
                  <c:v>34.8</c:v>
                </c:pt>
                <c:pt idx="3">
                  <c:v>27.4</c:v>
                </c:pt>
                <c:pt idx="4">
                  <c:v>-4.8</c:v>
                </c:pt>
                <c:pt idx="5">
                  <c:v>33.3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Hoja1!$B$2:$B$11</c:f>
              <c:numCache>
                <c:formatCode>#,##0</c:formatCode>
                <c:ptCount val="10"/>
                <c:pt idx="0">
                  <c:v>4771</c:v>
                </c:pt>
                <c:pt idx="1">
                  <c:v>5453</c:v>
                </c:pt>
                <c:pt idx="2">
                  <c:v>5584</c:v>
                </c:pt>
                <c:pt idx="3">
                  <c:v>5916</c:v>
                </c:pt>
                <c:pt idx="4">
                  <c:v>6125</c:v>
                </c:pt>
                <c:pt idx="5">
                  <c:v>6278</c:v>
                </c:pt>
                <c:pt idx="6">
                  <c:v>6592</c:v>
                </c:pt>
                <c:pt idx="7">
                  <c:v>6922</c:v>
                </c:pt>
                <c:pt idx="8">
                  <c:v>7233</c:v>
                </c:pt>
                <c:pt idx="9">
                  <c:v>7522</c:v>
                </c:pt>
              </c:numCache>
            </c:numRef>
          </c:val>
        </c:ser>
        <c:ser>
          <c:idx val="1"/>
          <c:order val="1"/>
          <c:tx>
            <c:strRef>
              <c:f>Hoja1!$C$1</c:f>
              <c:strCache>
                <c:ptCount val="1"/>
                <c:pt idx="0">
                  <c:v>EBITDA</c:v>
                </c:pt>
              </c:strCache>
            </c:strRef>
          </c:tx>
          <c:spPr>
            <a:solidFill>
              <a:srgbClr val="EB6834"/>
            </a:solidFill>
            <a:ln w="9525">
              <a:noFill/>
            </a:ln>
          </c:spPr>
          <c:invertIfNegative val="0"/>
          <c:cat>
            <c:strRef>
              <c:f>Hoja1!$A$2:$A$11</c:f>
              <c:strCache>
                <c:ptCount val="10"/>
                <c:pt idx="0">
                  <c:v>2021</c:v>
                </c:pt>
                <c:pt idx="1">
                  <c:v>2022</c:v>
                </c:pt>
                <c:pt idx="2">
                  <c:v>2023</c:v>
                </c:pt>
                <c:pt idx="3">
                  <c:v>2024</c:v>
                </c:pt>
                <c:pt idx="4">
                  <c:v>2025</c:v>
                </c:pt>
                <c:pt idx="5">
                  <c:v>2026e</c:v>
                </c:pt>
                <c:pt idx="6">
                  <c:v>2027e</c:v>
                </c:pt>
                <c:pt idx="7">
                  <c:v>2028e</c:v>
                </c:pt>
                <c:pt idx="8">
                  <c:v>2029e</c:v>
                </c:pt>
                <c:pt idx="9">
                  <c:v>2030e</c:v>
                </c:pt>
              </c:strCache>
            </c:strRef>
          </c:cat>
          <c:val>
            <c:numRef>
              <c:f>Hoja1!$C$2:$C$11</c:f>
              <c:numCache>
                <c:formatCode>#,##0</c:formatCode>
                <c:ptCount val="10"/>
                <c:pt idx="0">
                  <c:v>1505</c:v>
                </c:pt>
                <c:pt idx="1">
                  <c:v>1724</c:v>
                </c:pt>
                <c:pt idx="2">
                  <c:v>1764</c:v>
                </c:pt>
                <c:pt idx="3">
                  <c:v>1923</c:v>
                </c:pt>
                <c:pt idx="4">
                  <c:v>1981</c:v>
                </c:pt>
                <c:pt idx="5">
                  <c:v>2084</c:v>
                </c:pt>
                <c:pt idx="6">
                  <c:v>2208</c:v>
                </c:pt>
                <c:pt idx="7">
                  <c:v>2340</c:v>
                </c:pt>
                <c:pt idx="8">
                  <c:v>2459</c:v>
                </c:pt>
                <c:pt idx="9">
                  <c:v>2573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71.2</c:v>
                </c:pt>
                <c:pt idx="1">
                  <c:v>71.1</c:v>
                </c:pt>
                <c:pt idx="2">
                  <c:v>71.8</c:v>
                </c:pt>
                <c:pt idx="3">
                  <c:v>72.5</c:v>
                </c:pt>
                <c:pt idx="4">
                  <c:v>73.5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31.5</c:v>
                </c:pt>
                <c:pt idx="1">
                  <c:v>31.6</c:v>
                </c:pt>
                <c:pt idx="2">
                  <c:v>31.6</c:v>
                </c:pt>
                <c:pt idx="3">
                  <c:v>32.5</c:v>
                </c:pt>
                <c:pt idx="4">
                  <c:v>32.3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21.6</c:v>
                </c:pt>
                <c:pt idx="1">
                  <c:v>23.1</c:v>
                </c:pt>
                <c:pt idx="2">
                  <c:v>23.6</c:v>
                </c:pt>
                <c:pt idx="3">
                  <c:v>24.4</c:v>
                </c:pt>
                <c:pt idx="4">
                  <c:v>24.6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15.3</c:v>
                </c:pt>
                <c:pt idx="1">
                  <c:v>18.8</c:v>
                </c:pt>
                <c:pt idx="2">
                  <c:v>18</c:v>
                </c:pt>
                <c:pt idx="3">
                  <c:v>18.2</c:v>
                </c:pt>
                <c:pt idx="4">
                  <c:v>21.4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6.1</c:v>
                </c:pt>
                <c:pt idx="3">
                  <c:v>5.8</c:v>
                </c:pt>
                <c:pt idx="4">
                  <c:v>5.6</c:v>
                </c:pt>
                <c:pt idx="5">
                  <c:v>1.6</c:v>
                </c:pt>
                <c:pt idx="6">
                  <c:v>-0.6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0">
                  <c:v>6</c:v>
                </c:pt>
                <c:pt idx="2">
                  <c:v>6</c:v>
                </c:pt>
                <c:pt idx="4">
                  <c:v>5</c:v>
                </c:pt>
                <c:pt idx="6">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c:v>
                </c:pt>
                <c:pt idx="1">
                  <c:v>73</c:v>
                </c:pt>
                <c:pt idx="2">
                  <c:v>71</c:v>
                </c:pt>
                <c:pt idx="3">
                  <c:v>70</c:v>
                </c:pt>
                <c:pt idx="4">
                  <c:v>64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17</c:v>
                </c:pt>
                <c:pt idx="1">
                  <c:v>18</c:v>
                </c:pt>
                <c:pt idx="2">
                  <c:v>19</c:v>
                </c:pt>
                <c:pt idx="3">
                  <c:v>18</c:v>
                </c:pt>
                <c:pt idx="4">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c:v>
                </c:pt>
                <c:pt idx="1">
                  <c:v>34</c:v>
                </c:pt>
                <c:pt idx="2">
                  <c:v>38</c:v>
                </c:pt>
                <c:pt idx="3">
                  <c:v>36</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984</c:v>
                </c:pt>
                <c:pt idx="1">
                  <c:v>1215</c:v>
                </c:pt>
                <c:pt idx="2">
                  <c:v>1157</c:v>
                </c:pt>
                <c:pt idx="3">
                  <c:v>1279</c:v>
                </c:pt>
                <c:pt idx="4">
                  <c:v>1307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728</c:v>
                </c:pt>
                <c:pt idx="1">
                  <c:v>1027</c:v>
                </c:pt>
                <c:pt idx="2">
                  <c:v>1007</c:v>
                </c:pt>
                <c:pt idx="3">
                  <c:v>1079</c:v>
                </c:pt>
                <c:pt idx="4">
                  <c:v>1308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17.8</c:v>
                </c:pt>
                <c:pt idx="1">
                  <c:v>22.2</c:v>
                </c:pt>
                <c:pt idx="2">
                  <c:v>22.9</c:v>
                </c:pt>
                <c:pt idx="3">
                  <c:v>25.1</c:v>
                </c:pt>
                <c:pt idx="4">
                  <c:v>25.4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30.1</c:v>
                </c:pt>
                <c:pt idx="1">
                  <c:v>43.5</c:v>
                </c:pt>
                <c:pt idx="2">
                  <c:v>49.6</c:v>
                </c:pt>
                <c:pt idx="3">
                  <c:v>65.5</c:v>
                </c:pt>
                <c:pt idx="4">
                  <c:v>111.7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1.42</c:v>
                </c:pt>
                <c:pt idx="1">
                  <c:v>1.32</c:v>
                </c:pt>
                <c:pt idx="2">
                  <c:v>1.48</c:v>
                </c:pt>
                <c:pt idx="3">
                  <c:v>1.62</c:v>
                </c:pt>
                <c:pt idx="4">
                  <c:v>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722</c:v>
                </c:pt>
                <c:pt idx="1">
                  <c:v>557</c:v>
                </c:pt>
                <c:pt idx="2">
                  <c:v>543</c:v>
                </c:pt>
                <c:pt idx="3">
                  <c:v>599</c:v>
                </c:pt>
                <c:pt idx="4">
                  <c:v>997</c:v>
                </c:pt>
                <c:pt idx="5">
                  <c:v>1337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108</c:v>
                </c:pt>
                <c:pt idx="1">
                  <c:v>92</c:v>
                </c:pt>
                <c:pt idx="2">
                  <c:v>61</c:v>
                </c:pt>
                <c:pt idx="3">
                  <c:v>335</c:v>
                </c:pt>
                <c:pt idx="4">
                  <c:v>871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373</c:v>
                </c:pt>
                <c:pt idx="1">
                  <c:v>424</c:v>
                </c:pt>
                <c:pt idx="2">
                  <c:v>467</c:v>
                </c:pt>
                <c:pt idx="3">
                  <c:v>521</c:v>
                </c:pt>
                <c:pt idx="4">
                  <c:v>563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410</c:v>
                </c:pt>
                <c:pt idx="1">
                  <c:v>1000</c:v>
                </c:pt>
                <c:pt idx="2">
                  <c:v>1000</c:v>
                </c:pt>
                <c:pt idx="3">
                  <c:v>1000</c:v>
                </c:pt>
                <c:pt idx="4">
                  <c:v>1096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Massachusetts Financial Services (MFS)</c:v>
                </c:pt>
                <c:pt idx="2">
                  <c:v>Independent Franchise Partners LLP</c:v>
                </c:pt>
                <c:pt idx="3">
                  <c:v>UBS Group AG</c:v>
                </c:pt>
                <c:pt idx="4">
                  <c:v>JP Morgan Chase &amp; Co</c:v>
                </c:pt>
                <c:pt idx="5">
                  <c:v>Amundi Asset Management</c:v>
                </c:pt>
                <c:pt idx="6">
                  <c:v>Wolters Kluwer N.V. (autocartera)</c:v>
                </c:pt>
              </c:strCache>
            </c:strRef>
          </c:cat>
          <c:val>
            <c:numRef>
              <c:f>Hoja1!$B$2:$B$8</c:f>
              <c:numCache>
                <c:formatCode>0.0"%"</c:formatCode>
                <c:ptCount val="7"/>
                <c:pt idx="0">
                  <c:v>8.01</c:v>
                </c:pt>
                <c:pt idx="1">
                  <c:v>2.33</c:v>
                </c:pt>
                <c:pt idx="2">
                  <c:v>2.79</c:v>
                </c:pt>
                <c:pt idx="3">
                  <c:v>2.94</c:v>
                </c:pt>
                <c:pt idx="4">
                  <c:v>2.83</c:v>
                </c:pt>
                <c:pt idx="5">
                  <c:v>2.96</c:v>
                </c:pt>
                <c:pt idx="6">
                  <c:v>1.01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12.2</c:v>
                </c:pt>
                <c:pt idx="1">
                  <c:v>29</c:v>
                </c:pt>
                <c:pt idx="2">
                  <c:v>21.3</c:v>
                </c:pt>
                <c:pt idx="3">
                  <c:v>27.9</c:v>
                </c:pt>
                <c:pt idx="4">
                  <c:v>8.2</c:v>
                </c:pt>
                <c:pt idx="5">
                  <c:v>52.6</c:v>
                </c:pt>
                <c:pt idx="6">
                  <c:v>-4</c:v>
                </c:pt>
                <c:pt idx="7">
                  <c:v>33.9</c:v>
                </c:pt>
                <c:pt idx="8">
                  <c:v>26.5</c:v>
                </c:pt>
                <c:pt idx="9">
                  <c:v>-43.9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11.8</c:v>
                </c:pt>
                <c:pt idx="1">
                  <c:v>16</c:v>
                </c:pt>
                <c:pt idx="2">
                  <c:v>-8</c:v>
                </c:pt>
                <c:pt idx="3">
                  <c:v>27.7</c:v>
                </c:pt>
                <c:pt idx="4">
                  <c:v>5</c:v>
                </c:pt>
                <c:pt idx="5">
                  <c:v>30.2</c:v>
                </c:pt>
                <c:pt idx="6">
                  <c:v>-12.1</c:v>
                </c:pt>
                <c:pt idx="7">
                  <c:v>16.7</c:v>
                </c:pt>
                <c:pt idx="8">
                  <c:v>14.2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19.4</c:v>
                </c:pt>
                <c:pt idx="6">
                  <c:v>15.8</c:v>
                </c:pt>
                <c:pt idx="7">
                  <c:v>19.4</c:v>
                </c:pt>
                <c:pt idx="8">
                  <c:v>21.5</c:v>
                </c:pt>
                <c:pt idx="9">
                  <c:v>12.3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19.4</c:v>
                </c:pt>
                <c:pt idx="1">
                  <c:v>19.4</c:v>
                </c:pt>
                <c:pt idx="2">
                  <c:v>19.4</c:v>
                </c:pt>
                <c:pt idx="3">
                  <c:v>19.4</c:v>
                </c:pt>
                <c:pt idx="4">
                  <c:v>19.4</c:v>
                </c:pt>
                <c:pt idx="5">
                  <c:v>19.4</c:v>
                </c:pt>
                <c:pt idx="6">
                  <c:v>19.4</c:v>
                </c:pt>
                <c:pt idx="7">
                  <c:v>19.4</c:v>
                </c:pt>
                <c:pt idx="8">
                  <c:v>19.4</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Wolters Kluwer</c:v>
                </c:pt>
                <c:pt idx="1">
                  <c:v>RELX</c:v>
                </c:pt>
                <c:pt idx="2">
                  <c:v>Thomson Reuters</c:v>
                </c:pt>
                <c:pt idx="3">
                  <c:v>LSEG</c:v>
                </c:pt>
                <c:pt idx="4">
                  <c:v>Verisk</c:v>
                </c:pt>
                <c:pt idx="5">
                  <c:v>Experian</c:v>
                </c:pt>
                <c:pt idx="6">
                  <c:v>Intuit</c:v>
                </c:pt>
                <c:pt idx="7">
                  <c:v>Veeva Systems</c:v>
                </c:pt>
                <c:pt idx="8">
                  <c:v>Gartner</c:v>
                </c:pt>
              </c:strCache>
            </c:strRef>
          </c:cat>
          <c:val>
            <c:numRef>
              <c:f>Hoja1!$B$2:$B$10</c:f>
              <c:numCache>
                <c:formatCode>0.0"x"</c:formatCode>
                <c:ptCount val="9"/>
                <c:pt idx="0">
                  <c:v>9.9</c:v>
                </c:pt>
                <c:pt idx="1">
                  <c:v>13.25</c:v>
                </c:pt>
                <c:pt idx="2">
                  <c:v>13.79</c:v>
                </c:pt>
                <c:pt idx="3">
                  <c:v>9.93</c:v>
                </c:pt>
                <c:pt idx="4">
                  <c:v>14.37</c:v>
                </c:pt>
                <c:pt idx="5">
                  <c:v>10.61</c:v>
                </c:pt>
                <c:pt idx="6">
                  <c:v>7.86</c:v>
                </c:pt>
                <c:pt idx="7">
                  <c:v>22.71</c:v>
                </c:pt>
                <c:pt idx="8">
                  <c:v>8.51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Wolters Kluwer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9.9</c:v>
                </c:pt>
              </c:numCache>
            </c:numRef>
          </c:yVal>
          <c:smooth val="0"/>
        </c:ser>
        <c:ser>
          <c:idx val="1"/>
          <c:order val="1"/>
          <c:tx>
            <c:strRef>
              <c:f>Hoja1!$A$3</c:f>
              <c:strCache>
                <c:ptCount val="1"/>
                <c:pt idx="0">
                  <c:v>RELX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5.9</c:v>
                </c:pt>
              </c:numCache>
            </c:numRef>
          </c:xVal>
          <c:yVal>
            <c:numRef>
              <c:f>Hoja1!$C$3</c:f>
              <c:numCache>
                <c:formatCode>0.0"x"</c:formatCode>
                <c:ptCount val="1"/>
                <c:pt idx="0">
                  <c:v>13.25</c:v>
                </c:pt>
              </c:numCache>
            </c:numRef>
          </c:yVal>
          <c:smooth val="0"/>
        </c:ser>
        <c:ser>
          <c:idx val="2"/>
          <c:order val="2"/>
          <c:tx>
            <c:strRef>
              <c:f>Hoja1!$A$4</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13.79</c:v>
                </c:pt>
              </c:numCache>
            </c:numRef>
          </c:yVal>
          <c:smooth val="0"/>
        </c:ser>
        <c:ser>
          <c:idx val="3"/>
          <c:order val="3"/>
          <c:tx>
            <c:strRef>
              <c:f>Hoja1!$A$5</c:f>
              <c:strCache>
                <c:ptCount val="1"/>
                <c:pt idx="0">
                  <c:v>LSEG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6.4</c:v>
                </c:pt>
              </c:numCache>
            </c:numRef>
          </c:xVal>
          <c:yVal>
            <c:numRef>
              <c:f>Hoja1!$C$5</c:f>
              <c:numCache>
                <c:formatCode>0.0"x"</c:formatCode>
                <c:ptCount val="1"/>
                <c:pt idx="0">
                  <c:v>9.93</c:v>
                </c:pt>
              </c:numCache>
            </c:numRef>
          </c:yVal>
          <c:smooth val="0"/>
        </c:ser>
        <c:ser>
          <c:idx val="4"/>
          <c:order val="4"/>
          <c:tx>
            <c:strRef>
              <c:f>Hoja1!$A$6</c:f>
              <c:strCache>
                <c:ptCount val="1"/>
                <c:pt idx="0">
                  <c:v>Verisk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14.37</c:v>
                </c:pt>
              </c:numCache>
            </c:numRef>
          </c:yVal>
          <c:smooth val="0"/>
        </c:ser>
        <c:ser>
          <c:idx val="5"/>
          <c:order val="5"/>
          <c:tx>
            <c:strRef>
              <c:f>Hoja1!$A$7</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8.1</c:v>
                </c:pt>
              </c:numCache>
            </c:numRef>
          </c:xVal>
          <c:yVal>
            <c:numRef>
              <c:f>Hoja1!$C$7</c:f>
              <c:numCache>
                <c:formatCode>0.0"x"</c:formatCode>
                <c:ptCount val="1"/>
                <c:pt idx="0">
                  <c:v>10.61</c:v>
                </c:pt>
              </c:numCache>
            </c:numRef>
          </c:yVal>
          <c:smooth val="0"/>
        </c:ser>
        <c:ser>
          <c:idx val="6"/>
          <c:order val="6"/>
          <c:tx>
            <c:strRef>
              <c:f>Hoja1!$A$8</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9.2</c:v>
                </c:pt>
              </c:numCache>
            </c:numRef>
          </c:xVal>
          <c:yVal>
            <c:numRef>
              <c:f>Hoja1!$C$8</c:f>
              <c:numCache>
                <c:formatCode>0.0"x"</c:formatCode>
                <c:ptCount val="1"/>
                <c:pt idx="0">
                  <c:v>7.86</c:v>
                </c:pt>
              </c:numCache>
            </c:numRef>
          </c:yVal>
          <c:smooth val="0"/>
        </c:ser>
        <c:ser>
          <c:idx val="7"/>
          <c:order val="7"/>
          <c:tx>
            <c:strRef>
              <c:f>Hoja1!$A$9</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13.5</c:v>
                </c:pt>
              </c:numCache>
            </c:numRef>
          </c:xVal>
          <c:yVal>
            <c:numRef>
              <c:f>Hoja1!$C$9</c:f>
              <c:numCache>
                <c:formatCode>0.0"x"</c:formatCode>
                <c:ptCount val="1"/>
                <c:pt idx="0">
                  <c:v>22.71</c:v>
                </c:pt>
              </c:numCache>
            </c:numRef>
          </c:yVal>
          <c:smooth val="0"/>
        </c:ser>
        <c:ser>
          <c:idx val="8"/>
          <c:order val="8"/>
          <c:tx>
            <c:strRef>
              <c:f>Hoja1!$A$10</c:f>
              <c:strCache>
                <c:ptCount val="1"/>
                <c:pt idx="0">
                  <c:v>Gartner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1.9</c:v>
                </c:pt>
              </c:numCache>
            </c:numRef>
          </c:xVal>
          <c:yVal>
            <c:numRef>
              <c:f>Hoja1!$C$10</c:f>
              <c:numCache>
                <c:formatCode>0.0"x"</c:formatCode>
                <c:ptCount val="1"/>
                <c:pt idx="0">
                  <c:v>8.51</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IHS Markit</c:v>
                </c:pt>
                <c:pt idx="1">
                  <c:v>Anaplan</c:v>
                </c:pt>
                <c:pt idx="2">
                  <c:v>Adenza</c:v>
                </c:pt>
                <c:pt idx="3">
                  <c:v>Dun &amp; Bradstreet</c:v>
                </c:pt>
                <c:pt idx="4">
                  <c:v>Registered Agent Solutions (RASi)</c:v>
                </c:pt>
                <c:pt idx="5">
                  <c:v>Brightflag</c:v>
                </c:pt>
                <c:pt idx="6">
                  <c:v>Marosa</c:v>
                </c:pt>
              </c:strCache>
            </c:strRef>
          </c:cat>
          <c:val>
            <c:numRef>
              <c:f>Hoja1!$B$2:$B$8</c:f>
              <c:numCache>
                <c:formatCode>0.0"x"</c:formatCode>
                <c:ptCount val="7"/>
                <c:pt idx="0">
                  <c:v>24</c:v>
                </c:pt>
                <c:pt idx="2">
                  <c:v>30.7</c:v>
                </c:pt>
                <c:pt idx="3">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2026e</c:v>
                </c:pt>
                <c:pt idx="1">
                  <c:v>2027e</c:v>
                </c:pt>
                <c:pt idx="2">
                  <c:v>2028e</c:v>
                </c:pt>
                <c:pt idx="3">
                  <c:v>2029e</c:v>
                </c:pt>
                <c:pt idx="4">
                  <c:v>2030e</c:v>
                </c:pt>
              </c:strCache>
            </c:strRef>
          </c:cat>
          <c:val>
            <c:numRef>
              <c:f>Hoja1!$B$2:$B$6</c:f>
              <c:numCache>
                <c:formatCode>#,##0</c:formatCode>
                <c:ptCount val="5"/>
                <c:pt idx="0">
                  <c:v>1309</c:v>
                </c:pt>
                <c:pt idx="1">
                  <c:v>1397</c:v>
                </c:pt>
                <c:pt idx="2">
                  <c:v>1477</c:v>
                </c:pt>
                <c:pt idx="3">
                  <c:v>1551</c:v>
                </c:pt>
                <c:pt idx="4">
                  <c:v>1621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5493</c:v>
                </c:pt>
                <c:pt idx="1">
                  <c:v>5733</c:v>
                </c:pt>
                <c:pt idx="2">
                  <c:v>21695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78,06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60.23</c:v>
                </c:pt>
                <c:pt idx="1">
                  <c:v>127.64</c:v>
                </c:pt>
                <c:pt idx="2">
                  <c:v>164.37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78,06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(54,64 – 115,15)</c:v>
                </c:pt>
                <c:pt idx="1">
                  <c:v>Precio objetivo de los analistas (56,00 – 120,00)</c:v>
                </c:pt>
                <c:pt idx="2">
                  <c:v>Comparables: EV/EBITDA NTM (74,61 – 117,65)</c:v>
                </c:pt>
                <c:pt idx="3">
                  <c:v>Comparables: PER NTM (97,03 – 135,29)</c:v>
                </c:pt>
                <c:pt idx="4">
                  <c:v>DCF (WACC y g ± 0,5) (104,90 – 162,28)</c:v>
                </c:pt>
                <c:pt idx="5">
                  <c:v>Escenarios (bajista – alcista) (60,23 – 164,37)</c:v>
                </c:pt>
                <c:pt idx="6">
                  <c:v>DCF con la prima implícita del mercado (4,2 %)</c:v>
                </c:pt>
                <c:pt idx="7">
                  <c:v>Precio actual (78,06)</c:v>
                </c:pt>
              </c:strCache>
            </c:strRef>
          </c:cat>
          <c:val>
            <c:numRef>
              <c:f>Hoja1!$B$2:$B$9</c:f>
              <c:numCache>
                <c:formatCode>#,##0</c:formatCode>
                <c:ptCount val="8"/>
                <c:pt idx="0">
                  <c:v>54.64</c:v>
                </c:pt>
                <c:pt idx="1">
                  <c:v>56</c:v>
                </c:pt>
                <c:pt idx="2">
                  <c:v>74.61</c:v>
                </c:pt>
                <c:pt idx="3">
                  <c:v>97.03</c:v>
                </c:pt>
                <c:pt idx="4">
                  <c:v>104.9</c:v>
                </c:pt>
                <c:pt idx="5">
                  <c:v>60.23</c:v>
                </c:pt>
                <c:pt idx="6">
                  <c:v>137.88</c:v>
                </c:pt>
                <c:pt idx="7">
                  <c:v>77.67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(54,64 – 115,15)</c:v>
                </c:pt>
                <c:pt idx="1">
                  <c:v>Precio objetivo de los analistas (56,00 – 120,00)</c:v>
                </c:pt>
                <c:pt idx="2">
                  <c:v>Comparables: EV/EBITDA NTM (74,61 – 117,65)</c:v>
                </c:pt>
                <c:pt idx="3">
                  <c:v>Comparables: PER NTM (97,03 – 135,29)</c:v>
                </c:pt>
                <c:pt idx="4">
                  <c:v>DCF (WACC y g ± 0,5) (104,90 – 162,28)</c:v>
                </c:pt>
                <c:pt idx="5">
                  <c:v>Escenarios (bajista – alcista) (60,23 – 164,37)</c:v>
                </c:pt>
                <c:pt idx="6">
                  <c:v>DCF con la prima implícita del mercado (4,2 %)</c:v>
                </c:pt>
                <c:pt idx="7">
                  <c:v>Precio actual (78,06)</c:v>
                </c:pt>
              </c:strCache>
            </c:strRef>
          </c:cat>
          <c:val>
            <c:numRef>
              <c:f>Hoja1!$C$2:$C$9</c:f>
              <c:numCache>
                <c:formatCode>#,##0</c:formatCode>
                <c:ptCount val="8"/>
                <c:pt idx="0">
                  <c:v>60.510000000000005</c:v>
                </c:pt>
                <c:pt idx="1">
                  <c:v>64</c:v>
                </c:pt>
                <c:pt idx="2">
                  <c:v>43.040000000000006</c:v>
                </c:pt>
                <c:pt idx="3">
                  <c:v>38.25999999999999</c:v>
                </c:pt>
                <c:pt idx="4">
                  <c:v>57.379999999999995</c:v>
                </c:pt>
                <c:pt idx="5">
                  <c:v>104.14000000000001</c:v>
                </c:pt>
                <c:pt idx="6">
                  <c:v>45.31</c:v>
                </c:pt>
                <c:pt idx="7">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