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Compass Group PLC</w:t>
      </w:r>
    </w:p>
    <w:p>
      <w:pPr>
        <w:spacing w:after="60"/>
        <w:rPr>
          <w:color w:val="52514E"/>
          <w:sz w:val="22"/>
          <w:szCs w:val="22"/>
        </w:rPr>
      </w:pPr>
      <w:r>
        <w:rPr>
          <w:color w:val="52514E"/>
          <w:sz w:val="22"/>
          <w:szCs w:val="22"/>
        </w:rPr>
        <w:t xml:space="preserve">CPG · London Stock Exchange (cotiza en USD desde el 1-abr-2026) · ISIN GB00BD6K4575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31,34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36,37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+18,3 % (base +21,8 %)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28,73 USD · mercado 32,41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53.287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Compass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CPG / GB00BD6K4575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(cotiza en USD desde el 1-abr-2026)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Hoteles, restaurantes y ocio (restauración colectiva)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Chertsey (Surrey, Reino Unido) · 1941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www.compass-group.com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31,34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26,95 – 35,94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53.287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61.899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63 M USD/día en Londres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36,37 USD</w:t>
      </w:r>
      <w:r>
        <w:t xml:space="preserve"> frente a 31,34 · Rentabilidad a 12 meses </w:t>
      </w:r>
      <w:r>
        <w:rPr>
          <w:b/>
          <w:bCs/>
        </w:rPr>
        <w:t xml:space="preserve">+18,3 % (base +21,8 %)</w:t>
      </w:r>
      <w:r>
        <w:t xml:space="preserve"> · Valor intrínseco 28,73 USD · con la prima implícita del mercado: 32,41 (+3,4 %) · Alcista / bajista +10,4 % / -34,0 %</w:t>
      </w:r>
    </w:p>
    <w:p>
      <w:pPr>
        <w:spacing w:after="100"/>
      </w:pPr>
      <w:r>
        <w:rPr>
          <w:b/>
        </w:rPr>
        <w:t xml:space="preserve">La recomendación y por qué.</w:t>
      </w:r>
      <w:r>
        <w:t xml:space="preserve"> Mantener, con convicción baja. El objetivo a 12 meses es de 36,37 USD (+18,3 % ponderado y +21,8 % en el caso base, con el dividendo), pero el valor intrínseco es de 28,73 USD, un 8,3 % por debajo del precio de 31,34 USD: no se cumple la tercera condición de compra. Los analistas apuntan a 38,06 USD, por encima de nuestro base. La convicción es baja porque las dos reglas discrepan (Vender con nuestro WACC, Mantener con la prima del mercado) y la diferencia es de tasa, no de cifras; subiría si el precio bajara de 28,73 o si el 24-nov la empresa anunciara recompras con la guía de 2027 intacta.</w:t>
      </w:r>
    </w:p>
    <w:p>
      <w:pPr>
        <w:spacing w:after="100"/>
      </w:pPr>
      <w:r>
        <w:rPr>
          <w:b/>
        </w:rPr>
        <w:t xml:space="preserve">El negocio.</w:t>
      </w:r>
      <w:r>
        <w:t xml:space="preserve"> El mayor grupo de restauración colectiva del mundo, con 46.070 M de ventas, retención del 96 % y un neto por contratos del 4-5 % cinco años seguidos [1, 7]. Su ventaja es la escala de compras: margen EBITDA del 10,3 % frente al 4,8 % de Sodexo y el 7,3 % de Aramark [16]. El ROIC es del 18,4 % frente a un WACC del 8,64 % (41,2 % sin el fondo de comercio de las compras): calidad «Sí». La sostenibilidad del crecimiento es «Sí»: proyectamos un 5,9 % anual, un tercio del histórico, que la reinversión financia de sobra, y la cuota pasaría del 12,8 % al 14,6 % del mercado.</w:t>
      </w:r>
    </w:p>
    <w:p>
      <w:pPr>
        <w:spacing w:after="100"/>
      </w:pPr>
      <w:r>
        <w:rPr>
          <w:b/>
        </w:rPr>
        <w:t xml:space="preserve">Finanzas.</w:t>
      </w:r>
      <w:r>
        <w:t xml:space="preserve"> Conversión de caja del 88 % y deuda neta de 8.600 M en marzo de 2026 (1,7 veces el EBITDA) por las compras de Vermaat y Pro Care [5]. El BPA publicado (110,1 centavos) va un 17 % por debajo del subyacente (131,9) por los cargos de compras, que se repiten cada año; la regla a 12 meses usa el subyacente en las dos puntas (historia y previsión).</w:t>
      </w:r>
    </w:p>
    <w:p>
      <w:pPr>
        <w:spacing w:after="100"/>
      </w:pPr>
      <w:r>
        <w:rPr>
          <w:b/>
        </w:rPr>
        <w:t xml:space="preserve">Valoración.</w:t>
      </w:r>
      <w:r>
        <w:t xml:space="preserve"> El DCF da 30,18 USD; el precio descuenta un crecimiento del 5,9 % anual frente al 5,5 % de nuestro base en FY2027-FY2035: precio justo, sin margen de seguridad. Con la prima implícita del mercado (4,2 %) el valor sube a 32,41 USD. El PER adelantado (19,6 veces) está por debajo de su mediana de cinco años (23,5): de ahí el +18 % de la regla, que cuenta con que el múltiplo vuelva a medio camino. Nuestro BPA de FY2027 coincide con el consenso (−2 %).</w:t>
      </w:r>
    </w:p>
    <w:p>
      <w:pPr>
        <w:spacing w:after="100"/>
      </w:pPr>
      <w:r>
        <w:rPr>
          <w:b/>
        </w:rPr>
        <w:t xml:space="preserve">Riesgos y catalizadores.</w:t>
      </w:r>
      <w:r>
        <w:t xml:space="preserve"> El riesgo principal es un frenazo del neto por contratos por la competencia en Norteamérica (bajista −34 %); después, menos comensales en oficinas por la IA (exposición baja según la empresa, menos del 2 % de las ventas; efecto −3 %/+2 %, porque los centros de datos de IA también le dan contratos) y la inflación de alimentos por la guerra de Irán. Los foros están divididos: temen a la IA y ven la acción cara, mientras los analistas son compradores. Catalizador: resultados y asignación de capital el 24-nov-2026.</w:t>
      </w:r>
    </w:p>
    <w:p>
      <w:pPr>
        <w:spacing w:after="100"/>
      </w:pPr>
      <w:r>
        <w:rPr>
          <w:b/>
        </w:rPr>
        <w:t xml:space="preserve">Qué cambiaría la decisión.</w:t>
      </w:r>
      <w:r>
        <w:t xml:space="preserve"> Compraríamos por debajo de 28,73 USD (≈ 25,66 EUR) y venderíamos por encima de 41,18 USD. Pasaríamos a Vender si el neto por contratos baja del 4 % dos trimestres o la retención del 95,5 %. Una acción cuesta ≈ 28,0 EUR, muy por debajo del 7 % de una cartera de 30.000 EUR.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Más de 12 meses (la regla a 12 meses da +18,3 %, pero el valor intrínseco está por debajo del precio) · Objetivo a 12 meses: </w:t>
      </w:r>
      <w:r>
        <w:rPr>
          <w:b/>
          <w:bCs/>
        </w:rPr>
        <w:t xml:space="preserve">36,37 USD</w:t>
      </w:r>
      <w:r>
        <w:t xml:space="preserve"> (rentabilidad +18,3 % (base +21,8 %)) · Valor intrínseco: 28,73 USD (-8,3 % sobre 31,34) · con la prima implícita del mercado: 32,41 (+3,4 %)</w:t>
      </w:r>
    </w:p>
    <w:p>
      <w:pPr>
        <w:spacing w:after="100"/>
      </w:pPr>
      <w:r>
        <w:t xml:space="preserve">Compass es el líder mundial de la restauración colectiva: 46.070 M USD de ventas, retención del 96 % y un neto por contratos del 4-5 % desde 2022, frente al 3 % de antes de la pandemia [1]. La escala de compras le da el mejor margen del sector (EBITDA subyacente del 10,1 %) y el ROIC del 18,4 % casi duplica su coste de capital. Crece por primera externalización (la mitad de los contratos nuevos) en un mercado de ≈ 281.000-360.000 M que crece un 4-5 % anual [1, 14].</w:t>
      </w:r>
    </w:p>
    <w:p>
      <w:pPr>
        <w:spacing w:after="100"/>
      </w:pPr>
      <w:r>
        <w:t xml:space="preserve">El precio (31,34 USD, 19,6 veces nuestro BPA subyacente de FY2027) descuenta un crecimiento del 5,9 % anual hasta FY2035, algo más que nuestro caso base (5,5 %) y menos que la guía de la empresa. El DCF da 30,18 USD con el bono de EE. UU. al 5,19 %; con la prima del mercado, 34,37. El múltiplo está por debajo de su mediana de cinco años (23,5 veces).</w:t>
      </w:r>
    </w:p>
    <w:p>
      <w:pPr>
        <w:spacing w:after="100"/>
      </w:pPr>
      <w:r>
        <w:t xml:space="preserve">El mercado acierta en lo esencial: paga el crecimiento que la empresa promete. Para invertir hay que creer que el neto por contratos seguirá en el 4-5 % pese a la IA en oficinas y a la competencia, y que los tipos bajarán o volverán las recompras; entonces el múltiplo subiría hacia 21-23 veces. Sin eso, la rentabilidad es la del beneficio (≈ 9-10 % anual) más el dividendo.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1,56 = 26,66 · 21,4x × 1,75 = 37,49 · 23,5x × 1,87 = 43,85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 / 21,8 %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38,06 (nuestro base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 / -34,0 %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8,6 %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28,73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28,73 y 41,18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41,18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28,73 USD (valor intrínseco), pasaríamos a Comprar, con la regla a 12 meses ya por encima del 15 %.</w:t>
      </w:r>
    </w:p>
    <w:p>
      <w:pPr>
        <w:pStyle w:val="ListParagraph"/>
        <w:numPr>
          <w:ilvl w:val="0"/>
          <w:numId w:val="2"/>
        </w:numPr>
        <w:spacing w:after="60"/>
      </w:pPr>
      <w:r>
        <w:t xml:space="preserve">Si el precio supera 41,18 USD, pasaríamos a Vender.</w:t>
      </w:r>
    </w:p>
    <w:p>
      <w:pPr>
        <w:pStyle w:val="ListParagraph"/>
        <w:numPr>
          <w:ilvl w:val="0"/>
          <w:numId w:val="2"/>
        </w:numPr>
        <w:spacing w:after="60"/>
      </w:pPr>
      <w:r>
        <w:t xml:space="preserve">Si el neto por contratos baja del 4 % dos trimestres seguidos o la retención del 95,5 %, revisaríamos el caso base a la baja (bajista: −34 %).</w:t>
      </w:r>
    </w:p>
    <w:p>
      <w:pPr>
        <w:pStyle w:val="ListParagraph"/>
        <w:numPr>
          <w:ilvl w:val="0"/>
          <w:numId w:val="2"/>
        </w:numPr>
        <w:spacing w:after="60"/>
      </w:pPr>
      <w:r>
        <w:t xml:space="preserve">Si el 24-nov-2026 anuncia recompras de 1.000 M o más con la guía de 2027 intacta, revisaríamos el BPA de FY2028 al alza (≈ +2 %).</w:t>
      </w:r>
    </w:p>
    <w:p>
      <w:pPr>
        <w:pStyle w:val="ListParagraph"/>
        <w:numPr>
          <w:ilvl w:val="0"/>
          <w:numId w:val="2"/>
        </w:numPr>
        <w:spacing w:after="60"/>
      </w:pPr>
      <w:r>
        <w:t xml:space="preserve">Si el bono de EE. UU. a 10 años baja del 4,5 %, el DCF superaría el precio y la recomendación pasaría a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5,9 % anual en FY2027-FY2035 y un margen EBITDA del 10,8 %: la continuidad del modelo, con el beneficio creciendo cerca del 9-10 % anual. Los analistas apuntan a 38,06 USD.</w:t>
      </w:r>
    </w:p>
    <w:p>
      <w:pPr>
        <w:keepNext/>
        <w:spacing w:after="100"/>
      </w:pPr>
      <w:r>
        <w:rPr>
          <w:b/>
          <w:bCs/>
        </w:rPr>
        <w:t xml:space="preserve">Lo que creemos nosotros.</w:t>
      </w:r>
    </w:p>
    <w:p>
      <w:pPr>
        <w:spacing w:after="100"/>
      </w:pPr>
      <w:r>
        <w:t xml:space="preserve">Coincidimos en el beneficio (nuestro BPA de FY2027 está un 2 % por debajo del consenso), pero con el bono de EE. UU. al 5,19 % ese crecimiento vale 30,18 USD, no 38. No tenemos una visión distinta del negocio: la diferencia es la tasa de descuento.</w:t>
      </w:r>
    </w:p>
    <w:p>
      <w:pPr>
        <w:keepNext/>
        <w:spacing w:after="100"/>
      </w:pPr>
      <w:r>
        <w:rPr>
          <w:b/>
          <w:bCs/>
        </w:rPr>
        <w:t xml:space="preserve">Por qué podemos tener razón.</w:t>
      </w:r>
    </w:p>
    <w:p>
      <w:pPr>
        <w:spacing w:after="100"/>
      </w:pPr>
      <w:r>
        <w:t xml:space="preserve">Si los tipos de EE. UU. bajan, el valor converge hacia el de la prima del mercado (32-34 USD) y la regla a 12 meses (+18 %) se cumpliría; si no, el múltiplo de 19,6 veces ya es justo. No hay un error del mercado que explotar.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1,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18,4 % frente a un WACC del 8,64 % y margen EBITDA que dobla al de Sodexo.</w:t>
      </w:r>
    </w:p>
    <w:p>
      <w:pPr>
        <w:pStyle w:val="ListParagraph"/>
        <w:numPr>
          <w:ilvl w:val="0"/>
          <w:numId w:val="2"/>
        </w:numPr>
        <w:spacing w:after="60"/>
      </w:pPr>
      <w:r>
        <w:rPr>
          <w:b/>
        </w:rPr>
        <w:t xml:space="preserve">Crecimiento visible</w:t>
      </w:r>
      <w:r>
        <w:t xml:space="preserve">: neto por contratos del 4-5 % cinco años seguidos y 4.300 M de contratos nuevos en 12 meses [7].</w:t>
      </w:r>
    </w:p>
    <w:p>
      <w:pPr>
        <w:pStyle w:val="ListParagraph"/>
        <w:numPr>
          <w:ilvl w:val="0"/>
          <w:numId w:val="2"/>
        </w:numPr>
        <w:spacing w:after="60"/>
      </w:pPr>
      <w:r>
        <w:rPr>
          <w:b/>
        </w:rPr>
        <w:t xml:space="preserve">Barata frente a su historia</w:t>
      </w:r>
      <w:r>
        <w:t xml:space="preserve">: 19,6 veces el BPA adelantado frente a una mediana de 23,5 veces; regla a 12 meses +18,3 %.</w:t>
      </w:r>
    </w:p>
    <w:p>
      <w:pPr>
        <w:pStyle w:val="ListParagraph"/>
        <w:numPr>
          <w:ilvl w:val="0"/>
          <w:numId w:val="2"/>
        </w:numPr>
        <w:spacing w:after="60"/>
      </w:pPr>
      <w:r>
        <w:rPr>
          <w:b/>
        </w:rPr>
        <w:t xml:space="preserve">Caja y balance</w:t>
      </w:r>
      <w:r>
        <w:t xml:space="preserve">: conversión del 88 % y rating A estable [1, 5].</w:t>
      </w:r>
    </w:p>
    <w:p>
      <w:pPr>
        <w:pStyle w:val="ListParagraph"/>
        <w:numPr>
          <w:ilvl w:val="0"/>
          <w:numId w:val="2"/>
        </w:numPr>
        <w:spacing w:after="60"/>
      </w:pPr>
      <w:r>
        <w:rPr>
          <w:b/>
        </w:rPr>
        <w:t xml:space="preserve">Exposición baja a la IA</w:t>
      </w:r>
      <w:r>
        <w:t xml:space="preserve">: menos del 2 % de las ventas según la empresa, y contratos en centros de datos [7, 19].</w:t>
      </w:r>
    </w:p>
    <w:p>
      <w:pPr>
        <w:pStyle w:val="Heading2"/>
      </w:pPr>
      <w:r>
        <w:t xml:space="preserve">En contra</w:t>
      </w:r>
    </w:p>
    <w:p>
      <w:pPr>
        <w:pStyle w:val="ListParagraph"/>
        <w:numPr>
          <w:ilvl w:val="0"/>
          <w:numId w:val="2"/>
        </w:numPr>
        <w:spacing w:after="60"/>
      </w:pPr>
      <w:r>
        <w:rPr>
          <w:b/>
        </w:rPr>
        <w:t xml:space="preserve">Sin margen de seguridad</w:t>
      </w:r>
      <w:r>
        <w:t xml:space="preserve">: valor intrínseco de 28,73 USD, un 8,3 % por debajo del precio.</w:t>
      </w:r>
    </w:p>
    <w:p>
      <w:pPr>
        <w:pStyle w:val="ListParagraph"/>
        <w:numPr>
          <w:ilvl w:val="0"/>
          <w:numId w:val="2"/>
        </w:numPr>
        <w:spacing w:after="60"/>
      </w:pPr>
      <w:r>
        <w:rPr>
          <w:b/>
        </w:rPr>
        <w:t xml:space="preserve">Asimetría mala</w:t>
      </w:r>
      <w:r>
        <w:t xml:space="preserve">: bajista −34,0 % frente a alcista +10,4 % (0,31 veces).</w:t>
      </w:r>
    </w:p>
    <w:p>
      <w:pPr>
        <w:pStyle w:val="ListParagraph"/>
        <w:numPr>
          <w:ilvl w:val="0"/>
          <w:numId w:val="2"/>
        </w:numPr>
        <w:spacing w:after="60"/>
      </w:pPr>
      <w:r>
        <w:rPr>
          <w:b/>
        </w:rPr>
        <w:t xml:space="preserve">Más deuda y compras caras</w:t>
      </w:r>
      <w:r>
        <w:t xml:space="preserve">: deuda de 1,7 veces el EBITDA y Vermaat a más de 20 veces el EBIT [5, 12].</w:t>
      </w:r>
    </w:p>
    <w:p>
      <w:pPr>
        <w:pStyle w:val="ListParagraph"/>
        <w:numPr>
          <w:ilvl w:val="0"/>
          <w:numId w:val="2"/>
        </w:numPr>
        <w:spacing w:after="60"/>
      </w:pPr>
      <w:r>
        <w:rPr>
          <w:b/>
        </w:rPr>
        <w:t xml:space="preserve">BPA subyacente generoso</w:t>
      </w:r>
      <w:r>
        <w:t xml:space="preserve">: un 17 % por encima del publicado por cargos de compras que se repiten [1].</w:t>
      </w:r>
    </w:p>
    <w:p>
      <w:pPr>
        <w:pStyle w:val="ListParagraph"/>
        <w:numPr>
          <w:ilvl w:val="0"/>
          <w:numId w:val="2"/>
        </w:numPr>
        <w:spacing w:after="60"/>
      </w:pPr>
      <w:r>
        <w:rPr>
          <w:b/>
        </w:rPr>
        <w:t xml:space="preserve">Tipos altos</w:t>
      </w:r>
      <w:r>
        <w:t xml:space="preserve">: con el bono de EE. UU. al 5,19 % un crecimiento del 6 % no da para más que el precio actual.</w:t>
      </w:r>
    </w:p>
    <w:p>
      <w:pPr>
        <w:pStyle w:val="Heading2"/>
      </w:pPr>
      <w:r>
        <w:t xml:space="preserve">Qué tiene que pasar para que la tesis funcione</w:t>
      </w:r>
    </w:p>
    <w:p>
      <w:pPr>
        <w:spacing w:after="100"/>
      </w:pPr>
      <w:r>
        <w:t xml:space="preserve">La tesis depende del neto por contratos: mientras se mantenga en el 4-5 % y la retención en el 96 %, el beneficio crece al 9-10 % anual y el múltiplo tiene apoyo. La señal de que no se cumple sería un neto por contratos por debajo del 4 % dos trimestres seguidos (en el 2T26 bajó de ese nivel por el temporal) o un volumen comparable negativo en empresas e industria, que delataría el efecto de la IA en oficinas.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Neto por contratos (altas − bajas)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(12 meses a junio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orgánico.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presión competitiva.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mejora interanual en un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supone +10 pb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veces (marzo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 veces en septiembre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Promesa de desapalancamiento tras Vermaat.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Volumen comparable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el efecto de la IA en oficinas y de los GLP-1.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 / 11,0x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26,4x / 19,2x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Nace en 1941 como Factory Canteens, comedores de fábrica en el Reino Unido; pasa por Grand Metropolitan y sale de él con una compra apalancada de la dirección en 1987, antes de cotizar en Londres en 1988 [17]. En los noventa compra en EE. UU. (Canteen, Eurest, Morrison, Levy) y en 2000-2001 se fusiona y se separa de Granada [17]. En 2006 vende la restauración de viaje (SSP y Moto) por 1.820 M GBP para centrarse en la colectiva [17]. Tras la pandemia, con una ampliación de capital en 2020, crece como nunca: retención por encima del 96 %, neto por contratos del 4-5 %, salida de países pequeños y compras en Europa [1]. Publica en USD desde FY2024 y cotiza en USD en Londres desde el 1-abr-2026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Fundada como Factory Canteens Limited (comedores de fábrica)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apalancada de la dirección a Grand Metropolitan; cotiza en Londres en 1988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Canteen Corporation en EE. UU., base de la región que hoy es el 68 % de las ventas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Granada y separación en 2001 en Compass y Granada Media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la restauración de viaje (SSP y Moto) por 1.820 M GBP; escándalo de contratos con la ONU (ESS)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ventas a mínimos (17.900 M GBP en FY2021, 77 % de las de 2019) y ampliación de capital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publicar en USD desde el ejercicio 2024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la cartera: sale de nueve países y compra en Europa (Dupont Restauration, 4Service)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Vermaat (1.500 M EUR) y Pro Care; cambia la cotización de Londres a USD (1-abr-2026) [5, 19].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Compass es el mayor grupo de restauración colectiva del mundo: gestiona comedores y cafeterías dentro de las instalaciones de sus clientes (oficinas y fábricas, hospitales y residencias, colegios y universidades, estadios y recintos, bases militares y explotaciones mineras o petroleras), y añade máquinas expendedoras, tiendas sin cajero y servicios de apoyo (limpieza, mantenimiento) [1]. Sirve más de 5.000 millones de comidas al año con más de 590.000 empleados en más de 25 países, tras salir de una decena de países no estratégicos en 2024-2025 [1, 7]. Trabaja con marcas propias por sector (Eurest, Levy, Morrison, Chartwells, Bon Appétit, Canteen, ESS) que comparten la escala de compras del grupo [1]. Norteamérica es el 68 % de las ventas; Internacional, ahora casi solo Europa, el 32 % [1].</w:t>
      </w:r>
    </w:p>
    <w:p>
      <w:pPr>
        <w:pStyle w:val="Heading2"/>
      </w:pPr>
      <w:r>
        <w:t xml:space="preserve">Cómo gana dinero</w:t>
      </w:r>
    </w:p>
    <w:p>
      <w:pPr>
        <w:spacing w:after="100"/>
      </w:pPr>
      <w:r>
        <w:t xml:space="preserve">Cobra al cliente por cada contrato, de tres a cinco años, con tres fórmulas: a coste más honorario, con subvención del cliente o a riesgo (vende al comensal) [1]. Casi todo el ingreso es recurrente: la retención supera el 96 % [1]. El margen operativo subyacente (7,2 % en FY2025) depende de cuatro cosas: el coste de la comida (27 % de las ventas: 12.434 M), el de la plantilla (47 %: 21.787 M) [1], la capacidad de repercutir la inflación (dos tercios de los contratos con precios dinámicos [18]) y la escala de compras, que es la ventaja frente a rivales más pequeños. El crecimiento es neto por contratos (4-5 %), precio (1,5-3 %) y volumen (0,5-1 %) [11]. Necesita poco capital: capex del 3,3-3,7 % de las ventas y circulante negativo. Estacionalidad suave (educación y deportes).</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Actividades centrales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Actividades centrales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cartera está muy repartida: el primer cliente es el 2 % de las ventas subyacentes y los diez primeros el 9 % [8]. Los contratos duran de tres a cinco años [1] y la retención supera el 96 % desde hace años (96,3 % en FY2025, 97 % en Norteamérica) [1]. El poder de precios se ve en la inflación de 2022-2024: el precio aportó ≈ 4 % del crecimiento orgánico en FY2024 y ≈ 3 % en FY2025, y el margen subyacente siguió subiendo (6,2 % en 2022, 6,8 % en 2023, 7,1 % en 2024, 7,2 % en 2025) [1, 2, 3]. Por sectores, FY2025: empresas e industria 38,9 % (17.946 M), sanidad y residencias 23,3 %, educación 18,1 %, deportes y ocio 14,1 % y defensa, plataformas y zonas remotas 5,6 %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(FY2025); 7,2 % en 9M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 3 % y volumen comparable ≈ 1 % en FY2025; en el 1S26 precio 2,7 % y volumen 0,7 % [1,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neto por nuevos contratos (altas − bajas)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Cuarto año seguido en el rango objetivo del 4-5 %; antes de la pandemia, ≈ 3 %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96,3 % (FY2025); 96 % en el 1S26 y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Norteamérica 97 %, Internacional 95 % [1,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contratos ganados (ventas anuales,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3.400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 M (FY2025); 4.300 M a junio de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y +16 %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 primera externalización (clientes que antes cocinaban ellos mismos)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(FY2025); 7,4 %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aspira a +10-20 pb al año [1, 5,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 (beneficio operativo neto de impuestos / capital empleado medio)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empleado con el fondo de comercio de las compras; baja por las compras europeas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Restauración colectiva externalizada (catering de contrato): comida y servicios de apoyo prestados por un tercero dentro de las instalaciones del cliente, en empresas, sanidad, educación, deportes y ocio y zonas remotas o de defensa. Fuera: restauración comercial, catering aéreo y restauración de viaje (aeropuertos y autopistas). Ámbito mundial. Las consultoras miden solo lo ya externalizado (≈ 281.000 M USD en 2025 [14, 15]); Compass usa un mercado direccionable de ≈ 360.000 M que incluye las actividades que ha añadido con compras y parte de lo que todavía gestionan los propios clientes [1, 7]. Usamos la cifra de Compass para la cuota, porque es el perímetro de sus ventas, y las consultoras para el crecimiento.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281.000 M USD en 2025 de mercado externalizado (IMARC 280.600 M [14]; Ken Research 281.000 M [15]); ≈ 360.000 M de mercado direccionable para Compass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mercado externalizado, Ken Research))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Primera externalización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 los nuevos contratos de Compass en los últimos 12 meses (4.300 M) viene de clientes que antes cocinaban ellos mismos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alimentos y salarios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los ingresos nominales (precio ≈ 3 % en FY2025) y presiona el margen con retraso; dos tercios de los contratos tienen precios dinámicos [1,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Ocupación de oficinas y empleo de oficina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Teletrabajo e IA reducen comensales en oficinas; Compass dice que menos del 2 % de sus ventas está expuesto a despidos por IA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gasto sanitario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Sanidad y residencias es el 23 % de las ventas de Compass y seis de sus veinte mayores contratos de 2026 en Norteamérica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defensa, energía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Empresas e industria, con los centros de datos de IA, crece a doble dígito y aporta más de 2.000 M de nuevos contratos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Fármacos para adelgazar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comida por comensal; sin efecto visible en el volumen comparable (0,7-1 % al año)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(Compass, Sodexo, Aramark) compiten en concursos con muchos locales; pero la retención del 96 % y el margen estable de Compass (7,2 %) frente a Sodexo (≈ 4,8 % EBITDA) muestran rivalidad contenida para el líder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clientes licitan cada 3-5 años; el primero es solo el 2 % de las ventas de Compass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de alimentos fragmentados; la escala de compras es la ventaja del líder. La mano de obra sí tiene poder (salarios mínimos)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en pequeño es fácil, pero los contratos grandes exigen escala, cumplimiento sanitario y capital para equipar cocinas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cliente puede volver a cocinar él mismo, cerrar el comedor o dar vales y comida a domicilio; el teletrabajo reduce comensales [19].</w:t>
            </w:r>
          </w:p>
        </w:tc>
      </w:tr>
    </w:tbl>
    <w:p>
      <w:pPr>
        <w:spacing w:after="160" w:before="0"/>
      </w:pPr>
    </w:p>
    <w:p>
      <w:pPr>
        <w:pStyle w:val="Heading2"/>
      </w:pPr>
      <w:r>
        <w:t xml:space="preserve">Ciclo</w:t>
      </w:r>
    </w:p>
    <w:p>
      <w:pPr>
        <w:spacing w:after="100"/>
      </w:pPr>
      <w:r>
        <w:t xml:space="preserve">El volumen comparable crece 0,5-1 % y la primera externalización sostiene el neto por contratos en el 4-5 % [11]. El sector es defensivo salvo con cierres físicos: en la pandemia las ventas de Compass cayeron de 25.200 M GBP (FY2019) a 17.900 M en FY2021 y el margen al 4,5 % [4]; en 2008-09 bajó el volumen en empresas pero no la retención; en 2022 la inflación subió precios y la recuperación aceleró el crecimiento orgánico al 19 % en FY2023 [1].</w:t>
      </w:r>
    </w:p>
    <w:p>
      <w:pPr>
        <w:pStyle w:val="Heading2"/>
      </w:pPr>
      <w:r>
        <w:t xml:space="preserve">Regulación</w:t>
      </w:r>
    </w:p>
    <w:p>
      <w:pPr>
        <w:spacing w:after="100"/>
      </w:pPr>
      <w:r>
        <w:t xml:space="preserve">Seguridad alimentaria y alérgenos, salario mínimo y cotizaciones (subida de la cotización social británica de abril de 2025), normas de contratación pública en sanidad, educación y defensa, y requisitos de residuos y emisiones (Compass se ha comprometido con cero emisiones netas en 2050) [8]. En EE. UU., la nutrición escolar depende de las normas federales de comedores. No hay cambios en tramitación con fecha que muevan las cifras.</w:t>
      </w:r>
    </w:p>
    <w:p>
      <w:pPr>
        <w:pStyle w:val="Heading2"/>
      </w:pPr>
      <w:r>
        <w:t xml:space="preserve">Tendencias y disrupción</w:t>
      </w:r>
    </w:p>
    <w:p>
      <w:pPr>
        <w:spacing w:after="100"/>
      </w:pPr>
      <w:r>
        <w:t xml:space="preserve">Tres cambios a favor del líder: la externalización sigue creciendo (la mitad de los contratos nuevos), los clientes piden servicios integrados por sector y la tecnología (pago sin cajero, tiendas automáticas, datos de consumo) premia la escala [1, 7]. En contra: menos comensales en oficinas (teletrabajo, despidos por IA) y menos comida por persona con los GLP-1 [19]. Compass gana cuota frente a Sodexo, que crece un 1 % en 2026, y a Elior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restauración colectiva: 46.100 M USD de ventas frente a ≈ 360.000 M de mercado direccionable (≈ 16 % del mercado ya externalizado de 281.000 M) [1,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Sodexo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2; crecimiento orgánico ≈ 1-3 % en 2026 y relanzamiento en Norteamérica; más servicios de instalaciones. Ventas de 23.616 M EUR (12 meses)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Aramark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3, centrado en EE. UU. (educación, deportes, prisiones); orgánico ≈ 8-9 % previsto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Elior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ELIOR.PA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y EE. UU.; muy endeudada (DN/EBITDA ≈ 5,8 veces) y crecimiento plano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ISS.CO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instalaciones integrados con restauración; compite en contratos de oficinas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 &amp; 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DOC.VI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Catering aéreo y de eventos de gama alta; compite con Levy en grandes eventos deportivos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Restauración propia de los clientes y operadores locales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Mundial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mitad del mercado europeo direccionable sigue sin externalizar según la empresa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 un comedor no crece con el número de clientes.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del 96 % y contratos de 3-5 años con cocinas equipadas por el operador; cambiar exige un concurso y una transición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por sector conocidas por los compradores (Levy, Chartwells, Morrison), no por el comensal.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el margen subyacente de Compass (7,2 %) casi dobla el de Sodexo y Aramark en EBIT, con el mismo cliente tipo [3,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Densidad regional y equipos de licitación; pero el mercado es fragmentado y los contratos pequeños los gana cualquiera.</w:t>
            </w:r>
          </w:p>
        </w:tc>
      </w:tr>
    </w:tbl>
    <w:p>
      <w:pPr>
        <w:spacing w:after="160" w:before="0"/>
      </w:pPr>
    </w:p>
    <w:p>
      <w:pPr>
        <w:pStyle w:val="Heading2"/>
      </w:pPr>
      <w:r>
        <w:t xml:space="preserve">Amenazas</w:t>
      </w:r>
    </w:p>
    <w:p>
      <w:pPr>
        <w:spacing w:after="100"/>
      </w:pPr>
      <w:r>
        <w:t xml:space="preserve">El foso es de escala y ejecución, no estructural: un error de servicio en grandes contratos o una guerra de precios de Sodexo y Aramark para recuperar cuota en Norteamérica (Sodexo ha dicho que quiere crecer allí desde 2027 [18]) bajaría el neto por contratos. Probabilidad media. A más largo plazo, menos comensales en oficinas por el teletrabajo y la IA, y menos comida por persona con los GLP-1; la empresa estima menos del 2 % de las ventas expuesto a despidos por IA [19]. La integración de compras grandes en Europa (Vermaat) es un riesgo de ejecución, no del foso.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FY2021-FY2025: ingresos </w:t>
      </w:r>
      <w:r>
        <w:rPr>
          <w:b/>
          <w:bCs/>
        </w:rPr>
        <w:t xml:space="preserve">17,1 %</w:t>
      </w:r>
      <w:r>
        <w:t xml:space="preserve">, EBITDA </w:t>
      </w:r>
      <w:r>
        <w:rPr>
          <w:b/>
          <w:bCs/>
        </w:rPr>
        <w:t xml:space="preserve">21,5 %</w:t>
      </w:r>
      <w:r>
        <w:t xml:space="preserve">, BPA </w:t>
      </w:r>
      <w:r>
        <w:rPr>
          <w:b/>
          <w:bCs/>
        </w:rPr>
        <w:t xml:space="preserve">41,6 %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24.522 M USD en FY2021 (todavía con la pandemia) a 46.070 M en FY2025. Desde FY2023 crecen a doble dígito con un orgánico del 18,8 % (FY2023), 10,6 % (FY2024) y 8,7 % (FY2025) [1, 2, 3]; las compras netas de ventas aportan poco hasta FY2026 (Vermaat, ≈ 700 M EUR de ventas [12]). El margen operativo subyacente sube 10-60 pb al año: 4,5 % en FY2021, 6,2 % en 2022, 6,8 % en 2023, 7,1 % en 2024, 7,2 % en 2025 y 7,4 % en el 1S26 [1, 3, 4, 5], por apalancamiento de gastos generales y escala de compras. El margen publicado es menor (6,4 % en FY2025) porque resta la amortización de intangibles comprados y los costes de compras y salidas de países. FY2021 y FY2022 se publicaron en GBP y aquí van en USD al cambio medio del ejercicio (1,3693 y 1,2808); FY2023 es la reexpresión en USD de la propia empresa [2, 10]. FY2021 no es comparable (pandemia).</w:t>
      </w:r>
    </w:p>
    <w:p>
      <w:pPr>
        <w:pStyle w:val="Heading2"/>
      </w:pPr>
      <w:r>
        <w:t xml:space="preserve">Ajustes y partidas no recurrentes</w:t>
      </w:r>
    </w:p>
    <w:p>
      <w:pPr>
        <w:spacing w:after="100"/>
      </w:pPr>
      <w:r>
        <w:t xml:space="preserve">Usamos la cuenta publicada y, para el EBITDA, el subyacente de la empresa: el motor devuelve al EBITDA la diferencia entre el beneficio operativo subyacente y el publicado (371 M en FY2025: 357 M de cargos de compras, de ellos 226 M de amortización de intangibles comprados, 88 M de costes de transacción, 27 M de contraprestaciones contingentes, y 14 M de la revisión de la cartera y la compra de seguro de pensiones) [1]. En FY2024 la diferencia fue de 414 M, con 170 M de la salida de cinco países y un deterioro de 156 M [2]. Los cargos de compras se repiten cada año porque la empresa compra cada año: el BPA subyacente (131,9 centavos en FY2025) va un 20 % por encima del publicado (110,1). Debajo del beneficio operativo, la pérdida por venta y cierre de negocios (31 M en FY2025, 203 M en FY2024) va en el resultado financiero de la tabla.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Compass publica semestres y dos avances de ventas (1T y 3T). En el 1S26 (11-may-2026) superó lo esperado: ventas de 24.983 M frente a 24.860 M y beneficio operativo subyacente de 1.839 M frente a 1.820 M del consenso [5, 13], y subió la guía de crecimiento del beneficio operativo de 2026 de «en torno al 10 %» a «más del 11 %» [5]. Los analistas preguntaron sobre todo por tres cosas: por qué el crecimiento neto por contratos bajó de 4 % en el 2T (la dirección lo achacó al temporal, que retrasó aperturas, y aseguró cerrar el año en el 4-5 %), si la inflación de alimentos y energía por la guerra de Irán se trasladará a precios (precio del 2,7 % y «sin estar atados a menús») y si habrá recompras: el director financiero lo dejó para noviembre, «según la cartera de compras» [11]. También preguntaron por los centros de datos de IA: la empresa dice que da servicio a los grandes operadores en construcción y explotación [11]. En el 3T (21-jul-2026) el orgánico fue del 7,1 %, el neto por contratos volvió al 4-5 % y la retención siguió en el 96 %; reiteró la guía y avisó de que el capex de 2026 quedará algo por encima del 3,5 % de las ventas [7]. No dio cifra de recompra ni de margen del 2S.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(FY2026: Vermaat (Países Bajos), consolidada desde el 15-dic-2025 (1.624 M USD con la deuda que se canceló) y Pro Care Management (Alemania) desde el 27-feb-2026 (270 M): entran en el balance de marzo de 2026 y solo en parte en la cuenta del 1S26 [5].; FY2025: Dupont Restauration (Francia) y 4Service (Noruega), 701 M; salida de Chile, Colombia, México y Kazajistán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de la empresa (con arrendamientos y derivados) pasó de 5.391 M en septiembre de 2024 a 6.418 M en septiembre de 2025 y a 8.600 M en marzo de 2026, por Vermaat (1.624 M) y Pro Care (270 M) [1, 5]: 1,7 veces el EBITDA subyacente, por encima del objetivo de 1-1,5 veces, que la dirección quiere recuperar «con el tiempo» [5]. En enero de 2026 colocó 1.500 M EUR en bonos a 2029 y 2035 [5]. El circulante comercial es negativo (−3,2 % de las ventas en FY2025: clientes y existencias 7.170 M frente a 8.639 M de proveedores), lo que financia parte del crecimiento; en FY2025 salió 40 M de circulante y en el 1S26, por estacionalidad, 381 M [1, 5]. FY2021-FY2022 pasados de GBP a USD al cambio de cierre (1,3470 y 1,1169) [10]. El calendario de vencimientos es el de la nota 19 a 30-sep-2025 (5.426 M de deuda bruta, por ejercicio de octubre a septiembre; en FY2026 entran 639 M de pagarés que vencieron en octubre) [8]: no incluye los 1.500 M EUR de bonos de enero de 2026 a 2029 y 2035.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FY2021-FY2025: FCF </w:t>
      </w:r>
      <w:r>
        <w:rPr>
          <w:b/>
          <w:bCs/>
        </w:rPr>
        <w:t xml:space="preserve">5.983</w:t>
      </w:r>
      <w:r>
        <w:t xml:space="preserve">, conversión </w:t>
      </w:r>
      <w:r>
        <w:rPr>
          <w:b/>
          <w:bCs/>
        </w:rPr>
        <w:t xml:space="preserve">88 %</w:t>
      </w:r>
      <w:r>
        <w:t xml:space="preserve"> del beneficio neto; adquisiciones 2.976, dividendos 3.341, recompras 2.380.</w:t>
      </w:r>
    </w:p>
    <w:p>
      <w:pPr>
        <w:spacing w:after="100"/>
      </w:pPr>
      <w:r>
        <w:t xml:space="preserve">La conversión es buena y estable: flujo libre subyacente de 1.975 M en FY2025 (88 % del beneficio subyacente después de impuestos e intereses) y 1.740 M en FY2024 [1, 2]. El capex de la tabla (1.384 M en FY2025) suma inmovilizado, intangibles y «activos de cumplimiento de contratos» (equipamiento de cocinas en el local del cliente que se amortiza durante el contrato); con las inversiones en anticipos a clientes (197 M, dentro del flujo operativo) la empresa da 1.514 M, el 3,3 % de las ventas (3,7 % en FY2024) [1]. No separa el capex de mantenimiento; estimación propia: el de mantenimiento se parece a la amortización subyacente de inmovilizado y contratos (≈ 2,8 % de las ventas) y el resto (≈ 0,5-0,9 %) financia contratos nuevos. Usos de la caja en FY2021-FY2025: dividendos ≈ 3.400 M, recompras ≈ 2.400 M y compras ≈ 2.840 M; en FY2026 las compras subieron a 2.400 M en nueve meses [1,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fiables: KPMG firma sin salvedades y audita desde FY2014; el último concurso de auditoría fue en 2023 [8]. Lo que hay que vigilar es la distancia entre lo publicado y lo «subyacente»: cada año se excluyen la amortización de intangibles comprados (226 M en FY2025), costes de transacción e integración (88 M) y ajustes de contingentes (27 M), y en FY2024 también 373 M de salidas de países [1, 2]. Como la empresa compra todos los años, esos cargos se repiten: el BPA publicado (110,1 centavos) es un 17 % menor que el subyacente (131,9) [1]; lo decimos al usar el subyacente en la regla a 12 meses. Se capitalizan los equipos instalados en cocinas de clientes y los anticipos a clientes (689 M en FY2025) y se amortizan durante el contrato: práctica del sector. Los pagos en acciones son pequeños (82 M, 0,2 % de las ventas) [1]. Indicadores del motor: Altman Z de 3,81 (zona segura), Piotroski F de 5 (sube la deuda y baja la rotación por las compras) y Beneish M de −2,63 (sin señal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Cargos «no subyacentes»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de compras de 244 M en FY2024 y 370 M en FY2025 (amortización de intangibles comprados, costes de transacción, contingentes) más 373 M de salidas de países en FY2024 [1, 2]: el BPA subyacente supera al publicado en un 20-45 %.</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de cumplimiento de contratos y anticipos a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capitalizan inversiones en el local del cliente (492 M de compras y 197 M de anticipos en FY2025) y se amortizan durante el contrato [1]: práctica del sector, pero sube el EBITDA frente a quien las lleva a gasto.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4.550 M GBP en 2021 a 7.687 M USD en 2025 y más con Vermaat; sin deterioros relevantes salvo los 156 M de 2024 ligados a salidas de países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7.687 M en FY2025 (el 55 % del capital invertido medio); ha subido más de un 5 % en 3 de 4 años: comprador en serie. ROIC publicado 18,4 %; sin fondo de comercio, 41,2 %.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52,4 % · </w:t>
      </w:r>
      <w:r>
        <w:rPr>
          <w:b/>
          <w:bCs/>
        </w:rPr>
        <w:t xml:space="preserve">WACC</w:t>
      </w:r>
      <w:r>
        <w:t xml:space="preserve">: 8,6 %.</w:t>
      </w:r>
    </w:p>
    <w:p>
      <w:pPr>
        <w:spacing w:after="100"/>
      </w:pPr>
      <w:r>
        <w:t xml:space="preserve">Compass crea valor con holgura: ROIC del 18,4 % en FY2025 frente a un WACC del 8,64 %, 9,8 puntos de diferencia, y por encima del 15 % desde FY2022 (8,4 % en FY2021, con la pandemia). Lo mueve la rotación del capital (1,8 veces las ventas sobre el capital invertido) más que el margen (7,2 % operativo subyacente): el circulante es negativo y el capex bajo. El fondo de comercio es el 55 % del capital invertido: sin él el ROIC sería del 41,2 %, pero en un comprador en serie como Compass el publicado es el que cuenta, porque las compras son parte del modelo. El ROIC incremental de FY2021-FY2025 (52,4 %) está inflado por la salida de la pandemia; el ROCE que publica la empresa bajó del 19,0 % al 18,2 % en FY2025 por las compras europeas [1]. Frente a los competidores, Compass gana más con el mismo cliente: margen EBITDA del 10,3 % frente al 4,8 % de Sodexo y el 7,3 % de Aramark [16].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8.608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8.718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31-mar-2026: línea de crédito comprometida de 3.200 M hasta febrero de 2031 sin disponer y 400 M de caja neta de descubiertos (3.600 M de liquidez); 1.100 M de pagarés respaldados por la línea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 A-1 (estable); Moody’s A2 / P-1 (estable)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superávit contable de 305 M en el plan británico (98 % asegurado) y déficit de 1.420 M en el resto, cubierto con 1.305 M de inversiones (fondo «Rabbi Trust» de EE. UU. y planes no financiados): déficit neto de 115 M a 31-mar-2026 [5]. Covenants de la colocación privada en EE. UU. (300 M que vencen en diciembre de 2026): deuda neta ≤ 3,5 veces el EBITDA (1,6 a marzo) y cobertura de intereses ≥ 3 veces (17,7) [5]. Pagos aplazados y contingentes de compras: 276 M pagados en FY2025 [1]. Provisiones de 779 M (seguros, litigios, reestructuración) [5]. Los proveedores y otras cuentas a pagar (8.857 M) superan a los clientes (6.739 M): el circulante es negativo, como en todo el sector.</w:t>
      </w:r>
    </w:p>
    <w:p>
      <w:pPr>
        <w:pStyle w:val="Heading1"/>
      </w:pPr>
      <w:r>
        <w:t xml:space="preserve">12. Asignación de capital</w:t>
      </w:r>
    </w:p>
    <w:p>
      <w:pPr>
        <w:pStyle w:val="Confianza"/>
        <w:spacing w:after="100"/>
      </w:pPr>
      <w:r>
        <w:t xml:space="preserve">Confianza: Media</w:t>
      </w:r>
    </w:p>
    <w:p>
      <w:pPr>
        <w:spacing w:after="100"/>
      </w:pPr>
      <w:r>
        <w:t xml:space="preserve">Prioridades declaradas, por orden: invertir en el negocio (capex y compras), mantener un rating sólido con deuda neta de 1-1,5 veces el EBITDA, pagar un dividendo ordinario del 50 % del BPA subyacente y devolver el sobrante [1]. Dividendo de 65,9 centavos por FY2025 (+10,2 %) y a cuenta de 25,5 centavos en el 1S26 (+13 %) [1, 5]. Recompras: 1.148 M en FY2023, 577 M en FY2024 y 115 M en FY2025 (cierre del programa de 500 M); ninguna en FY2026, que se ha dedicado a compras en Europa. La decisión sobre devolver caja se anunciará con los resultados de noviembre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Vermaat (Países Bajos, restauración de empresa premium)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Pagarés y luego bonos de 1.500 M EUR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«progresando bien»; acrecitiva en margen y BPA en el primer año completo según la empresa [5,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 Care Management (central de compras de alimentación,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pronto para juzgar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Dupont Restauration (Francia) y 4Service (Noruega)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sube el margen 20 pb en FY2025; las compras «ya contribuyen al beneficio»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en EE. UU. (Canteen, máquinas expendedoras) y Hofmann Menü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ROCE del grupo del 19,0 % en FY2024 y 18,2 % en FY2025, con el fondo de comercio incluido [1].</w:t>
            </w:r>
          </w:p>
        </w:tc>
      </w:tr>
    </w:tbl>
    <w:p>
      <w:pPr>
        <w:spacing w:after="160" w:before="0"/>
      </w:pPr>
    </w:p>
    <w:p>
      <w:pPr>
        <w:spacing w:after="100"/>
      </w:pPr>
      <w:r>
        <w:t xml:space="preserve">Buena asignación de capital, ahora más inclinada a comprar. En FY2021-FY2025 generó 5.983 M de flujo libre y repartió 3.341 M en dividendos y 2.380 M en recompras, y gastó 2.976 M en compras: devolvió más de lo que generó, con la deuda neta por debajo de 1,4 veces el EBITDA [1]. En FY2026 cambió el orden: 2.400 M en compras en nueve meses (Vermaat y Pro Care), ninguna recompra y deuda de 1,7 veces [5, 7]. La dirección dice que las compras europeas rinden como las de Norteamérica, pero el ROCE bajó del 19,0 % al 18,2 % y Vermaat se pagó a más de 2 veces ventas [1, 12]. La dilución es nula: las acciones bajaron de 1.785 M en FY2021 a 1.699 M en FY2025. El dividendo (50 % del BPA subyacente) crece con el beneficio.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Dominic Blakemore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(Group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Compass desde 2012 como director financiero, luego director de operaciones de Europa y consejero delegado adjunto; antes en Iglo, Cadbury y PwC [8]. En su mandato el margen subyacente pasó del 7,0 % prepandemia a 7,2 % y la retención al 96 %, con un neto por contratos del 4-5 % cinco años seguidos [1]. Tiene 518.239 acciones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Petros Parras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(Group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Europa y Oriente Medio en 2020-2023; antes en Procter &amp; Gamble, Reckitt y Coty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Palmer Brown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de Norteamérica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2001; director financiero del grupo en 2021-2023; lleva la región que da el 77 % del beneficio de las regiones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Meakins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consejero delegado de Wolseley (Ferguson), Travelex y Alliance Unichem; preside también Unilever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Anne-Françoise Nesmes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 coordinadora y presidenta de auditoría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directora financiera de Smith+Nephew, Merlin y Dechra [8].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20-25 % y margen subyacente por encima del 6 %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subyacente del 6,2 % y beneficio operativo subyacente de 1.590 M GBP (+96 % frente a 811 M)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beneficio operativo subyacente «hacia el 13 %» con orgánico alto de un dígito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+16,4 % a tipos constantes y orgánico del 10,6 %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del beneficio operativo subyacente alto de un dígito y orgánico por encima del 7,5 %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+11,7 % y orgánico del 8,7 %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El consejero delegado lleva ocho años en el cargo y catorce en la empresa, y ha cumplido o batido la guía anual en cada uno de los últimos cinco años [1, 2, 3, 4]; en 2026 la subió en mayo y la reiteró en julio [5]. El director financiero es de la casa (2020) y sucedió en 2023 a Palmer Brown, que pasó a dirigir Norteamérica: hay banquillo interno [8]. Riesgo: la retribución subió mucho en 2025 (cifra total de 10,5 M GBP) y el consejero delegado tiene una participación pequeña (0,03 %), aunque cumple la exigencia de mantener cinco veces su salario en acciones [8, 20].</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Meakins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Dominic Blakemore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Petros Parras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Palmer Brown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de Norteamérica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Anne-Françoise Nesmes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Nombramientos, Remuneración, 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Liat Ben-Zur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(representa a la plantilla)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Remuneración, 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 Bomhard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desde el 30-sep-2025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Bryant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Auditoría, Nombramientos, 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Juliana Chugg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Remuneración, 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Arlene Isaacs-Lowe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corporativa (presidenta), Auditoría, Nombramientos,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Sundar Raman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Remuneración, 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Leanne Wood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 Remuneración, Responsabilidad corporativa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DTR 5 vigente a la fecha del informe anual 2025 [8]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Idem [8]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Artisan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Idem [8]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Idem [8]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Massachusetts Financial Services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Idem [8]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Cifra total del consejero delegado en FY2025: 10,51 M GBP (13,76 M USD al cambio del propio informe), con 1,45 M fijos, 3,33 M de bonus (95 % del máximo) y 5,74 M del plan a largo plazo 2022-2023 (93,7 % consolidado) [8]. El bonus pesa un 60 % el crecimiento del beneficio (objetivo 6,5 %, logrado 10,1 %), un 25 % la conversión en caja y un 15 % seguridad, higiene alimentaria y desperdicio; el plan a largo plazo mide ROCE, flujo libre ajustado y rentabilidad relativa para el accionista [8]. La política de 2025 subió el salario un 20,8 % y los máximos al 250 % (bonus) y 500 % (largo plazo) del salario [20]. Ratio frente al empleado británico mediano: 364 veces [8]. Hay cláusulas de recuperación y dos años de tenencia tras la salida [8]. Premia rentabilidad y caja, no crecimiento a cualquier precio, pero el nivel es alto.</w:t>
      </w:r>
    </w:p>
    <w:p>
      <w:pPr>
        <w:pStyle w:val="Heading2"/>
      </w:pPr>
      <w:r>
        <w:t xml:space="preserve">Operaciones vinculadas, estructura de control y defensas</w:t>
      </w:r>
    </w:p>
    <w:p>
      <w:pPr>
        <w:spacing w:after="100"/>
      </w:pPr>
      <w:r>
        <w:t xml:space="preserve">Capital disperso: ningún accionista controla (el mayor, BlackRock, con el 9,99 %) [8]. Una acción, un voto; sin clases ni blindajes. Presidente no ejecutivo independiente al nombramiento, consejera coordinadora y mayoría de independientes (8 de 12) [8]. No hay operaciones vinculadas relevantes [8]. La cotización en USD desde abril de 2026 puede atraer inversores de EE. UU.; la empresa no ha anunciado intención de mover la cotización principal.</w:t>
      </w:r>
    </w:p>
    <w:p>
      <w:pPr>
        <w:pStyle w:val="Heading2"/>
      </w:pPr>
      <w:r>
        <w:t xml:space="preserve">Señales de alerta</w:t>
      </w:r>
    </w:p>
    <w:p>
      <w:pPr>
        <w:pStyle w:val="ListParagraph"/>
        <w:numPr>
          <w:ilvl w:val="0"/>
          <w:numId w:val="2"/>
        </w:numPr>
        <w:spacing w:after="60"/>
      </w:pPr>
      <w:r>
        <w:t xml:space="preserve">Subida del 21 % del salario del consejero delegado en 2025 y máximos de incentivos al 250 % y 500 % del salario: votada a favor por el 97,5 % en 2025 [8, 20].</w:t>
      </w:r>
    </w:p>
    <w:p>
      <w:pPr>
        <w:pStyle w:val="ListParagraph"/>
        <w:numPr>
          <w:ilvl w:val="0"/>
          <w:numId w:val="2"/>
        </w:numPr>
        <w:spacing w:after="60"/>
      </w:pPr>
      <w:r>
        <w:t xml:space="preserve">Índice de incidentes de seguridad alimentaria por encima del límite en FY2025 (0,17 frente a 0,14) [8].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FY2026 (cerrado el 30-sep-2026, se publica el 24-nov): crecimiento del beneficio operativo subyacente «por encima del 11 %» a tipos constantes (subido en mayo desde «en torno al 10 %»), con orgánico de ≈ 7 %, ≈ 2 % de compras y mejora del margen; costes financieros de ≈ 350 M y tipo impositivo subyacente del 25,5 %; deuda neta por encima de 1,5 veces el EBITDA en 2026. Reiterada el 21-jul-2026 [7]. A largo plazo: orgánico medio-alto de un dígito, mejora del margen y beneficio creciendo más que las ventas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(ventas, EBITDA y EBIT subyacentes) [23]; BPA subyacente de Yahoo, 18 analistas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 Yahoo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54.388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31,00 – 42,50</w:t>
            </w:r>
          </w:p>
        </w:tc>
      </w:tr>
    </w:tbl>
    <w:p>
      <w:pPr>
        <w:spacing w:after="160" w:before="0"/>
      </w:pPr>
    </w:p>
    <w:p>
      <w:pPr>
        <w:pStyle w:val="Heading2"/>
      </w:pPr>
      <w:r>
        <w:t xml:space="preserve">Revisiones de estimaciones</w:t>
      </w:r>
    </w:p>
    <w:p>
      <w:pPr>
        <w:spacing w:after="100"/>
      </w:pPr>
      <w:r>
        <w:t xml:space="preserve">El BPA subyacente de consenso de FY2027 apenas ha cambiado en 3 meses (1,639 hace 90 días y 1,634 hoy) y el de FY2026 tampoco (1,483 → 1,484) [24]. El BPA de MarketScreener es el publicado (1,33 para FY2026 y 1,52 para FY2027), no el subyacente: no se mezclan [23]. El objetivo medio es de 38,06 USD en las dos fuentes (20 analistas en MarketScreener, 19 en Yahoo), con 15 compras y 5 mantener [23, 24].</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Serie en USD del ADR (1:1), comparada con el MSCI World y el sector de consumo discrecional de EE. UU. [21]. La acción subió un 23 % en 2023 y en 2024 y se paró en 2025 (−3 %) y en 2026 (0 % en el año), mientras el índice mundial ganaba más del 12 % [21]. Las dos caídas fuertes de 2026 fueron el 5-feb (hasta −8 % en la sesión por el miedo a despidos por IA en oficinas) y el 21-jul (−3 % pese a cumplir) [19]; el mínimo de 52 semanas fue 26,95 USD en abril [21]. Beta mensual de 5 años de 0,76 frente al MSCI World (ajustada 0,84); la semanal de 2 años es 0,33 [21].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Cierres de septiembre del ADR en USD [21] frente al BPA publicado: hoy cotiza a 12,4 veces el EBITDA de los últimos 12 meses y a 26,4 veces el BPA publicado, un 8 % por debajo de su media de cuatro años en los dos múltiplos. Con el BPA subyacente adelantado, que es la base de la regla a 12 meses, la acción cotiza a 19,6 veces frente a una mediana de 23,5 veces en FY2021-FY2025 y una media de 22,0 veces en los siete años válidos desde FY2017 [1, 2, 3, 4, 26]. FY2021 se excluye (BPA de la pandemia). No ha cambiado nada estructural en el negocio, que crece más que antes de 2020 (neto por contratos del 4-5 % frente al 3 %); lo que ha cambiado es el bono de EE. UU., al 5,19 % [29], que pesa en todos los múltiplos.</w:t>
      </w:r>
    </w:p>
    <w:p>
      <w:pPr>
        <w:pStyle w:val="Heading1"/>
      </w:pPr>
      <w:r>
        <w:t xml:space="preserve">18. Comparables cotizados</w:t>
      </w:r>
    </w:p>
    <w:p>
      <w:pPr>
        <w:pStyle w:val="Confianza"/>
        <w:spacing w:after="100"/>
      </w:pPr>
      <w:r>
        <w:t xml:space="preserve">Confianza: Media</w:t>
      </w:r>
    </w:p>
    <w:p>
      <w:pPr>
        <w:spacing w:after="100"/>
      </w:pPr>
      <w:r>
        <w:t xml:space="preserve">Restauración colectiva cotizada (Sodexo, Aramark, Elior), servicios de instalaciones con restauración (ISS) y restauración de viaje y catering de eventos (SSP, Avolta, DO &amp; CO), los que usa el mercado para el sector. Datos de Yahoo Finance del 14-15 de octubre, pasados a USD con los tipos del BCE [16, 25]. Fuera: Pluxee (vales, escindida de Sodexo) y las empresas no cotizadas. Ninguno tiene la escala ni el margen de Compass: es el líder y los comparables sirven de suelo, no de referencia de múltiplo.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Sodexo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Aramark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Elior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SSP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Avolta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10,8x / 12,1x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12,7x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 / 0,9x / 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Compass cotiza a 19,2 veces el BPA de los próximos 12 meses y a 12,4 veces el EBITDA de 12 meses, frente a una mediana de comparables de 12,7 veces el PER: una prima del 50 % que se explica por un margen EBITDA del 10,3 % (Sodexo 4,8 %, Aramark 7,3 %), un crecimiento esperado del 7,9 % (Sodexo 2,5 %) y la mitad de deuda (1,7 veces frente a 3,7-7,2) [16]. Aramark, el más parecido en crecimiento, cotiza a 19,5 veces y con más deuda. El PER de los comparables (12,7) es la referencia del alcista de la regla a 12 meses, pero no pesa porque la regla toma el mayor de los tres. Pesamos los comparables un 10 % en el valor intrínseco: dan 20,75 USD por acción con la mediana, un valor que solo tendría sentido si Compass dejara de crecer más que el sector. Frente a DO &amp; CO, que analizamos el mismo día (Comprar con convicción baja): DO &amp; CO crece algo más y sin deuda, con más rentabilidad del capital (ROIC ≈ 25 %) y un flujo libre del 8,6 % de la capitalización, y cotiza a 15,2 veces el PER [16]; Compass es veinte veces mayor, más diversificada (sin dependencia de aerolíneas ni de Turkish Airlines) y con rating A, y paga esa estabilidad con 4 puntos más de PER y un flujo libre del 3,5 %. Para quien busca calidad a precio, hoy DO &amp; CO ofrece más margen de seguridad.</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Vermaat Groep (restauración de empresa premium, Países Bajos)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Compass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 1.500 M EUR para ventas de ≈ 700 M EUR con margen operativo de dos dígitos: menos de ≈ 21 veces el EBIT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Worldwide Flight Services (asistencia de carga aérea)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aeropuerto con mucha mano de obra; 9,7 veces el EBITDA antes de sinergias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Areas (restauración en aeropuertos y autopistas)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PAI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Elior; 7,5 veces el EBITDA antes de NIIF 16 [28].</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Sirven de contraste y no pesan: Compass es el comprador, no un objetivo (capital disperso y 53.000 M de capitalización). Las operaciones del sector muestran que el control se paga a 7,5-9,7 veces el EBITDA en restauración de viaje y servicios de aeropuerto [27, 28] y que Compass pagó por Vermaat ≈ 2,1 veces las ventas, más de 20 veces su EBIT [12], muy por encima de las 12,4 veces el EBITDA a las que cotiza ella misma: las compras crean valor solo si las sinergias de compras llegan.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(cerrado el 30-sep, sin publicar) se fija en el 9,8 %: orgánico ≈ 7 %, compras ≈ 2 % (Vermaat desde diciembre) y ≈ 1 punto de divisa (438 M según la empresa) [7]; coincide con el consenso (50.619 M) [23]. Después, 7,5 % en FY2027 y bajada de medio punto al año hasta el 3,5 % en FY2035: es la guía de «orgánico medio-alto de un dígito» [1] sin compras, que no proyectamos (su coste tampoco). El consenso da 7,4 % y 6,8 % en FY2027-FY2028 [23]. Los cinco últimos años crecieron un 17,1 % anual, pero con la salida de la pandemia.</w:t>
      </w:r>
    </w:p>
    <w:p>
      <w:pPr>
        <w:keepNext/>
        <w:spacing w:after="100"/>
      </w:pPr>
      <w:r>
        <w:rPr>
          <w:b/>
          <w:bCs/>
        </w:rPr>
        <w:t xml:space="preserve">Márgenes.</w:t>
      </w:r>
    </w:p>
    <w:p>
      <w:pPr>
        <w:spacing w:after="100"/>
      </w:pPr>
      <w:r>
        <w:t xml:space="preserve">EBITDA subyacente del 10,1 % en FY2025 [1]; sube 10 pb al año hasta el 10,6 % en FY2031 y ahí se queda, en línea con la guía de «mejora continua del margen» (+10-20 pb del operativo al año) [11] y algo por encima del consenso de FY2028 (10,4 %) [23]. Es el supuesto más exigente: el margen operativo ha subido 270 pb desde FY2021, pero la mitad fue la recuperación de la pandemia.</w:t>
      </w:r>
    </w:p>
    <w:p>
      <w:pPr>
        <w:keepNext/>
        <w:spacing w:after="100"/>
      </w:pPr>
      <w:r>
        <w:rPr>
          <w:b/>
          <w:bCs/>
        </w:rPr>
        <w:t xml:space="preserve">Inversión y circulante.</w:t>
      </w:r>
    </w:p>
    <w:p>
      <w:pPr>
        <w:spacing w:after="100"/>
      </w:pPr>
      <w:r>
        <w:t xml:space="preserve">Amortización del 2,9 % de las ventas (subyacente de FY2025: 2,8 %, con la de derechos de uso). Capex del 4,2 % en FY2026e, que baja al 3,3 % en FY2035: incluye el capex de la empresa (3,3-3,7 % con los anticipos a clientes) [1, 7] y las altas de derechos de uso (≈ 0,6 %), porque los arrendamientos van en el puente. Circulante del −3,0 % de las ventas (−3,2 % en FY2025): financia parte del crecimiento.</w:t>
      </w:r>
    </w:p>
    <w:p>
      <w:pPr>
        <w:keepNext/>
        <w:spacing w:after="100"/>
      </w:pPr>
      <w:r>
        <w:rPr>
          <w:b/>
          <w:bCs/>
        </w:rPr>
        <w:t xml:space="preserve">Coste del capital.</w:t>
      </w:r>
    </w:p>
    <w:p>
      <w:pPr>
        <w:spacing w:after="100"/>
      </w:pPr>
      <w:r>
        <w:t xml:space="preserve">Flujos en USD: tasa libre del bono de EE. UU. a 10 años, 5,19 % [29]. Beta 0,85: la mensual de 5 años frente al MSCI World es 0,76 y la ajustada 0,84 [21]; no usamos la semanal de 2 años (0,33), que recoge un periodo en que la acción no se movió con el mercado. Prima de mercado del 5 %, sin prima adicional (rating A, ventas en EE. UU. y Europa). Coste de la deuda del 5,0 % antes de impuestos (bonos en EUR al 3-4 % y deuda en USD más cara) y peso de la deuda del 14 % a valor de mercado. Con una beta de 0,70 el valor sube a ≈ 33 USD: la recomendación depende de la beta.</w:t>
      </w:r>
    </w:p>
    <w:p>
      <w:pPr>
        <w:keepNext/>
        <w:spacing w:after="100"/>
      </w:pPr>
      <w:r>
        <w:rPr>
          <w:b/>
          <w:bCs/>
        </w:rPr>
        <w:t xml:space="preserve">Valor terminal.</w:t>
      </w:r>
    </w:p>
    <w:p>
      <w:pPr>
        <w:spacing w:after="100"/>
      </w:pPr>
      <w:r>
        <w:t xml:space="preserve">Gordon con crecimiento del 3,0 %: crecimiento real de ≈ 1 % más inflación de ≈ 2-2,5 % en USD, por debajo de la tasa libre menos medio punto (4,7 %). El mercado de restauración colectiva crecerá un 4,1-4,5 % anual [14, 15]. El valor terminal es el 65 % del valor; implica ≈ 13 veces el EBITDA de FY2035, en línea con las 12,4 veces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(reinvierte el 63 %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 (histórico: 52,4 %)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 frente al 5,9 %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 (hoy: 12,8 %)</w:t>
            </w:r>
          </w:p>
        </w:tc>
      </w:tr>
    </w:tbl>
    <w:p>
      <w:pPr>
        <w:spacing w:after="160" w:before="0"/>
      </w:pPr>
    </w:p>
    <w:p>
      <w:pPr>
        <w:spacing w:after="100"/>
      </w:pPr>
      <w:r>
        <w:t xml:space="preserve">La proyección apenas necesita inversión neta de la amortización (reinversión acumulada de 4.428 M, el 12 % del NOPAT, con un capex bruto medio del 3,8 % de las ventas). En un negocio de activos ligeros, el crecimiento medio del 5,9 % tiene que salir de subir precios y de ganar volumen sin capital nuevo, y la prueba es el poder de precios y la cuota (14,6 % del mercado en FY2030e, frente al 12,8 %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(neto por contratos ≈ 3,8 % y volumen comparable 0,7 %), precio 2,7 % (dato del 1S26) y otros 2,6 % (compras ≈ 2 % y divisa ≈ 1 %, menos países vendidos) [5,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Neto por contratos del 4,3 % (rango objetivo 4-5 %) y volumen comparable de 0,6 %; precio del 2,3 % con inflación más baja; otros 0,3 % por los meses de Vermaat que faltan [1,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Neto por contratos del 4,2 % y volumen 0,6 %; precio 2,2 % (la dirección habla de 1,5-2,5 puntos a largo plazo)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Neto por contratos del 4 % y volumen 0,5 %;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Neto por contratos del 3,5 % y volumen 0,5 %; precio 2 %: convergencia hacia el mercado (≈ 4,5 %) [15].</w:t>
            </w:r>
          </w:p>
        </w:tc>
      </w:tr>
    </w:tbl>
    <w:p>
      <w:pPr>
        <w:spacing w:after="160" w:before="0"/>
      </w:pPr>
    </w:p>
    <w:p>
      <w:pPr>
        <w:spacing w:after="100"/>
      </w:pPr>
      <w:r>
        <w:t xml:space="preserve">Sí. Las tres pruebas pasan con margen. Crecimiento: proyectamos un 5,9 % anual medio, un tercio del histórico de cinco años (17,1 %) y por debajo de lo que financia la reinversión bruta al ROIC actual (11,5 %); el rendimiento que supone para el capital nuevo (9,5 %) está muy por debajo del ROIC del 18,4 %. Cuota: del 12,8 % al 14,6 % del mercado direccionable en FY2030e, 1,14 veces la actual, en un mercado que crece un 4,5 % y en el que la mitad de los contratos nuevos son primera externalización [7]. Poder de precios demostrado: en 2022-2024 trasladó la inflación (precio ≈ 3-4 % del crecimiento) y el margen subió 100 pb [1, 2]. El foso es estrecho (escala de compras y retención del 96 %) y aguanta a 5-10 años.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 (base: 10,6 %)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8,6 %)</w:t>
            </w:r>
          </w:p>
        </w:tc>
      </w:tr>
    </w:tbl>
    <w:p>
      <w:pPr>
        <w:spacing w:after="160" w:before="0"/>
      </w:pPr>
    </w:p>
    <w:p>
      <w:pPr>
        <w:spacing w:after="100"/>
      </w:pPr>
      <w:r>
        <w:t xml:space="preserve">El DCF da 30,18 USD por acción, un 3,7 % por debajo del precio, con un WACC del 8,64 % y un valor terminal del 65 %. El DCF inverso dice que el precio descuenta un crecimiento anual del 5,9 % en FY2027-FY2035, frente al 5,5 % de nuestro caso base en esos años, o un margen EBITDA del 10,8 % frente a nuestro 10,6 %: el mercado pide algo más de lo que proyectamos, pero poco, y menos que la guía de la empresa (orgánico medio-alto de un dígito sin contar compras). La rentabilidad anual implícita en el precio es del 8,5 %, justo por debajo de nuestro WACC (8,64 %) y por encima del que pide el mercado con su prima implícita (8,06 %): con esa prima el DCF da 34,37 USD. La lectura es que Compass está a precio justo, ni barata ni cara: el precio paga el crecimiento que la empresa promete y no deja margen de seguridad. Lo que más mueve el valor es la tasa: con la beta en 0,70 o la prima del mercado, el valor supera al precio; con el bono de EE. UU. por encima del 5,5 %, baja.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Sodexo y Aramark compiten en precio en Norteamérica y la IA recorta comensales de oficina: el neto por contratos baja al 2,5-3 %, el crecimiento a ≈ 5 % y el margen se queda 0,5 puntos por debajo, como en 2019-2020 cuando el crecimiento orgánico se frenó al 4-5 %. Con más incertidumbre, el WACC sube medio punto.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Neto por contratos del 4-5 % unos años más, precio del 2-2,5 % y mejora lenta del margen; crecimiento del 7,5 % en FY2027 que baja hacia el 3,5 % en FY2035.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primera externalización en Europa y los centros de datos sostienen un neto por contratos alto y el orgánico se mantiene en el 8 %, con sinergias de Vermaat y Pro Care que suben el margen 0,3 puntos más.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1,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28,91 USD (-7,8 %).</w:t>
      </w:r>
    </w:p>
    <w:p>
      <w:pPr>
        <w:spacing w:after="100"/>
      </w:pPr>
      <w:r>
        <w:t xml:space="preserve">La asimetría es mala con nuestro WACC: el alcista gana un 10,4 % (34,59 USD) y el bajista pierde un 34,0 % (20,69), 0,31 veces. El bajista pesa tanto porque combina menos crecimiento, menos margen y medio punto más de WACC sobre un valor terminal del 65 %. Con la prima implícita del mercado la asimetría pasa a 1,01 veces. Para comprar por valor intrínseco haría falta un precio por debajo de 28,73 USD.</w:t>
      </w:r>
    </w:p>
    <w:p>
      <w:pPr>
        <w:pStyle w:val="Heading1"/>
      </w:pPr>
      <w:r>
        <w:t xml:space="preserve">22. Suma de partes</w:t>
      </w:r>
    </w:p>
    <w:p>
      <w:pPr>
        <w:pStyle w:val="Confianza"/>
        <w:spacing w:after="100"/>
      </w:pPr>
      <w:r>
        <w:t xml:space="preserve">Confianza: Media</w:t>
      </w:r>
    </w:p>
    <w:p>
      <w:pPr>
        <w:spacing w:after="100"/>
      </w:pPr>
      <w:r>
        <w:t xml:space="preserve">No aplica: las dos regiones hacen el mismo negocio (restauración colectiva por sectores) con las mismas compras y marcas; Norteamérica tiene más margen (8,2 %) que Internacional (6,2 %), pero no hay comparables puros de cada región que justifiquen múltiplos distintos.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1,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28,73 USD (-8,3 % sobre 31,34).</w:t>
      </w:r>
    </w:p>
    <w:p>
      <w:pPr>
        <w:spacing w:after="100"/>
      </w:pPr>
      <w:r>
        <w:t xml:space="preserve">Pesos: DCF 50 %, escenarios 40 % y comparables 10 %. El DCF es el método más fiable para un negocio estable, con poco capital y crecimiento visible; los escenarios añaden la asimetría (mala con nuestro WACC). Los comparables pesan poco porque son peores negocios (margen EBITDA del 4,8-7,3 % en los grandes rivales) y su mediana (12,7 veces el PER) daría 20,75 USD, un valor que solo tendría sentido si Compass dejara de crecer más que el sector. Las transacciones no pesan. La dispersión es amplia: de 20,69 (bajista) a 34,59 (alcista) y 34,37 con la prima del mercado. El valor intrínseco ponderado es de 28,73 USD, un 8,3 % por debajo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(19.6x) a mitad de camino hacia la mediana de 5 años (23.5x)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r>
    </w:tbl>
    <w:p>
      <w:pPr>
        <w:spacing w:after="160" w:before="0"/>
      </w:pPr>
    </w:p>
    <w:p>
      <w:pPr>
        <w:spacing w:after="100"/>
      </w:pPr>
      <w:r>
        <w:rPr>
          <w:b/>
          <w:bCs/>
        </w:rPr>
        <w:t xml:space="preserve">Objetivo a 12 meses (ponderado):</w:t>
      </w:r>
      <w:r>
        <w:t xml:space="preserve"> 36,37 USD · rentabilidad +18,3 % (base +21,8 %) · señal Mantener.</w:t>
      </w:r>
    </w:p>
    <w:p>
      <w:pPr>
        <w:spacing w:after="100"/>
      </w:pPr>
      <w:r>
        <w:t xml:space="preserve">Para comparar, con la regla v2 (historia al cierre, mismo precio): 16,6x / 19,6x / 25,3x, 15,3 %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subyacente de FY2027 (160,2 centavos) queda un 2 % por debajo del consenso (163,4) [24]: proyectamos el mismo EBIT (4.024 M frente a 4.097 M) y no suponemos recompras. Para FY2028 no hay BPA subyacente de consenso publicado; el EBIT de consenso (4.438 M) está un 1,7 % por encima del nuestro [23]. Nuestro precio base a 12 meses (37,49 USD) queda un 1,5 % por debajo del objetivo medio de los analistas (38,06 USD; rango 31,00-42,50) [24]: la diferencia es pequeña y viene del múltiplo, no del beneficio.</w:t>
      </w:r>
    </w:p>
    <w:p>
      <w:pPr>
        <w:keepNext/>
        <w:spacing w:after="100"/>
      </w:pPr>
      <w:r>
        <w:rPr>
          <w:b/>
          <w:bCs/>
        </w:rPr>
        <w:t xml:space="preserve">Del valor intrínseco al objetivo a 12 meses.</w:t>
      </w:r>
    </w:p>
    <w:p>
      <w:pPr>
        <w:spacing w:after="100"/>
      </w:pPr>
      <w:r>
        <w:t xml:space="preserve">El objetivo a 12 meses (36,37 USD) supera en un 27 % al valor intrínseco (28,73 USD). La distancia es de tasa, no de beneficio: la regla a 12 meses supone que el mercado seguirá pagando unas 21 veces el BPA adelantado, entre el 19,6 de hoy y la mediana de 23,5, mientras el DCF descuenta los flujos al 8,64 % con el bono de EE. UU. al 5,19 %. Para cerrar la distancia por arriba haría falta que bajaran los tipos o que la empresa volviera a recomprar acciones (decisión del 24-nov-2026); por abajo, que el múltiplo se quedara donde está.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asignación de capital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(consenso: orgánico ≈ 7 % y beneficio operativo +9 %) y decisión sobre recompras tras un año de compras [11, 23].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 la colocación privada de 300 M (con covenants)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sin problema con rating A; libera los últimos covenants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1T FY2027 y 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sin el Mundial; neto por contratos y retención; voto de la retribución.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tras la inflación de alimentos y energía por la guerra de Irán; desapalancamiento hacia 1,5 veces.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del 3T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Ritmo de contratos nuevos (4.300 M a junio de 2026) y del orgánico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neto por contratos por la competencia (Sodexo y Aramark quieren crecer en Norteamérica) o por errores de servicio en contratos grandes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(escenario bajista del DCF: −2 puntos de crecimiento y −0,5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del 96 %, 4.300 M de contratos nuevos en 12 meses y margen que permite competir en precio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Neto por contratos por debajo del 4 % dos trimestres seguidos o retención por debajo del 95,5 %.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comensales en oficinas por despidos ligados a la IA y por el teletrabajo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el volumen comparable de empresas e industria pasa a −2 % anual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Empresas e industria crece a doble dígito por fábricas, defensa y centros de datos; según la empresa, menos del 2 % de las ventas está expuesto [7,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comparable del grupo negativo o crecimiento de empresas e industria por debajo del grupo.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alimentos, energía y salarios (guerra de Irán) que no se traslada a tiempo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0,3 puntos de margen EBITDA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tercios de los contratos con precios dinámicos; en 2022-2024 el margen subió con inflación alta [1,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subyacente del 2S por debajo del 7,3 % o guía de margen plano.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comprimido por tipos altos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si el PER adelantado baja a 17,1 veces (bajista de la regla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ya está en 19,6 veces, por debajo de su mediana de 23,5; beta de 0,76.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y más deuda (Vermaat a más de 2 veces ventas; deuda de 1,7 veces el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(un deterioro de la mitad de Vermaat)</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 estable; la dirección promete volver a 1-1,5 veces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ROCE por debajo del 17 % o deuda por encima de 1,5 veces en septiembre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laboral: salarios mínimos, cotizaciones británicas y sindicación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(−0,2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de revisión de precios y automatización (tiendas sin cajero)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Comentario de la dirección sobre márgenes en Internacional; subida del salario mínimo federal en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para adelgazar (GLP-1): menos comida por persona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por servicio y no por plato; volumen comparable todavía positivo (0,7 %)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comparable por debajo de cero en sanidad y educación.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Incidente grave de seguridad alimentaria o corrupción en contratos públicos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Reputación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(pérdida de contratos públicos)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Diversificación (primer cliente 2 % de las ventas) y bonus ligado a seguridad alimentaria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Índice de incidentes de seguridad alimentaria por encima del límite (0,17 en FY2025 frente a 0,14) [8].</w:t>
            </w:r>
          </w:p>
        </w:tc>
      </w:tr>
    </w:tbl>
    <w:p>
      <w:pPr>
        <w:spacing w:after="160" w:before="0"/>
      </w:pPr>
    </w:p>
    <w:p>
      <w:pPr>
        <w:pStyle w:val="Heading2"/>
      </w:pPr>
      <w:r>
        <w:t xml:space="preserve">Pre-mortem</w:t>
      </w:r>
    </w:p>
    <w:p>
      <w:pPr>
        <w:spacing w:after="100"/>
      </w:pPr>
      <w:r>
        <w:t xml:space="preserve">Es octubre de 2029 y la acción ha perdido un 40 %, hasta unos 19 USD. Lo más probable: en 2027 Sodexo y Aramark, con nuevas direcciones, bajaron precios para recuperar cuota en Norteamérica, y Compass perdió dos o tres contratos grandes de universidades y hospitales; la retención cayó al 95 % y el neto por contratos al 2,5 %. A la vez, las tecnológicas que habían impulsado empresas e industria recortaron plantilla de oficina con la IA y el volumen comparable pasó a negativo. Con la inflación de alimentos de la guerra de Irán sin trasladar del todo, el margen dejó de subir. El mercado, que pagaba 19-23 veces el beneficio por un crecimiento del 10 %, pasó a pagar 14-15 veces por uno del 5 %, como a Sodexo. La deuda de las compras europeas impidió recomprar acciones en la caída. Indicadores que lo habrían anticipado: el neto por contratos por debajo del 4 % en el 2T26 (lo hubo: «por debajo del 4 %» por el temporal), la retención del 96 % redondeada a la baja y el capex por encima del 3,5 % de las ventas para ganar contratos.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 +2 % a 3-5 años</w:t>
      </w:r>
    </w:p>
    <w:p>
      <w:pPr>
        <w:spacing w:after="100"/>
      </w:pPr>
      <w:r>
        <w:t xml:space="preserve">La IA no sustituye lo que vende Compass (cocinar y servir comida en el sitio), pero toca a la demanda: en oficinas, menos empleados de oficina significan menos comensales. Empresas e industria es el 39 % de las ventas, aunque gran parte son fábricas, defensa, energía y centros de datos; la empresa estima menos del 2 % de las ventas expuesto a despidos por IA [1, 19]. A favor: da de comer en la construcción y explotación de centros de datos de IA (más de 2.000 M de contratos nuevos en empresas e industria en 12 meses) y usa IA para preparar ofertas y predecir bajas de clientes [7, 11]. La acción cayó un 8 % en febrero por este miedo [19]. Señal: volumen comparable negativo en empresas e industria de Norteamérica.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más mueve las cifras: (1) la plantilla, 590.000 personas y el 47 % de las ventas en salarios (21.787 M en FY2025): salarios mínimos, cotizaciones británicas y rotación pesan en el margen [1, 8]; (2) seguridad alimentaria: el índice de incidentes fue 0,17 frente a un límite de 0,14 en FY2025 y la dirección perdió esa parte del bonus [8]; (3) desperdicio y emisiones de la comida (alcance 3), que suben con las ventas aunque la intensidad bajó un 4 % en FY2024 [2].</w:t>
      </w:r>
    </w:p>
    <w:p>
      <w:pPr>
        <w:pStyle w:val="Heading2"/>
      </w:pPr>
      <w:r>
        <w:t xml:space="preserve">Controversias</w:t>
      </w:r>
    </w:p>
    <w:p>
      <w:pPr>
        <w:spacing w:after="100"/>
      </w:pPr>
      <w:r>
        <w:t xml:space="preserve">Sin sanciones ni litigios materiales en los últimos tres años en los documentos revisados (informe anual 2025 y resultados). El precedente es de 2005-2006: corrupción en contratos de la ONU de su filial ESS, con investigaciones en EE. UU. y Reino Unido y acuerdos en 2006 [17].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¿Volverán las recompras en noviembre o seguirán las compras en Europa? ¿Qué ROCE esperan de Vermaat en el tercer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recompras el BPA crece al ritmo del beneficio operativo; con 1.000 M al año, un 2 % más. Vermaat se pagó a más de 20 veces el EBIT.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Neto por contratos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4-5 % viene de primera externalización y qué parte de ganar contratos a Sodexo y Aramark? ¿Ha cambiado la intensidad de precios en los concursos de Norteamérica?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caso base (7 % de crecimiento) del bajista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oficinas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reparte empresas e industria entre oficinas, fábricas, defensa y centros de datos, y cómo evolucionó el volumen comparable de oficinas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cifra del «menos del 2 %» expuesto no se ha publicado con detalle.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+20 pb de margen del 1S26 fue sinergia de compras y cuánto apalancamiento de gastos generales? ¿Se puede sostener +10-20 pb al año con inflación de alimentos?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DCF sube el margen EBITDA del 10,2 % al 10,6 %; el consenso, al 10,4 % en FY2028.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capex sube por encima del 3,5 % de las ventas en 2026? ¿Es por contratos más grandes o por más competencia (inversión para retener)?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capex que sube para ganar lo mismo es la primera señal de pérdida de foso.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intención el consejo de pedir la entrada en índices de EE. UU. o de mover la cotización principal?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tercios del beneficio vienen de EE. UU. y la cotización ya es en USD: un cambio de índice movería el múltiplo.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de lectores, CMPGY)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últimos análisis de particulares reconocen la calidad pero dudan del precio: «puede no batir al mercado en 2026» y «el margen mejora, pero poco»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Kalkine Media (comentario de mercado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 la caída se atribuye a recogida de beneficios y expectativas altas, no a peores cifras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(Reuters vía ESM)</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centros de datos de IA compensan la subida de energía y alimentos por la guerra de Irán; la acción cae más de un 3 % aun cumpliendo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interactive investor (análisis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 bien gestionada que «merece estar en carteras diversificadas», con dos riesgos que repite cada vez: despidos por IA en oficinas y fármacos para adelgazar [13, 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reducirá comensales en oficinas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Movió la acción −8 % en febrero [19]; la empresa dice que menos del 2 % de sus ventas está expuesto y empresas e industria crece a doble dígito con los centros de datos [7]. El temor es más rápido que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para un crecimiento del 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de 19,6 veces frente a una mediana de 23,5 en cinco años: hoy cotiza por debajo de su historia, no por encima (cálculo del informe con la serie de bolsa y el BPA subyacente) [5].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para adelgazar (GLP-1)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comparable positivo (0,7 % en el 1S26) y ventas por contrato, no por plato; sin efecto visible [5].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Más deuda y menos recompras por las compras en Europa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1,7 veces el EBITDA en marzo, por encima del objetivo; la decisión de recompras llega en noviembre [5].</w:t>
            </w:r>
          </w:p>
        </w:tc>
      </w:tr>
    </w:tbl>
    <w:p>
      <w:pPr>
        <w:spacing w:after="160" w:before="0"/>
      </w:pPr>
    </w:p>
    <w:p>
      <w:pPr>
        <w:spacing w:after="100"/>
      </w:pPr>
      <w:r>
        <w:t xml:space="preserve">El sentimiento de los particulares va por detrás del de los analistas: 15 de 20 recomiendan comprar con objetivo de 38 USD, mientras los foros y el comentario minorista hablan de una acción cara que no bate al mercado y de la IA como amenaza. No hay euforia ni capitulación: la acción no ha hecho nada en dos años con el beneficio creciendo un 11 % al año, que es la tesis. El riesgo que señalan (IA en oficinas) está en el informe; si el neto por contratos se mantiene en el 4-5 % y la retención en el 96 %, el temor no se confirma. Confianza baja: poco debate abierto.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32 (14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14,6 % en FY2030e frente al 12,8 %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-3,0 % frente a -3,2 % real: genera una variación de circulante de -49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publicadas (MSCI, Sustainalytics,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capítulos de sostenibilidad (no las enumera) [8]; 2) notas de resultados de 2024-2026 (no las citan); 3) búsqueda web de las agencias: páginas de pago o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participaciones a 30-sep-2025 [8]; 2) avisos PDMR en la web de la FCA y en Investegate: solo entregas de planes de incentivos de diciembre de 2025, sin compras ni ventas en mercado localizadas; 3) agregadores (ticker.app): mismos avisos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posiciones cortas de la FCA (sin posiciones publicadas por encima del 0,5 % localizadas); 2) agregadores británicos; 3) Yahoo (no da cortos de Londres)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Full-year results announcement for the year ended 30 September 2025 (cuentas consolidadas y notas, conciliación subyacente, nota 14 de medidas no NIIF)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Compass Group PLC (RNS 8102I)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https://data.fca.org.uk/artefacts/NSM/RNS/19b5f16e-90b9-46fe-8622-723e71a74f5a.html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Full-year results announcement for the year ended 30 September 2024 (2023 reexpresado en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Compass Group PLC (RNS 5888N)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https://data.fca.org.uk/artefacts/NSM/RNS/5443336.html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announcement for the year ended 30 September 2023 (en GBP; 2022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PLC (RNS 9039T)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https://data.fca.org.uk/artefacts/NSM/RNS/4974359.html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announcement for the year ended 30 September 2021 (en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PLC (RNS 1842T)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https://data.fca.org.uk/artefacts/NSM/RNS/4187157.html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Announcement for the six months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https://www.compass-group.com/content/dam/compass-group/corporate/Investors/Results-presentations/2026/Compass-Group-Half-Year-2026-Press-Release.pdf.downloadasset.pdf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announcement for the six months ended 31 March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PLC (RNS, copia de shareprices.com)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https://shareprices.com/rns/half-year-results-announcement-usqa7625f1jj2w1/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Trading Update (RNS 0987N): crecimiento orgánico del 7,1 %, retención del 96 %, guía de 2026 reiterada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https://pdf.dfcfw.com/pdf/H22_AN202607211827203660_1.pdf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(ESEF): gobierno, remuneración, riesgos, clientes,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https://filings.xbrl.org/2138008M6MH9OZ6U2T68/2025-09-30/ESEF/GB/0/2138008M6MH9OZ6U2T68-2025-09-30/reports/2138008M6MH9OZ6U2T68-2025-09-30-T01.xhtml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(ESEF, en GBP): cuenta, balance y flujos de 2021 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https://filings.xbrl.org/2138008M6MH9OZ6U2T68/2022-09-30/ESEF/GB/0/2138008M6MH9OZ6U2T68-2022-09-30/reports/2138008M6MH9OZ6U2T68-2022-09-30-T01.xhtml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GBPUSD=X: históricos diarios (medias de los ejercicios FY2021-FY2023 y cierres de septiembre)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https://finance.yahoo.com/quote/GBPUSD%3DX/history/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2026: full transcript (conferencia con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PLC (Brunswick)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https://www.compass-group.com/content/dam/compass-group/corporate/Investors/Results-presentations/2026/Compass_Group_Half_year_results%202026_Full_Transcript.pdf.downloadasset.pdf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PLC agrees to acquire Vermaat Groep (RNS: VE ≈ 1.500 M EUR, ventas ≈ 700 M EUR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https://www.compass-group.com/content/dam/compass-group/corporate/Investors/Results-presentations/2025/Aquisition%20of%20Vermaat%20RNS.pdf.downloadasset.pdf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caterer Compass beefs up profit forecasts (consenso previo al 1S26: ventas 24.860 M y beneficio operativo 1.820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https://www.ii.co.uk/analysis-commentary/ii-view-caterer-compass-beefs-profit-forecasts-ii539026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Contract Catering Market Statistics: 280.600 M USD en 2025 y 408.300 M en 2034 (TCAC 4,1 %)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https://www.imarcgroup.com/contract-catering-market-statistics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Contract Catering Market 2026-2032: 281.000 M USD en 2025, 383.000 M en 2032; TCAC 2020-2025 del 5,8 %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https://www.kenresearch.com/industry-reports/global-contract-catering-market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Sodexo, Aramark, Elior, SSP, Avolta, DO &amp; CO, ISS: ventas, EBITDA, deuda y estimaciones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https://finance.yahoo.com/quote/SW.PA/key-statistics/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(historia: Factory Canteens 1941, salida a bolsa en 1988, fusión y separación de Granada 2000-2001, venta de SSP y Moto en 2006)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https://en.wikipedia.org/wiki/Compass_Group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Caterer Compass records Q3 revenue boost from AI data centres (Reuters): dos tercios de los contratos con precios dinámicos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ESM Magazine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https://www.esmmagazine.com/retail/caterer-compass-records-q3-revenue-boost-from-ai-data-centres-317005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caterer Compass sticks with growth forecasts for 2026 (caída del 8 % por el temor a despidos por IA; menos del 2 % de las ventas expuesto, según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https://www.ii.co.uk/analysis-commentary/ii-view-caterer-compass-sticks-growth-forecasts-2026-ii538044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alert: Compass, Sage, easyJet (retribución del consejero delegado de 10,5 M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https://www.ii.co.uk/analysis-commentary/agm-alert-compass-sage-easyjet-ii537830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CMPGY (ADR 1:1 en USD), URTH (MSCI World) y XLY: históricos diarios (rentabilidades, beta, volatilidad, caída máxima,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https://finance.yahoo.com/quote/CMPGY/history/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CPG.L: cierre del 14-oct-2026 (31,34 USD), acciones, máximo y mínimo; la serie de Yahoo pasa de GBP a USD en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https://finance.yahoo.com/quote/CPG.L/history/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PLC: estimaciones anuales FY2025-FY2028 (ventas, EBITDA, EBIT, beneficio, BPA publicado, dividendo) y consenso (20 analistas, objetivo medio 38,06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https://www.marketscreener.com/quote/stock/COMPASS-GROUP-PLC-35939959/finances/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CPG.L quoteSummary: BPA subyacente de consenso FY2026 (1,484) y FY2027 (1,634, 18 analistas), objetivo medio 38,06 (31,00-42,50, 19 analistas),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https://finance.yahoo.com/quote/CPG.L/analysis/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(14-oct-2026): USD 1,1195; GBP 0,84385; CHF 0,9330; DKK 7,4754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2019 (BPA subyacente de 85,2 peniques; 2018: 77,6 publicado)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PLC (RNS 6079U)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https://data.fca.org.uk/artefacts/NSM/data-migration/LSE20191126070007_14322558.html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SATS: Investor presentation on proposed WFS acquisition (VE 2.250 M EUR, 9,7 veces el 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SATS Ltd (SGX)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https://links.sgx.com/1.0.0/corporate-announcements/1PG04C1TY0YF5CYO/732672_SATS_Investor_Presentation_on_Proposed_WFS_Acquisition_20220928.pdf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PAI Partners swoops to acquire travel dining specialist Areas from Elior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https://moodiedavittreport.com/pai-partners-swoops-to-acquire-travel-dining-specialist-areas-from-elior-group/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(10 años: 5,19 %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análisis de lectores sobre CMPGY (jun-2026 «may not outperform the market»; ago-2026 «operating margin is improving, but not by much»)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https://seekingalpha.com/api/sa/combined/CMPGY.xml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Compass Group PLC (LSE) stock fell 2.47 % on 21st July 2026 (recogida de beneficios y expectativas altas)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https://kalkine.co.uk/news/consumer/is-compass-group-plc-still-a-long-term-growth-story</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89,0 %</w:t>
      </w:r>
      <w:r>
        <w:t xml:space="preserve"> · Secciones con menos del 60 % de campos cubiertos: </w:t>
      </w:r>
      <w:r>
        <w:rPr>
          <w:b/>
          <w:bCs/>
        </w:rPr>
        <w:t xml:space="preserve">ninguna</w:t>
      </w:r>
      <w:r>
        <w:t xml:space="preserve"> · Generado el 15 oct 2026.</w:t>
      </w:r>
    </w:p>
    <w:p>
      <w:pPr>
        <w:pStyle w:val="Nota"/>
        <w:spacing w:after="100"/>
      </w:pPr>
      <w:r>
        <w:t xml:space="preserve">Cuentas FY2021-FY2025 del XBRL del regulador (ESEF) comprobadas con las notas de resultados. Compass publicó en GBP hasta FY2023 y en USD desde FY2024 (con 2023 reexpresado): FY2021 y FY2022 se pasan a USD con el cambio medio del ejercicio (cuenta y flujos: 1,3693 y 1,2808) y el de cierre (balance: 1,3470 y 1,1169) de Yahoo [10]; los márgenes y ratios no cambian, pero los crecimientos de FY2022 y FY2023 mezclan el efecto del cambio. Segmentos con la estructura vigente (Norteamérica e Internacional) solo para FY2024-FY2025: la empresa no reexpresó años anteriores. Cotización: Londres en USD desde el 1-abr-2026 [19]; precio = cierre del 14-oct-2026 (31,34 USD), porque la sesión del 15-oct no había cerrado [22]. Las rentabilidades, la beta y los cierres de ejercicio salen del ADR CMPGY (1:1, en USD), porque la serie de Londres en Yahoo mezcla GBP y USD [21]. El BPA de la regla a 12 meses es el subyacente (sin amortización de intangibles comprados ni costes de compras), igual que la historia del PER y el consenso; la cuenta lleva el publicado.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Compass Group PLC (CPG)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31,34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(26,95 – 35,94)</c:v>
                </c:pt>
                <c:pt idx="1">
                  <c:v>Precio objetivo de los analistas (31,00 – 42,50)</c:v>
                </c:pt>
                <c:pt idx="2">
                  <c:v>Comparables: PER NTM (17,97 – 25,90)</c:v>
                </c:pt>
                <c:pt idx="3">
                  <c:v>DCF (WACC y g ± 0,5) (25,63 – 36,65)</c:v>
                </c:pt>
                <c:pt idx="4">
                  <c:v>Escenarios (bajista – alcista) (20,69 – 34,59)</c:v>
                </c:pt>
                <c:pt idx="5">
                  <c:v>DCF con la prima implícita del mercado (4,2 %)</c:v>
                </c:pt>
                <c:pt idx="6">
                  <c:v>Precio actual (31,34)</c:v>
                </c:pt>
              </c:strCache>
            </c:strRef>
          </c:cat>
          <c:val>
            <c:numRef>
              <c:f>Hoja1!$B$2:$B$8</c:f>
              <c:numCache>
                <c:formatCode>#,##0.0</c:formatCode>
                <c:ptCount val="7"/>
                <c:pt idx="0">
                  <c:v>26.95</c:v>
                </c:pt>
                <c:pt idx="1">
                  <c:v>31</c:v>
                </c:pt>
                <c:pt idx="2">
                  <c:v>17.97</c:v>
                </c:pt>
                <c:pt idx="3">
                  <c:v>25.63</c:v>
                </c:pt>
                <c:pt idx="4">
                  <c:v>20.69</c:v>
                </c:pt>
                <c:pt idx="5">
                  <c:v>30.73</c:v>
                </c:pt>
                <c:pt idx="6">
                  <c:v>31.18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(26,95 – 35,94)</c:v>
                </c:pt>
                <c:pt idx="1">
                  <c:v>Precio objetivo de los analistas (31,00 – 42,50)</c:v>
                </c:pt>
                <c:pt idx="2">
                  <c:v>Comparables: PER NTM (17,97 – 25,90)</c:v>
                </c:pt>
                <c:pt idx="3">
                  <c:v>DCF (WACC y g ± 0,5) (25,63 – 36,65)</c:v>
                </c:pt>
                <c:pt idx="4">
                  <c:v>Escenarios (bajista – alcista) (20,69 – 34,59)</c:v>
                </c:pt>
                <c:pt idx="5">
                  <c:v>DCF con la prima implícita del mercado (4,2 %)</c:v>
                </c:pt>
                <c:pt idx="6">
                  <c:v>Precio actual (31,34)</c:v>
                </c:pt>
              </c:strCache>
            </c:strRef>
          </c:cat>
          <c:val>
            <c:numRef>
              <c:f>Hoja1!$C$2:$C$8</c:f>
              <c:numCache>
                <c:formatCode>#,##0.0</c:formatCode>
                <c:ptCount val="7"/>
                <c:pt idx="0">
                  <c:v>8.989999999999998</c:v>
                </c:pt>
                <c:pt idx="1">
                  <c:v>11.5</c:v>
                </c:pt>
                <c:pt idx="2">
                  <c:v>7.93</c:v>
                </c:pt>
                <c:pt idx="3">
                  <c:v>11.02</c:v>
                </c:pt>
                <c:pt idx="4">
                  <c:v>13.900000000000002</c:v>
                </c:pt>
                <c:pt idx="5">
                  <c:v>8.09</c:v>
                </c:pt>
                <c:pt idx="6">
                  <c:v>0.3200000000000003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Hoja1!$A$2:$A$3</c:f>
              <c:strCache>
                <c:ptCount val="2"/>
                <c:pt idx="0">
                  <c:v>FY2024</c:v>
                </c:pt>
                <c:pt idx="1">
                  <c:v>FY2025</c:v>
                </c:pt>
              </c:strCache>
            </c:strRef>
          </c:cat>
          <c:val>
            <c:numRef>
              <c:f>Hoja1!$B$2:$B$3</c:f>
              <c:numCache>
                <c:formatCode>#,##0</c:formatCode>
                <c:ptCount val="2"/>
                <c:pt idx="0">
                  <c:v>28557</c:v>
                </c:pt>
                <c:pt idx="1">
                  <c:v>31398</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Hoja1!$A$2:$A$3</c:f>
              <c:strCache>
                <c:ptCount val="2"/>
                <c:pt idx="0">
                  <c:v>FY2024</c:v>
                </c:pt>
                <c:pt idx="1">
                  <c:v>FY2025</c:v>
                </c:pt>
              </c:strCache>
            </c:strRef>
          </c:cat>
          <c:val>
            <c:numRef>
              <c:f>Hoja1!$C$2:$C$3</c:f>
              <c:numCache>
                <c:formatCode>#,##0</c:formatCode>
                <c:ptCount val="2"/>
                <c:pt idx="0">
                  <c:v>13445</c:v>
                </c:pt>
                <c:pt idx="1">
                  <c:v>14672</c:v>
                </c:pt>
              </c:numCache>
            </c:numRef>
          </c:val>
        </c:ser>
        <c:ser>
          <c:idx val="2"/>
          <c:order val="2"/>
          <c:tx>
            <c:strRef>
              <c:f>Hoja1!$D$1</c:f>
              <c:strCache>
                <c:ptCount val="1"/>
                <c:pt idx="0">
                  <c:v>Actividades centrales</c:v>
                </c:pt>
              </c:strCache>
            </c:strRef>
          </c:tx>
          <c:spPr>
            <a:solidFill>
              <a:srgbClr val="1BAF7A"/>
            </a:solidFill>
            <a:ln w="12700">
              <a:solidFill>
                <a:srgbClr val="FFFFFF"/>
              </a:solidFill>
            </a:ln>
          </c:spPr>
          <c:invertIfNegative val="0"/>
          <c:cat>
            <c:strRef>
              <c:f>Hoja1!$A$2:$A$3</c:f>
              <c:strCache>
                <c:ptCount val="2"/>
                <c:pt idx="0">
                  <c:v>FY2024</c:v>
                </c:pt>
                <c:pt idx="1">
                  <c:v>FY2025</c:v>
                </c:pt>
              </c:strCache>
            </c:strRef>
          </c:cat>
          <c:val>
            <c:numRef>
              <c:f>Hoja1!$D$2:$D$3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Norteamérica</c:v>
                </c:pt>
                <c:pt idx="1">
                  <c:v>Internacional</c:v>
                </c:pt>
                <c:pt idx="2">
                  <c:v>Actividades centrales</c:v>
                </c:pt>
              </c:strCache>
            </c:strRef>
          </c:cat>
          <c:val>
            <c:numRef>
              <c:f>Hoja1!$B$2:$B$4</c:f>
              <c:numCache>
                <c:formatCode>General</c:formatCode>
                <c:ptCount val="3"/>
                <c:pt idx="0">
                  <c:v>68.2</c:v>
                </c:pt>
                <c:pt idx="1">
                  <c:v>31.8</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Reino Unido</c:v>
                </c:pt>
                <c:pt idx="2">
                  <c:v>Canadá</c:v>
                </c:pt>
                <c:pt idx="3">
                  <c:v>Resto (Europa continental, Australia, Japón, Turquía…)</c:v>
                </c:pt>
              </c:strCache>
            </c:strRef>
          </c:cat>
          <c:val>
            <c:numRef>
              <c:f>Hoja1!$B$2:$B$5</c:f>
              <c:numCache>
                <c:formatCode>0"%"</c:formatCode>
                <c:ptCount val="4"/>
                <c:pt idx="0">
                  <c:v>64.8</c:v>
                </c:pt>
                <c:pt idx="1">
                  <c:v>9.1</c:v>
                </c:pt>
                <c:pt idx="2">
                  <c:v>3.4</c:v>
                </c:pt>
                <c:pt idx="3">
                  <c:v>22.7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(mercado externalizado, Ken Research))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2020</c:v>
                </c:pt>
                <c:pt idx="1">
                  <c:v>2025</c:v>
                </c:pt>
                <c:pt idx="2">
                  <c:v>2028e</c:v>
                </c:pt>
                <c:pt idx="3">
                  <c:v>2032e</c:v>
                </c:pt>
              </c:strCache>
            </c:strRef>
          </c:cat>
          <c:val>
            <c:numRef>
              <c:f>Hoja1!$B$2:$B$5</c:f>
              <c:numCache>
                <c:formatCode>#,##0</c:formatCode>
                <c:ptCount val="4"/>
                <c:pt idx="0">
                  <c:v>212</c:v>
                </c:pt>
                <c:pt idx="1">
                  <c:v>281</c:v>
                </c:pt>
                <c:pt idx="2">
                  <c:v>321</c:v>
                </c:pt>
                <c:pt idx="3">
                  <c:v>383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Compass</c:v>
                </c:pt>
                <c:pt idx="1">
                  <c:v>Sodexo</c:v>
                </c:pt>
                <c:pt idx="2">
                  <c:v>Aramark</c:v>
                </c:pt>
                <c:pt idx="3">
                  <c:v>Elior Group</c:v>
                </c:pt>
                <c:pt idx="4">
                  <c:v>ISS</c:v>
                </c:pt>
                <c:pt idx="5">
                  <c:v>DO &amp; CO</c:v>
                </c:pt>
                <c:pt idx="6">
                  <c:v>Restauración propia de los clientes y operadores locales</c:v>
                </c:pt>
              </c:strCache>
            </c:strRef>
          </c:cat>
          <c:val>
            <c:numRef>
              <c:f>Hoja1!$B$2:$B$8</c:f>
              <c:numCache>
                <c:formatCode>0.0"%"</c:formatCode>
                <c:ptCount val="7"/>
                <c:pt idx="0">
                  <c:v>7.2</c:v>
                </c:pt>
                <c:pt idx="1">
                  <c:v>4</c:v>
                </c:pt>
                <c:pt idx="2">
                  <c:v>4.5</c:v>
                </c:pt>
                <c:pt idx="3">
                  <c:v>2</c:v>
                </c:pt>
                <c:pt idx="4">
                  <c:v>4.5</c:v>
                </c:pt>
                <c:pt idx="5">
                  <c:v>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1</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Hoja1!$B$2:$B$16</c:f>
              <c:numCache>
                <c:formatCode>#,##0</c:formatCode>
                <c:ptCount val="15"/>
                <c:pt idx="0">
                  <c:v>24521</c:v>
                </c:pt>
                <c:pt idx="1">
                  <c:v>32676</c:v>
                </c:pt>
                <c:pt idx="2">
                  <c:v>37907</c:v>
                </c:pt>
                <c:pt idx="3">
                  <c:v>42002</c:v>
                </c:pt>
                <c:pt idx="4">
                  <c:v>46070</c:v>
                </c:pt>
                <c:pt idx="5">
                  <c:v>50585</c:v>
                </c:pt>
                <c:pt idx="6">
                  <c:v>54379</c:v>
                </c:pt>
                <c:pt idx="7">
                  <c:v>58185</c:v>
                </c:pt>
                <c:pt idx="8">
                  <c:v>61967</c:v>
                </c:pt>
                <c:pt idx="9">
                  <c:v>65685</c:v>
                </c:pt>
                <c:pt idx="10">
                  <c:v>69298</c:v>
                </c:pt>
                <c:pt idx="11">
                  <c:v>72763</c:v>
                </c:pt>
                <c:pt idx="12">
                  <c:v>76037</c:v>
                </c:pt>
                <c:pt idx="13">
                  <c:v>79079</c:v>
                </c:pt>
                <c:pt idx="14">
                  <c:v>81846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Hoja1!$C$2:$C$16</c:f>
              <c:numCache>
                <c:formatCode>#,##0</c:formatCode>
                <c:ptCount val="15"/>
                <c:pt idx="0">
                  <c:v>2128</c:v>
                </c:pt>
                <c:pt idx="1">
                  <c:v>3037</c:v>
                </c:pt>
                <c:pt idx="2">
                  <c:v>3620</c:v>
                </c:pt>
                <c:pt idx="3">
                  <c:v>4145</c:v>
                </c:pt>
                <c:pt idx="4">
                  <c:v>4645</c:v>
                </c:pt>
                <c:pt idx="5">
                  <c:v>5160</c:v>
                </c:pt>
                <c:pt idx="6">
                  <c:v>5601</c:v>
                </c:pt>
                <c:pt idx="7">
                  <c:v>6051</c:v>
                </c:pt>
                <c:pt idx="8">
                  <c:v>6507</c:v>
                </c:pt>
                <c:pt idx="9">
                  <c:v>6930</c:v>
                </c:pt>
                <c:pt idx="10">
                  <c:v>7346</c:v>
                </c:pt>
                <c:pt idx="11">
                  <c:v>7713</c:v>
                </c:pt>
                <c:pt idx="12">
                  <c:v>8060</c:v>
                </c:pt>
                <c:pt idx="13">
                  <c:v>8382</c:v>
                </c:pt>
                <c:pt idx="14">
                  <c:v>8676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8.7</c:v>
                </c:pt>
                <c:pt idx="1">
                  <c:v>9.3</c:v>
                </c:pt>
                <c:pt idx="2">
                  <c:v>9.5</c:v>
                </c:pt>
                <c:pt idx="3">
                  <c:v>9.9</c:v>
                </c:pt>
                <c:pt idx="4">
                  <c:v>10.1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4.5</c:v>
                </c:pt>
                <c:pt idx="1">
                  <c:v>6.2</c:v>
                </c:pt>
                <c:pt idx="2">
                  <c:v>6.8</c:v>
                </c:pt>
                <c:pt idx="3">
                  <c:v>7.1</c:v>
                </c:pt>
                <c:pt idx="4">
                  <c:v>7.2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2</c:v>
                </c:pt>
                <c:pt idx="1">
                  <c:v>4.4</c:v>
                </c:pt>
                <c:pt idx="2">
                  <c:v>4.2</c:v>
                </c:pt>
                <c:pt idx="3">
                  <c:v>3.3</c:v>
                </c:pt>
                <c:pt idx="4">
                  <c:v>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8.8</c:v>
                </c:pt>
                <c:pt idx="3">
                  <c:v>10.6</c:v>
                </c:pt>
                <c:pt idx="4">
                  <c:v>10.7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8.5</c:v>
                </c:pt>
                <c:pt idx="4">
                  <c:v>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54</c:v>
                </c:pt>
                <c:pt idx="1">
                  <c:v>50</c:v>
                </c:pt>
                <c:pt idx="2">
                  <c:v>49</c:v>
                </c:pt>
                <c:pt idx="3">
                  <c:v>49</c:v>
                </c:pt>
                <c:pt idx="4">
                  <c:v>50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7</c:v>
                </c:pt>
                <c:pt idx="1">
                  <c:v>7</c:v>
                </c:pt>
                <c:pt idx="2">
                  <c:v>7</c:v>
                </c:pt>
                <c:pt idx="3">
                  <c:v>7</c:v>
                </c:pt>
                <c:pt idx="4">
                  <c:v>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90</c:v>
                </c:pt>
                <c:pt idx="1">
                  <c:v>77</c:v>
                </c:pt>
                <c:pt idx="2">
                  <c:v>76</c:v>
                </c:pt>
                <c:pt idx="3">
                  <c:v>79</c:v>
                </c:pt>
                <c:pt idx="4">
                  <c:v>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552</c:v>
                </c:pt>
                <c:pt idx="1">
                  <c:v>982</c:v>
                </c:pt>
                <c:pt idx="2">
                  <c:v>1233</c:v>
                </c:pt>
                <c:pt idx="3">
                  <c:v>1499</c:v>
                </c:pt>
                <c:pt idx="4">
                  <c:v>1717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489</c:v>
                </c:pt>
                <c:pt idx="1">
                  <c:v>1426</c:v>
                </c:pt>
                <c:pt idx="2">
                  <c:v>1607</c:v>
                </c:pt>
                <c:pt idx="3">
                  <c:v>1404</c:v>
                </c:pt>
                <c:pt idx="4">
                  <c:v>1868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8.4</c:v>
                </c:pt>
                <c:pt idx="1">
                  <c:v>15.5</c:v>
                </c:pt>
                <c:pt idx="2">
                  <c:v>19.2</c:v>
                </c:pt>
                <c:pt idx="3">
                  <c:v>18.1</c:v>
                </c:pt>
                <c:pt idx="4">
                  <c:v>18.4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8.6</c:v>
                </c:pt>
                <c:pt idx="1">
                  <c:v>8.6</c:v>
                </c:pt>
                <c:pt idx="2">
                  <c:v>8.6</c:v>
                </c:pt>
                <c:pt idx="3">
                  <c:v>8.6</c:v>
                </c:pt>
                <c:pt idx="4">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7.4</c:v>
                </c:pt>
                <c:pt idx="1">
                  <c:v>21.7</c:v>
                </c:pt>
                <c:pt idx="2">
                  <c:v>25.1</c:v>
                </c:pt>
                <c:pt idx="3">
                  <c:v>21.4</c:v>
                </c:pt>
                <c:pt idx="4">
                  <c:v>25.8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1.67</c:v>
                </c:pt>
                <c:pt idx="1">
                  <c:v>1.06</c:v>
                </c:pt>
                <c:pt idx="2">
                  <c:v>1.17</c:v>
                </c:pt>
                <c:pt idx="3">
                  <c:v>1.28</c:v>
                </c:pt>
                <c:pt idx="4">
                  <c:v>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FY2026</c:v>
                </c:pt>
                <c:pt idx="1">
                  <c:v>FY2027</c:v>
                </c:pt>
                <c:pt idx="2">
                  <c:v>FY2028</c:v>
                </c:pt>
                <c:pt idx="3">
                  <c:v>FY2029</c:v>
                </c:pt>
                <c:pt idx="4">
                  <c:v>FY2030</c:v>
                </c:pt>
                <c:pt idx="5">
                  <c:v>FY2031+</c:v>
                </c:pt>
              </c:strCache>
            </c:strRef>
          </c:cat>
          <c:val>
            <c:numRef>
              <c:f>Hoja1!$B$2:$B$7</c:f>
              <c:numCache>
                <c:formatCode>#,##0</c:formatCode>
                <c:ptCount val="6"/>
                <c:pt idx="0">
                  <c:v>1043</c:v>
                </c:pt>
                <c:pt idx="1">
                  <c:v>300</c:v>
                </c:pt>
                <c:pt idx="2">
                  <c:v>554</c:v>
                </c:pt>
                <c:pt idx="3">
                  <c:v>360</c:v>
                </c:pt>
                <c:pt idx="4">
                  <c:v>578</c:v>
                </c:pt>
                <c:pt idx="5">
                  <c:v>2591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215</c:v>
                </c:pt>
                <c:pt idx="1">
                  <c:v>337</c:v>
                </c:pt>
                <c:pt idx="2">
                  <c:v>389</c:v>
                </c:pt>
                <c:pt idx="3">
                  <c:v>784</c:v>
                </c:pt>
                <c:pt idx="4">
                  <c:v>1251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0</c:v>
                </c:pt>
                <c:pt idx="1">
                  <c:v>535</c:v>
                </c:pt>
                <c:pt idx="2">
                  <c:v>796</c:v>
                </c:pt>
                <c:pt idx="3">
                  <c:v>963</c:v>
                </c:pt>
                <c:pt idx="4">
                  <c:v>1047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0</c:v>
                </c:pt>
                <c:pt idx="1">
                  <c:v>540</c:v>
                </c:pt>
                <c:pt idx="2">
                  <c:v>1148</c:v>
                </c:pt>
                <c:pt idx="3">
                  <c:v>577</c:v>
                </c:pt>
                <c:pt idx="4">
                  <c:v>115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1</c:v>
                </c:pt>
                <c:pt idx="1">
                  <c:v>3</c:v>
                </c:pt>
                <c:pt idx="2">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FMR LLC (Fidelity)</c:v>
                </c:pt>
                <c:pt idx="2">
                  <c:v>Artisan Partners</c:v>
                </c:pt>
                <c:pt idx="3">
                  <c:v>Invesco</c:v>
                </c:pt>
                <c:pt idx="4">
                  <c:v>Massachusetts Financial Services</c:v>
                </c:pt>
              </c:strCache>
            </c:strRef>
          </c:cat>
          <c:val>
            <c:numRef>
              <c:f>Hoja1!$B$2:$B$6</c:f>
              <c:numCache>
                <c:formatCode>0.0"%"</c:formatCode>
                <c:ptCount val="5"/>
                <c:pt idx="0">
                  <c:v>9.99</c:v>
                </c:pt>
                <c:pt idx="1">
                  <c:v>5.09</c:v>
                </c:pt>
                <c:pt idx="2">
                  <c:v>4.96</c:v>
                </c:pt>
                <c:pt idx="3">
                  <c:v>4.95</c:v>
                </c:pt>
                <c:pt idx="4">
                  <c:v>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8.7</c:v>
                </c:pt>
                <c:pt idx="1">
                  <c:v>19.9</c:v>
                </c:pt>
                <c:pt idx="2">
                  <c:v>-2.7</c:v>
                </c:pt>
                <c:pt idx="3">
                  <c:v>23.5</c:v>
                </c:pt>
                <c:pt idx="4">
                  <c:v>-24.8</c:v>
                </c:pt>
                <c:pt idx="5">
                  <c:v>23.2</c:v>
                </c:pt>
                <c:pt idx="6">
                  <c:v>2.2</c:v>
                </c:pt>
                <c:pt idx="7">
                  <c:v>21.7</c:v>
                </c:pt>
                <c:pt idx="8">
                  <c:v>23.2</c:v>
                </c:pt>
                <c:pt idx="9">
                  <c:v>-3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7.3</c:v>
                </c:pt>
                <c:pt idx="1">
                  <c:v>22.9</c:v>
                </c:pt>
                <c:pt idx="2">
                  <c:v>-8.6</c:v>
                </c:pt>
                <c:pt idx="3">
                  <c:v>28.1</c:v>
                </c:pt>
                <c:pt idx="4">
                  <c:v>15.8</c:v>
                </c:pt>
                <c:pt idx="5">
                  <c:v>22.3</c:v>
                </c:pt>
                <c:pt idx="6">
                  <c:v>-18</c:v>
                </c:pt>
                <c:pt idx="7">
                  <c:v>23.9</c:v>
                </c:pt>
                <c:pt idx="8">
                  <c:v>18.7</c:v>
                </c:pt>
                <c:pt idx="9">
                  <c:v>21.4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19.2</c:v>
                </c:pt>
                <c:pt idx="1">
                  <c:v>12.7</c:v>
                </c:pt>
                <c:pt idx="2">
                  <c:v>12.9</c:v>
                </c:pt>
                <c:pt idx="3">
                  <c:v>14.6</c:v>
                </c:pt>
                <c:pt idx="4">
                  <c:v>14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0.0"x"</c:formatCode>
                <c:ptCount val="5"/>
                <c:pt idx="0">
                  <c:v>13.5</c:v>
                </c:pt>
                <c:pt idx="1">
                  <c:v>13.5</c:v>
                </c:pt>
                <c:pt idx="2">
                  <c:v>13.5</c:v>
                </c:pt>
                <c:pt idx="3">
                  <c:v>13.5</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Compass</c:v>
                </c:pt>
                <c:pt idx="1">
                  <c:v>Sodexo</c:v>
                </c:pt>
                <c:pt idx="2">
                  <c:v>Aramark</c:v>
                </c:pt>
                <c:pt idx="3">
                  <c:v>Elior Group</c:v>
                </c:pt>
                <c:pt idx="4">
                  <c:v>SSP Group</c:v>
                </c:pt>
                <c:pt idx="5">
                  <c:v>Avolta</c:v>
                </c:pt>
                <c:pt idx="6">
                  <c:v>DO &amp; CO</c:v>
                </c:pt>
                <c:pt idx="7">
                  <c:v>ISS</c:v>
                </c:pt>
              </c:strCache>
            </c:strRef>
          </c:cat>
          <c:val>
            <c:numRef>
              <c:f>Hoja1!$B$2:$B$9</c:f>
              <c:numCache>
                <c:formatCode>0.0"x"</c:formatCode>
                <c:ptCount val="8"/>
                <c:pt idx="0">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Vermaat Groep (restauración de empresa premium, Países Bajos)</c:v>
                </c:pt>
                <c:pt idx="1">
                  <c:v>Worldwide Flight Services (asistencia de carga aérea)</c:v>
                </c:pt>
                <c:pt idx="2">
                  <c:v>Areas (restauración en aeropuertos y autopistas)</c:v>
                </c:pt>
              </c:strCache>
            </c:strRef>
          </c:cat>
          <c:val>
            <c:numRef>
              <c:f>Hoja1!$B$2:$B$4</c:f>
              <c:numCache>
                <c:formatCode>0.0"x"</c:formatCode>
                <c:ptCount val="3"/>
                <c:pt idx="1">
                  <c:v>9.7</c:v>
                </c:pt>
                <c:pt idx="2">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2139</c:v>
                </c:pt>
                <c:pt idx="1">
                  <c:v>2459</c:v>
                </c:pt>
                <c:pt idx="2">
                  <c:v>2725</c:v>
                </c:pt>
                <c:pt idx="3">
                  <c:v>3002</c:v>
                </c:pt>
                <c:pt idx="4">
                  <c:v>3264</c:v>
                </c:pt>
                <c:pt idx="5">
                  <c:v>3529</c:v>
                </c:pt>
                <c:pt idx="6">
                  <c:v>3769</c:v>
                </c:pt>
                <c:pt idx="7">
                  <c:v>4004</c:v>
                </c:pt>
                <c:pt idx="8">
                  <c:v>4232</c:v>
                </c:pt>
                <c:pt idx="9">
                  <c:v>4451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21238</c:v>
                </c:pt>
                <c:pt idx="1">
                  <c:v>38690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31,34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20.69</c:v>
                </c:pt>
                <c:pt idx="1">
                  <c:v>30.18</c:v>
                </c:pt>
                <c:pt idx="2">
                  <c:v>34.59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31,34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(26,95 – 35,94)</c:v>
                </c:pt>
                <c:pt idx="1">
                  <c:v>Precio objetivo de los analistas (31,00 – 42,50)</c:v>
                </c:pt>
                <c:pt idx="2">
                  <c:v>Comparables: PER NTM (17,97 – 25,90)</c:v>
                </c:pt>
                <c:pt idx="3">
                  <c:v>DCF (WACC y g ± 0,5) (25,63 – 36,65)</c:v>
                </c:pt>
                <c:pt idx="4">
                  <c:v>Escenarios (bajista – alcista) (20,69 – 34,59)</c:v>
                </c:pt>
                <c:pt idx="5">
                  <c:v>DCF con la prima implícita del mercado (4,2 %)</c:v>
                </c:pt>
                <c:pt idx="6">
                  <c:v>Precio actual (31,34)</c:v>
                </c:pt>
              </c:strCache>
            </c:strRef>
          </c:cat>
          <c:val>
            <c:numRef>
              <c:f>Hoja1!$B$2:$B$8</c:f>
              <c:numCache>
                <c:formatCode>#,##0.0</c:formatCode>
                <c:ptCount val="7"/>
                <c:pt idx="0">
                  <c:v>26.95</c:v>
                </c:pt>
                <c:pt idx="1">
                  <c:v>31</c:v>
                </c:pt>
                <c:pt idx="2">
                  <c:v>17.97</c:v>
                </c:pt>
                <c:pt idx="3">
                  <c:v>25.63</c:v>
                </c:pt>
                <c:pt idx="4">
                  <c:v>20.69</c:v>
                </c:pt>
                <c:pt idx="5">
                  <c:v>30.73</c:v>
                </c:pt>
                <c:pt idx="6">
                  <c:v>31.18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(26,95 – 35,94)</c:v>
                </c:pt>
                <c:pt idx="1">
                  <c:v>Precio objetivo de los analistas (31,00 – 42,50)</c:v>
                </c:pt>
                <c:pt idx="2">
                  <c:v>Comparables: PER NTM (17,97 – 25,90)</c:v>
                </c:pt>
                <c:pt idx="3">
                  <c:v>DCF (WACC y g ± 0,5) (25,63 – 36,65)</c:v>
                </c:pt>
                <c:pt idx="4">
                  <c:v>Escenarios (bajista – alcista) (20,69 – 34,59)</c:v>
                </c:pt>
                <c:pt idx="5">
                  <c:v>DCF con la prima implícita del mercado (4,2 %)</c:v>
                </c:pt>
                <c:pt idx="6">
                  <c:v>Precio actual (31,34)</c:v>
                </c:pt>
              </c:strCache>
            </c:strRef>
          </c:cat>
          <c:val>
            <c:numRef>
              <c:f>Hoja1!$C$2:$C$8</c:f>
              <c:numCache>
                <c:formatCode>#,##0.0</c:formatCode>
                <c:ptCount val="7"/>
                <c:pt idx="0">
                  <c:v>8.989999999999998</c:v>
                </c:pt>
                <c:pt idx="1">
                  <c:v>11.5</c:v>
                </c:pt>
                <c:pt idx="2">
                  <c:v>7.93</c:v>
                </c:pt>
                <c:pt idx="3">
                  <c:v>11.02</c:v>
                </c:pt>
                <c:pt idx="4">
                  <c:v>13.900000000000002</c:v>
                </c:pt>
                <c:pt idx="5">
                  <c:v>8.09</c:v>
                </c:pt>
                <c:pt idx="6">
                  <c:v>0.3200000000000003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