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Yadea Group Holdings Ltd.</w:t>
      </w:r>
    </w:p>
    <w:p>
      <w:pPr>
        <w:spacing w:after="60"/>
        <w:rPr>
          <w:color w:val="52514E"/>
          <w:sz w:val="22"/>
          <w:szCs w:val="22"/>
        </w:rPr>
      </w:pPr>
      <w:r>
        <w:rPr>
          <w:color w:val="52514E"/>
          <w:sz w:val="22"/>
          <w:szCs w:val="22"/>
        </w:rPr>
        <w:t xml:space="preserve">1585.HK · Bolsa de Hong Kong (Main Board) · ISIN KYG9830F1063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RMB</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7,67 RMB (9,02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9,45 RMB (11,12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+29,3 % (base +23,8 %)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13,85 RMB (16,29 HKD) · mercado 15,34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23.826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Yadea Group Holdings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1585.HK / KYG9830F1063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(Main Board)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(Tracker Fund 2800.HK)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Motocicletas y vehículos de dos ruedas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Wuxi (Jiangsu); sede legal en las Islas Caimán · 2001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www.yadea.com.cn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6,73 – 11,44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23.826 M RMB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12.550 M RMB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105.8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9,45 RMB (11,12 HKD)</w:t>
      </w:r>
      <w:r>
        <w:t xml:space="preserve"> frente a 7,67 (9,02 HKD) · Rentabilidad a 12 meses </w:t>
      </w:r>
      <w:r>
        <w:rPr>
          <w:b/>
          <w:bCs/>
        </w:rPr>
        <w:t xml:space="preserve">+29,3 % (base +23,8 %)</w:t>
      </w:r>
      <w:r>
        <w:t xml:space="preserve"> · Valor intrínseco 13,85 RMB (16,29 HKD) · con la prima implícita del mercado: 15,34 (18,04 HKD) (+100,0 %) · Alcista / bajista +134,2 % / +15,4 %</w:t>
      </w:r>
    </w:p>
    <w:p>
      <w:pPr>
        <w:spacing w:after="100"/>
      </w:pPr>
      <w:r>
        <w:rPr>
          <w:b/>
        </w:rPr>
        <w:t xml:space="preserve">La recomendación y por qué.</w:t>
      </w:r>
      <w:r>
        <w:t xml:space="preserve"> </w:t>
      </w:r>
      <w:r>
        <w:rPr>
          <w:b/>
        </w:rPr>
        <w:t xml:space="preserve">Comprar</w:t>
      </w:r>
      <w:r>
        <w:t xml:space="preserve">, con convicción media, a 9,02 HKD (7,67 RMB, cierre del 21-oct-2026) [37]. La regla v3 da un objetivo de 9,45 RMB (11,12 HKD): +29,3 % con dividendo (+23,8 % en el base). El valor intrínseco (13,85 RMB, 16,29 HKD) está un 81 % por encima del precio y la v2 también da Comprar (17,8 %). Pero la compra robusta (v3 y v2 con un BPA un 10 % menor) acaba en 9,03 HKD, un céntimo por encima de hoy: es una compra al límite. La convicción es media porque el valor sobra pero el ciclo de las bicicletas no ha tocado fondo y el consenso sigue bajando. La subiría un 2S26 que caiga menos del 3 % con margen del 8,6 %; la bajaría un margen bruto semestral por debajo del 16 %.</w:t>
      </w:r>
    </w:p>
    <w:p>
      <w:pPr>
        <w:spacing w:after="100"/>
      </w:pPr>
      <w:r>
        <w:rPr>
          <w:b/>
        </w:rPr>
        <w:t xml:space="preserve">El negocio.</w:t>
      </w:r>
      <w:r>
        <w:t xml:space="preserve"> Yadea es el mayor fabricante de bicicletas y motos eléctricas de China: 16,3 millones de vehículos vendidos en 2025 (11,5 millones de bicicletas y 4,8 de motos), con una cuota del 26,8 % y baterías propias (Huayu) [1, 19]. Vende a 5.122 distribuidores que cobran por adelantado, y paga a sus proveedores más tarde: trabaja con circulante negativo y mucha caja [1]. </w:t>
      </w:r>
      <w:r>
        <w:rPr>
          <w:b/>
        </w:rPr>
        <w:t xml:space="preserve">Calidad</w:t>
      </w:r>
      <w:r>
        <w:t xml:space="preserve">: el capital invertido es negativo; el ROIC sobre el capital fijo fue del 43,5 % en 2025 (19,6 % en el peor año, 2024) frente a un WACC del 8,6 %, y la sostenibilidad del crecimiento es </w:t>
      </w:r>
      <w:r>
        <w:rPr>
          <w:b/>
        </w:rPr>
        <w:t xml:space="preserve">Sí</w:t>
      </w:r>
      <w:r>
        <w:t xml:space="preserve">: </w:t>
      </w:r>
      <w:r>
        <w:rPr>
          <w:b/>
        </w:rPr>
        <w:t xml:space="preserve">pasa el requisito de calidad</w:t>
      </w:r>
      <w:r>
        <w:t xml:space="preserve">.</w:t>
      </w:r>
    </w:p>
    <w:p>
      <w:pPr>
        <w:spacing w:after="100"/>
      </w:pPr>
      <w:r>
        <w:rPr>
          <w:b/>
        </w:rPr>
        <w:t xml:space="preserve">Finanzas.</w:t>
      </w:r>
      <w:r>
        <w:t xml:space="preserve"> Ventas de 37.008 M RMB en 2025 (+31,1 %, el año de las subvenciones), margen EBITDA del 10,2 % y beneficio de 2.912 M (BPA 0,955) [1]; en el 1S26, ventas de 18.236 M (−5,0 %), margen del 8,9 % y beneficio −27,2 % [3]. Caja de 14.929 M frente a 1.069 M de deuda a 30-jun-2026 (sin contar 3.557 M de depósitos pignorados); reparte ≈ 50 % del beneficio (dividendo del 6 %) [3].</w:t>
      </w:r>
    </w:p>
    <w:p>
      <w:pPr>
        <w:spacing w:after="100"/>
      </w:pPr>
      <w:r>
        <w:rPr>
          <w:b/>
        </w:rPr>
        <w:t xml:space="preserve">Lo que preocupa al mercado.</w:t>
      </w:r>
      <w:r>
        <w:t xml:space="preserve"> Que 2025 haya sido el pico: el estándar nuevo y las subvenciones de renovación (12,5 millones de bicicletas en 2025) adelantaron compras, y en 2026 las bicicletas salieron de la subvención nacional: las de Yadea cayeron un 37,8 % en el 1S26 [3, 20, 22]. Hay guerra de precios con Aima, Tailing y Ninebot (descuentos de 400-800 RMB) y, desde octubre, certificados 3C de bicicletas suspendidos en todo el sector [24, 25]. Las motos (+63,7 %) y el extranjero (≈ 2 % de las ventas) compensan una parte [3, 27].</w:t>
      </w:r>
    </w:p>
    <w:p>
      <w:pPr>
        <w:spacing w:after="100"/>
      </w:pPr>
      <w:r>
        <w:rPr>
          <w:b/>
        </w:rPr>
        <w:t xml:space="preserve">Equipo y gobierno.</w:t>
      </w:r>
      <w:r>
        <w:t xml:space="preserve"> Los fundadores, Dong Jinggui (presidente) y su esposa Qian Jinghong (consejera delegada), controlan el 62,96 % [1]. Alertas: cambio de auditor en 2025 (PwC dimitió antes de auditar; Deloitte, sin salvedades) y un mandato de emisión del 20 % aprobado con ≈ 79 % del capital libre presente en contra [13, 31]. Los fundadores no han vendido.</w:t>
      </w:r>
    </w:p>
    <w:p>
      <w:pPr>
        <w:spacing w:after="100"/>
      </w:pPr>
      <w:r>
        <w:rPr>
          <w:b/>
        </w:rPr>
        <w:t xml:space="preserve">Valoración.</w:t>
      </w:r>
      <w:r>
        <w:t xml:space="preserve"> El DCF da 13,93 RMB (WACC del 8,55 %, bono chino al 1,64 % [39]); el precio equivale a un margen EBITDA del 4,6 % para siempre, el de un año malo. A 12 meses: PER de 10,5x (el actual × 1,1) sobre un BPA de 2028e de 0,86 RMB, un 26 % por debajo del consenso. Con un BPA un 10 % menor, la v3 baja al 17,0 %.</w:t>
      </w:r>
    </w:p>
    <w:p>
      <w:pPr>
        <w:spacing w:after="100"/>
      </w:pPr>
      <w:r>
        <w:rPr>
          <w:b/>
        </w:rPr>
        <w:t xml:space="preserve">Riesgos y catalizadores.</w:t>
      </w:r>
      <w:r>
        <w:t xml:space="preserve"> El riesgo principal es que la demanda de bicicletas tarde dos años en volver (bajista a 12 meses ≈ −22 %); le siguen la guerra de precios, los certificados 3C y una caja que depende de los proveedores. </w:t>
      </w:r>
      <w:r>
        <w:rPr>
          <w:b/>
        </w:rPr>
        <w:t xml:space="preserve">Riesgo de IA: bajo</w:t>
      </w:r>
      <w:r>
        <w:t xml:space="preserve">. Catalizadores: reglas 3C del 1-nov-2026, cierre de Jinjian y resultados de 2026 hacia el 30-mar-2027. Veredicto de precio y noticias: no cambia.</w:t>
      </w:r>
    </w:p>
    <w:p>
      <w:pPr>
        <w:spacing w:after="100"/>
      </w:pPr>
      <w:r>
        <w:rPr>
          <w:b/>
        </w:rPr>
        <w:t xml:space="preserve">Qué cambiaría la decisión.</w:t>
      </w:r>
      <w:r>
        <w:t xml:space="preserve"> Un precio por encima de 9,03 HKD deja de ser compra robusta (sigue siendo Comprar hasta ≈ 9,97 HKD con el objetivo fijo); un 2S26 por debajo de 16.500 M o la revocación de los certificados 3C bajarían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9,45 RMB (11,12 HKD)</w:t>
      </w:r>
      <w:r>
        <w:t xml:space="preserve"> (rentabilidad +29,3 % (base +23,8 %)) · Valor intrínseco: 13,85 RMB (16,29 HKD) (+80,6 % sobre 7,67) · con la prima implícita del mercado: 15,34 (18,04 HKD) (+100,0 %)</w:t>
      </w:r>
    </w:p>
    <w:p>
      <w:pPr>
        <w:spacing w:after="100"/>
      </w:pPr>
      <w:r>
        <w:t xml:space="preserve">Yadea es el líder de un mercado maduro y concentrado, con caja neta de ≈ 11.300 M (el 47 % de su capitalización), un dividendo del 6 % y un capital operativo negativo [1, 3].</w:t>
      </w:r>
    </w:p>
    <w:p>
      <w:pPr>
        <w:spacing w:after="100"/>
      </w:pPr>
      <w:r>
        <w:t xml:space="preserve">El mercado la paga como si el margen de la guerra de precios de 2024 fuera el normal: 9,6 veces nuestro BPA de 2027e, ya un 22 % por debajo del consenso, y un margen implícito del 4,6 % frente al 8-9 % de los años sin subvención.</w:t>
      </w:r>
    </w:p>
    <w:p>
      <w:pPr>
        <w:spacing w:after="100"/>
      </w:pPr>
      <w:r>
        <w:t xml:space="preserve">No necesitamos que vuelva 2025: con un BPA de 2028e un 10 % menor que el de 2025 la regla da un 29 % a 12 meses. El riesgo es el tiempo: la demanda de bicicletas aún no ha tocado fondo.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RMB (11,12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0,66 = 5,54 · 10,5x × 0,86 = 9,03 · 14,2x × 1,00 = 14,20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 /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 (nuestro base -26,0 %)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 RMB (16,29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0,8502 RMB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 RMB (9,02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134,2 % /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 RMB (18,04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frente a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8,48 (9,97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8,48 y 11,02 (9,97 y 12,96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11,02 (12,96 HKD) (ponderada a 12 meses ≤ -10 %)</w:t>
            </w:r>
          </w:p>
        </w:tc>
      </w:tr>
    </w:tbl>
    <w:p>
      <w:pPr>
        <w:spacing w:after="160" w:before="0"/>
      </w:pPr>
    </w:p>
    <w:p>
      <w:pPr>
        <w:spacing w:after="100"/>
      </w:pPr>
      <w:r>
        <w:rPr>
          <w:b/>
          <w:bCs/>
        </w:rPr>
        <w:t xml:space="preserve">Por qué la recomendación se aparta de la regla.</w:t>
      </w:r>
    </w:p>
    <w:p>
      <w:pPr>
        <w:spacing w:after="100"/>
      </w:pPr>
      <w:r>
        <w:t xml:space="preserve">Convicción media: todas las reglas dan Comprar, pero con poco margen en la prueba de robustez. La regla a 12 meses (v3) da un 29,3 % ponderado y un 23,8 % en el base; la v2, un 17,8 % y un 13,8 %; el valor intrínseco (13,85 RMB, 16,29 HKD) está un 81 % por encima del precio. Con un BPA un 10 % más bajo la v3 se queda en el 17,0 % y el 12,1 %: el límite de compra robusta es 9,03 HKD, justo en el precio de hoy (9,02). La calidad pasa (ROIC sobre el capital fijo del 43,5 % frente a un WACC del 8,6 %; sostenibilidad «Sí»). No llega a convicción alta porque el ciclo de las bicicletas no ha tocado fondo y el consenso sigue bajando.</w:t>
      </w:r>
    </w:p>
    <w:p>
      <w:pPr>
        <w:pStyle w:val="Heading2"/>
      </w:pPr>
      <w:r>
        <w:t xml:space="preserve">Qué cambiaría la recomendación</w:t>
      </w:r>
    </w:p>
    <w:p>
      <w:pPr>
        <w:pStyle w:val="ListParagraph"/>
        <w:numPr>
          <w:ilvl w:val="0"/>
          <w:numId w:val="2"/>
        </w:numPr>
        <w:spacing w:after="60"/>
      </w:pPr>
      <w:r>
        <w:t xml:space="preserve">Precio por encima de 9,03 HKD: deja de ser compra robusta (con el BPA −10 % la v3 no pasa); por encima de ≈ 9,97 HKD deja de ser Comprar con el objetivo fijo.</w:t>
      </w:r>
    </w:p>
    <w:p>
      <w:pPr>
        <w:pStyle w:val="ListParagraph"/>
        <w:numPr>
          <w:ilvl w:val="0"/>
          <w:numId w:val="2"/>
        </w:numPr>
        <w:spacing w:after="60"/>
      </w:pPr>
      <w:r>
        <w:t xml:space="preserve">Revocación de los certificados 3C de modelos importantes o anuncio de la empresa: recalcular el 2S26.</w:t>
      </w:r>
    </w:p>
    <w:p>
      <w:pPr>
        <w:pStyle w:val="ListParagraph"/>
        <w:numPr>
          <w:ilvl w:val="0"/>
          <w:numId w:val="2"/>
        </w:numPr>
        <w:spacing w:after="60"/>
      </w:pPr>
      <w:r>
        <w:t xml:space="preserve">Margen bruto semestral por debajo del 16 % o ventas del 2S26 por debajo de 16.500 M: bajaríamos el base al bajista.</w:t>
      </w:r>
    </w:p>
    <w:p>
      <w:pPr>
        <w:pStyle w:val="ListParagraph"/>
        <w:numPr>
          <w:ilvl w:val="0"/>
          <w:numId w:val="2"/>
        </w:numPr>
        <w:spacing w:after="60"/>
      </w:pPr>
      <w:r>
        <w:t xml:space="preserve">Vuelta de las bicicletas eléctricas a la subvención nacional en 2027: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4,6 % para siempre, como en 2024, o ventas cayendo. Los analistas (todos en comprar) esperan aún ventas de 38.613 M en 2026e y un BPA de 1,17 RMB en 2028e [15].</w:t>
      </w:r>
    </w:p>
    <w:p>
      <w:pPr>
        <w:keepNext/>
        <w:spacing w:after="100"/>
      </w:pPr>
      <w:r>
        <w:rPr>
          <w:b/>
          <w:bCs/>
        </w:rPr>
        <w:t xml:space="preserve">Lo que creemos nosotros.</w:t>
      </w:r>
    </w:p>
    <w:p>
      <w:pPr>
        <w:spacing w:after="100"/>
      </w:pPr>
      <w:r>
        <w:t xml:space="preserve">Más prudentes que los analistas a corto plazo (ventas de 35.528 M en 2026e y BPA de 0,86 en 2028e, un 26 % menos) y más optimistas que el precio a largo: margen del 8,5-8,8 %, el de 2022-2023.</w:t>
      </w:r>
    </w:p>
    <w:p>
      <w:pPr>
        <w:keepNext/>
        <w:spacing w:after="100"/>
      </w:pPr>
      <w:r>
        <w:rPr>
          <w:b/>
          <w:bCs/>
        </w:rPr>
        <w:t xml:space="preserve">Por qué podemos tener razón.</w:t>
      </w:r>
    </w:p>
    <w:p>
      <w:pPr>
        <w:spacing w:after="100"/>
      </w:pPr>
      <w:r>
        <w:t xml:space="preserve">El 1S26 (−5,0 %, margen del 8,9 %) muestra que, sin subvención y con las bicicletas cayendo un 38 %, el margen aguanta en el 9 % gracias a las motos [3]. La guerra de precios de 2024 fue con el mercado esperando el estándar nuevo; ahora el estándar y los 3C expulsan a los pequeños [25].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RMB) · precio actual 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Caja y dividendo</w:t>
      </w:r>
      <w:r>
        <w:t xml:space="preserve">: caja neta de ≈ 11.300 M tras dividendo y Jinjian, dividendo del 6 % [3].</w:t>
      </w:r>
    </w:p>
    <w:p>
      <w:pPr>
        <w:pStyle w:val="ListParagraph"/>
        <w:numPr>
          <w:ilvl w:val="0"/>
          <w:numId w:val="2"/>
        </w:numPr>
        <w:spacing w:after="60"/>
      </w:pPr>
      <w:r>
        <w:rPr>
          <w:b/>
        </w:rPr>
        <w:t xml:space="preserve">Precio</w:t>
      </w:r>
      <w:r>
        <w:t xml:space="preserve">: 9,6x nuestro BPA de 2027e, por debajo de Aima (9,6x el del consenso) y de su historia (mediana de 13,7x) [38].</w:t>
      </w:r>
    </w:p>
    <w:p>
      <w:pPr>
        <w:pStyle w:val="ListParagraph"/>
        <w:numPr>
          <w:ilvl w:val="0"/>
          <w:numId w:val="2"/>
        </w:numPr>
        <w:spacing w:after="60"/>
      </w:pPr>
      <w:r>
        <w:rPr>
          <w:b/>
        </w:rPr>
        <w:t xml:space="preserve">Motos</w:t>
      </w:r>
      <w:r>
        <w:t xml:space="preserve">: +63,7 % en unidades en el 1S26 [3].</w:t>
      </w:r>
    </w:p>
    <w:p>
      <w:pPr>
        <w:pStyle w:val="ListParagraph"/>
        <w:numPr>
          <w:ilvl w:val="0"/>
          <w:numId w:val="2"/>
        </w:numPr>
        <w:spacing w:after="60"/>
      </w:pPr>
      <w:r>
        <w:rPr>
          <w:b/>
        </w:rPr>
        <w:t xml:space="preserve">Calidad</w:t>
      </w:r>
      <w:r>
        <w:t xml:space="preserve">: ROIC sobre el capital fijo del 43,5 % y el estándar nuevo que favorece a los grandes [1, 25].</w:t>
      </w:r>
    </w:p>
    <w:p>
      <w:pPr>
        <w:pStyle w:val="Heading2"/>
      </w:pPr>
      <w:r>
        <w:t xml:space="preserve">En contra</w:t>
      </w:r>
    </w:p>
    <w:p>
      <w:pPr>
        <w:pStyle w:val="ListParagraph"/>
        <w:numPr>
          <w:ilvl w:val="0"/>
          <w:numId w:val="2"/>
        </w:numPr>
        <w:spacing w:after="60"/>
      </w:pPr>
      <w:r>
        <w:rPr>
          <w:b/>
        </w:rPr>
        <w:t xml:space="preserve">Ciclo</w:t>
      </w:r>
      <w:r>
        <w:t xml:space="preserve">: bicicletas −37,8 % en el 1S26 tras el pico de 2025 [3].</w:t>
      </w:r>
    </w:p>
    <w:p>
      <w:pPr>
        <w:pStyle w:val="ListParagraph"/>
        <w:numPr>
          <w:ilvl w:val="0"/>
          <w:numId w:val="2"/>
        </w:numPr>
        <w:spacing w:after="60"/>
      </w:pPr>
      <w:r>
        <w:rPr>
          <w:b/>
        </w:rPr>
        <w:t xml:space="preserve">Guerra de precios</w:t>
      </w:r>
      <w:r>
        <w:t xml:space="preserve">: descuentos de 400-800 RMB en septiembre [24].</w:t>
      </w:r>
    </w:p>
    <w:p>
      <w:pPr>
        <w:pStyle w:val="ListParagraph"/>
        <w:numPr>
          <w:ilvl w:val="0"/>
          <w:numId w:val="2"/>
        </w:numPr>
        <w:spacing w:after="60"/>
      </w:pPr>
      <w:r>
        <w:rPr>
          <w:b/>
        </w:rPr>
        <w:t xml:space="preserve">Certificados 3C</w:t>
      </w:r>
      <w:r>
        <w:t xml:space="preserve"> suspendidos desde finales de septiembre [25].</w:t>
      </w:r>
    </w:p>
    <w:p>
      <w:pPr>
        <w:pStyle w:val="ListParagraph"/>
        <w:numPr>
          <w:ilvl w:val="0"/>
          <w:numId w:val="2"/>
        </w:numPr>
        <w:spacing w:after="60"/>
      </w:pPr>
      <w:r>
        <w:rPr>
          <w:b/>
        </w:rPr>
        <w:t xml:space="preserve">Previsiones a la baja</w:t>
      </w:r>
      <w:r>
        <w:t xml:space="preserve">: BPA de 2026e del consenso −18 % en 90 días [38].</w:t>
      </w:r>
    </w:p>
    <w:p>
      <w:pPr>
        <w:pStyle w:val="Heading2"/>
      </w:pPr>
      <w:r>
        <w:t xml:space="preserve">Qué tiene que pasar para que la tesis funcione</w:t>
      </w:r>
    </w:p>
    <w:p>
      <w:pPr>
        <w:spacing w:after="100"/>
      </w:pPr>
      <w:r>
        <w:t xml:space="preserve">Si la demanda de bicicletas toca fondo. La señal de que la tesis mejora: ventas del 2S26 de 17.300 M o más (−3 %) con margen EBITDA del 8,6 % y los certificados 3C recuperados en noviembre; la de que falla: ventas del 2S26 por debajo de 16.500 M, margen bruto por debajo del 16 % o revocaciones de certificados.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semestrales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18.236 M (1S26, −5,0 %)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2S26 &lt; 16.500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2S26 de −3 %.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8,6-8,8 %.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bicicletas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(crédito a distribuidores)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M (30-jun-2026)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lleno o ventas forzadas.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Certificados 3C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Suspendidos en parte (oct-2026)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Revocaciones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modelo revocado tarda ≈ 3 meses en volver.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 / 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Dong Jinggui y Qian Jinghong, matrimonio que había trabajado en una fábrica de motos, fundaron Jiangsu Yadea en Wuxi en 2001 [1]. La empresa creció con la ola de las bicicletas eléctricas y salió a bolsa en Hong Kong el 19-may-2016 [1]. El cambio de estándar de 2019 y la estrategia de gama alta la llevaron de 11.968 M de ventas en 2019 a 26.968 M en 2021 [6]. En 2022 compró Huayu (baterías) y colocó 68,8 M de acciones para financiar fábricas fuera; en 2023 superó los 16,5 millones de unidades; 2024 fue un año de caída (−18,8 %) y 2025, con las subvenciones, el récord: 37.008 M de ventas y 2.912 M de beneficio [1, 2]. En 2026 la abrumadora caída de las bicicletas tras el nuevo estándar y el fin de la subvención la devolvieron a un año de ajuste.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Yadea en Wuxi por Dong Jinggui y Qian Jinghong.</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Hong Kong (19 de mayo).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estándar nacional obligatorio y primera fábrica fuera (Vietnam); reposicionamiento hacia la gama alta.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+62 % hasta 19.360 M: renovación del parque con el estándar de 2019; la acción multiplica por ocho.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Huayu (baterías) y colocación de 68,8 M de acciones para la expansión exterior.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−18,8 %: espera del nuevo estándar y guerra de precios; compra de Lingbo (controladores).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16,3 millones de vehículos y 2.912 M de beneficio con las subvenciones; bicicletas de sodio en serie; cambio de auditor.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 de Vietnam (Bac Ninh, 100 M USD); caída del 1S26; compra de Jinjian por 1.020 M.</w:t>
            </w:r>
          </w:p>
        </w:tc>
      </w:tr>
    </w:tbl>
    <w:p>
      <w:pPr>
        <w:spacing w:after="160" w:before="0"/>
      </w:pPr>
    </w:p>
    <w:p>
      <w:pPr>
        <w:pStyle w:val="Heading1"/>
      </w:pPr>
      <w:r>
        <w:t xml:space="preserve">2. Modelo de negocio</w:t>
      </w:r>
    </w:p>
    <w:p>
      <w:pPr>
        <w:spacing w:after="100"/>
      </w:pPr>
      <w:r>
        <w:t xml:space="preserve">Yadea diseña, fabrica y vende vehículos eléctricos de dos ruedas con su marca: bicicletas eléctricas (≤ 25 km/h, sin carné), motos eléctricas ligeras y sus baterías y cargadores. En 2025 vendió 16,3 millones de vehículos, el primer fabricante del mundo por unidades [1, 2]. Tiene ocho fábricas propias (Wuxi, Qingyuan, Ningbo, Jinzhai, Chongqing, Tianjin, Bac Ninh en Vietnam e Indonesia) con más de 20 millones de unidades de capacidad, seis centros de I+D y más de 2.000 patentes [1]. Vende casi todo en China a través de 5.122 distribuidores y más de 40.000 puntos de venta; el cliente final es el que usa la bici o la moto para ir al trabajo, a la compra o a repartir. Fuera de China vende en más de 100 países, con el sudeste asiático como prioridad; el extranjero fue ≈ 2 % de las ventas en 2025 [27]. Desde 2022 fabrica sus baterías de plomo y de sodio (Huayu) [7].</w:t>
      </w:r>
    </w:p>
    <w:p>
      <w:pPr>
        <w:pStyle w:val="Heading2"/>
      </w:pPr>
      <w:r>
        <w:t xml:space="preserve">Cómo gana dinero</w:t>
      </w:r>
    </w:p>
    <w:p>
      <w:pPr>
        <w:spacing w:after="100"/>
      </w:pPr>
      <w:r>
        <w:t xml:space="preserve">Vende el vehículo al distribuidor, que paga por adelantado, y paga a los proveedores a 30-90 días o con efectos: el negocio se financia con proveedores (circulante del −33 % de las ventas) [1]. El ingreso medio por vehículo es bajo (≈ 1.550 RMB en 2025) y el margen bruto del 15-19 %: el beneficio depende de volumen, mezcla (motos y modelos de gama alta, más caros) y del coste del plomo, el litio, el acero, el aluminio y los plásticos, que son ≈ 80 % del coste [2]. Nada es recurrente salvo el recambio de baterías (28 % de las ventas con cargadores). La demanda es estacional (más en primavera y verano) y sensible a las normas: un cambio de estándar o una subvención mueven millones de unidades en un año [22, 23]. El apalancamiento operativo es alto: en 2024 las ventas cayeron un 18,8 % y el EBIT un 51 %.</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Bicicletas eléctricas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Motos eléctricas (e-scooters)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 y cargadores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Piezas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Bicicletas eléctricas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Motos eléctricas (e-scooters)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 y cargadores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Piezas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llega al 10 % de las ventas [2]. Los clientes directos son 5.122 distribuidores independientes, con contratos anuales, descuentos por volumen y obligación de pagar antes de recibir; el auditor revisa su existencia con visitas [1]. El poder de precios es limitado: Yadea subió los precios de fábrica más de 300 RMB por vehículo desde el 1-abr-2026 cuando los metales subieron un 40 % y los plásticos un 80 % [30], pero en septiembre de 2026 las tiendas hacían descuentos de 400-800 RMB y un modelo C09 bajó de 2.399 a 1.799 RMB [24]. La marca permite cobrar algo más que Tailing (margen bruto de Yadea 19,6 % en el 1S25 frente a 14,6 % de Tailing en 9M25) [19, 29].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vendidos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7,63 millones (−13,2 %)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Bicicletas eléctricas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4,15 millones (−37,8 %)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Motos eléctricas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3,48 millones (+63,7 %)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vehículo (RMB)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1.663 RMB por la mezcla hacia motos (estimación propia con ventas y unidades)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17,7 % (19,6 % en el 1S25)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Distribuidores en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3.660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40.000 puntos de venta en los dos años [1,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vehículos eléctricos de dos ruedas en China (bicicletas eléctricas y motos eléctricas ligeras), medido en ingresos de los fabricantes. Es el mercado de la cuota del 26,8 % de Frost &amp; Sullivan para Yadea en 2024 [19]. No hay una cifra oficial en RMB: la estimamos a partir de esa cuota y de las ventas de Yadea en China (≈ 26.000 M en 2024 → ≈ 97.000 M) y la contrastamos con la de Tailing (12,7 % con 13.600 M de ventas → ≈ 107.000 M) [19, 29]. En unidades, 59,1 millones en 2024 y 63,7 millones en 2025 [18]. El extranjero (sudeste asiático) es un mercado aparte, sobre todo de motos de gasolina por electrificar.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102.000 M RMB en 2024 (estimación propia con las cuotas de Frost &amp; Sullivan) y 63,7 millones de unidades vendidas en 2025 [18,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RMB (estimación propia: unidades × ingreso medio de fábric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estándar GB 17761-2024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con el estándar nuevo desde el 1-sep-2025 y fin de la venta de las antiguas el 1-dic-2025 [23]: adelantó compras en 2025 y deprimió las bicicletas en 2026 (Yadea −37,8 %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Subvenciones de renovación (以旧换新)</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 millones de bicicletas renovadas con subvención en 2025 (≈ 20 % del mercado) frente a 1,38 millones en 2024 [22]; en 2026 las bicicletas eléctricas salen de la lista nacional [20,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y reposición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420 millones de vehículos en circulación (uno por cada tres habitantes) con baterías de vida corta: la reposición sostiene 55-60 millones de ventas al año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sudeste asiático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Exportaciones chinas a ocho países de la ASEAN de 2,34 millones de unidades en 2025, con TCAC del 29 % en 2020-2025; Indonesia 1,26 millones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Metales +40 % y plásticos +80 % en 2026 según el sector [30]; el margen bruto de Yadea bajó del 19,6 % al 17,7 % en el 1S26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Descuentos de 400-800 RMB en tienda en septiembre de 2026 con el mercado interior −12,6 % en el 1S26 [24]; Ninebot crece con producto conectado.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Consumidor sensible al precio (ingreso medio ≈ 1.550 RMB) [2], pero los distribuidores pagan por adelantado y están atomizados (5.122)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Plomo, litio, metales y plásticos ≈ 80 % del coste; Yadea se integró en baterías y controladores (Huayu, Lingbo) [2,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3C más estricta, nuevo estándar y red de distribución; los pequeños salen del mercado (CR5 de motos eléctricas 74,9 %)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Transporte público, bicicletas compartidas y coches pequeños; la moto eléctrica sigue siendo el transporte más barato para 420 millones de usuarios [19].</w:t>
            </w:r>
          </w:p>
        </w:tc>
      </w:tr>
    </w:tbl>
    <w:p>
      <w:pPr>
        <w:spacing w:after="160" w:before="0"/>
      </w:pPr>
    </w:p>
    <w:p>
      <w:pPr>
        <w:pStyle w:val="Heading2"/>
      </w:pPr>
      <w:r>
        <w:t xml:space="preserve">Ciclo</w:t>
      </w:r>
    </w:p>
    <w:p>
      <w:pPr>
        <w:spacing w:after="100"/>
      </w:pPr>
      <w:r>
        <w:t xml:space="preserve">Lo dicen tres indicadores: ventas interiores −12,6 % en el 1S26 (−17,4 % en el 1T) [24], fin de la subvención nacional en 2026 [20] y descuentos en tienda en septiembre [24]. El sector ya vivió dos ciclos parecidos: el cambio de estándar de 2019 (Yadea +60 % en 2020, cuando se renovó el parque) y la caída de 2024 (ventas de Yadea −18,8 %, unidades −21 %) antes del nuevo estándar [1, 6]. En 2008-09 y en 2022 el sector apenas notó la macro: lo mueven las normas, no el PIB.</w:t>
      </w:r>
    </w:p>
    <w:p>
      <w:pPr>
        <w:pStyle w:val="Heading2"/>
      </w:pPr>
      <w:r>
        <w:t xml:space="preserve">Regulación</w:t>
      </w:r>
    </w:p>
    <w:p>
      <w:pPr>
        <w:spacing w:after="100"/>
      </w:pPr>
      <w:r>
        <w:t xml:space="preserve">GB 17761-2024: velocidad máxima de 25 km/h, peso máximo, prohibición de piezas que permitan la manipulación y más requisitos de seguridad; producción desde el 1-sep-2025 y venta desde el 1-dic-2025 [23]. Baterías y cargadores de litio con 3C obligatoria desde el 1-nov-2025 [23]. Reglas nuevas de certificación 3C de bicicletas eléctricas desde el 1-nov-2026, con certificados suspendidos en Yadea, Tailing, Aima y Ninebot desde septiembre por cambios no comunicados y muestras distintas de la producción [25]. Subvención de renovación: 2024-2025 sí; 2026 fuera de la lista nacional [20, 22].</w:t>
      </w:r>
    </w:p>
    <w:p>
      <w:pPr>
        <w:pStyle w:val="Heading2"/>
      </w:pPr>
      <w:r>
        <w:t xml:space="preserve">Tendencias y disrupción</w:t>
      </w:r>
    </w:p>
    <w:p>
      <w:pPr>
        <w:spacing w:after="100"/>
      </w:pPr>
      <w:r>
        <w:t xml:space="preserve">Tres cambios. (1) Mezcla hacia motos eléctricas y modelos conectados: las motos de Yadea pasaron del 19,8 % al 35,3 % de las ventas en un año [3] y Ninebot gana cuota con producto inteligente [24]. (2) Baterías de sodio y litio en lugar de plomo: Yadea produce en masa bicicletas con sodio desde enero de 2025 [2]. (3) Salida al exterior: fábricas en Vietnam (un millón de unidades iniciales), Indonesia y Tailandia para competir con Honda y Yamaha en la electrificación de las motos [2, 27]. Yadea gana con (2) y (3) por escala e integración, y pierde algo de cuota en (1) frente a Ninebot.</w:t>
      </w:r>
    </w:p>
    <w:p>
      <w:pPr>
        <w:pStyle w:val="Heading1"/>
      </w:pPr>
      <w:r>
        <w:t xml:space="preserve">4. Posición competitiva y foso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 China por ingresos en 2024 (26,8 % según Frost &amp; Sullivan) y 1.º del mundo por unidades; 1.º en motos eléctricas en 2025 (26,3 %) [19, 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Aima Technology (爱玛)</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603529.SS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del mercado; más bicicletas y gama media, con margen bruto del 18,3 % en 2025 [19,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Tailing (台铃)</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ventas de 13.600 M y beneficio de 472 M en 2024 (3,5 % neto), margen bruto del 14,6 % en 9M25; prepara su salida a bolsa en Hong Kong [19,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Ninebot (九号)</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689009.SS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conectado y más caro; incluye patinetes y robots cortacésped; ventas de dos ruedas +18,9 % en unidades en el 1S26 [24,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NIU Technologies (小牛)</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alta de litio; pérdidas de 196 M en el 1S26 [24,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Xinri (新日)</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603787.SS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tradicional que pierde escala: ventas de 4.904 M en 2022 a 4.113 M en 2025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Luyuan (绿源)</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2.º en motos eléctricas en 2025 (16,9 %)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5.122 distribuidores y 40.000 puntos de venta y servicio [B13]: densidad útil para el usuario, pero no es un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vehículo de ≈ 1.550-2.400 RMB que se cambia cada pocos años; nada ata al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líder con 26,8 % de cuota; margen bruto 4-5 puntos por encima de Tailing [B2, B12]; más de 2.000 patentes [B13].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escala del mundo (16,3 millones) e integración en baterías y controladores; EBIT del 8,9 % en 2025 frente al 8,4 % de Aima con el doble de unidades [A2, B11].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se concentra con cada norma (3C, nuevo estándar) y los pequeños salen; pero Ninebot ha entrado con éxito en diez años [B8, B7].</w:t>
            </w:r>
          </w:p>
        </w:tc>
      </w:tr>
    </w:tbl>
    <w:p>
      <w:pPr>
        <w:spacing w:after="160" w:before="0"/>
      </w:pPr>
    </w:p>
    <w:p>
      <w:pPr>
        <w:pStyle w:val="Heading2"/>
      </w:pPr>
      <w:r>
        <w:t xml:space="preserve">Amenazas</w:t>
      </w:r>
    </w:p>
    <w:p>
      <w:pPr>
        <w:spacing w:after="100"/>
      </w:pPr>
      <w:r>
        <w:t xml:space="preserve">La amenaza principal es la competencia en precio en un mercado que se encoge: si el mercado interior se queda en ≈ 50-55 millones de unidades, Aima, Tailing y Ninebot pelearán por la misma reposición con descuentos (ya 400-800 RMB) [24]. Probabilidad alta de un 2026-2027 con márgenes por debajo de 2025. Segunda: Ninebot y las marcas conectadas pueden quitar a Yadea la gama alta y joven (probabilidad media). Tercera: un endurecimiento de la certificación que pare modelos durante meses (los certificados suspendidos de octubre de 2026) [25]. A favor de Yadea, cada norma nueva expulsa a fabricantes pequeños.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8,2 %</w:t>
      </w:r>
      <w:r>
        <w:t xml:space="preserve">, EBITDA </w:t>
      </w:r>
      <w:r>
        <w:rPr>
          <w:b/>
          <w:bCs/>
        </w:rPr>
        <w:t xml:space="preserve">26,7 %</w:t>
      </w:r>
      <w:r>
        <w:t xml:space="preserve">, BPA </w:t>
      </w:r>
      <w:r>
        <w:rPr>
          <w:b/>
          <w:bCs/>
        </w:rPr>
        <w:t xml:space="preserve">19,4 %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RMB,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26.967,5 M en 2021 a 37.008,2 M en 2025 (TCAC del 8,2 %), con dos años muy distintos: 2024 cayó un 18,8 % (unidades de 16,5 a 13,0 millones) por la espera del nuevo estándar nacional y la guerra de precios, y 2025 subió un 31,1 % (16,3 millones de unidades) con las subvenciones de renovación [1, 2]. El margen bruto fue del 15,2 % en 2021, 18,1 % en 2022, 16,9 % en 2023, 15,2 % en 2024 y 19,1 % en 2025; la dirección atribuye la subida de 2025 a la mezcla y a la integración vertical de baterías [2]. En el 1S26 las ventas bajaron un 5,0 %, el margen bruto cayó al 17,7 % y el beneficio un 27,2 %: las bicicletas eléctricas cayeron un 37,8 % en unidades y las motos eléctricas subieron un 63,7 % tras el cambio de estándar [3]. Lo orgánico domina: Huayu (2022) y Lingbo (2024) son proveedores de baterías y controladores comprados para integrarse hacia atrás [7, 10].</w:t>
      </w:r>
    </w:p>
    <w:p>
      <w:pPr>
        <w:pStyle w:val="Heading2"/>
      </w:pPr>
      <w:r>
        <w:t xml:space="preserve">Ajustes y partidas no recurrentes</w:t>
      </w:r>
    </w:p>
    <w:p>
      <w:pPr>
        <w:spacing w:after="100"/>
      </w:pPr>
      <w:r>
        <w:t xml:space="preserve">Usamos las cifras publicadas. Única reclasificación: los intereses bancarios y las ganancias de los productos de tesorería (360,3 M en 2025; 339,8 M en 2024; 409,4 M en 2023; 257,6 M en 2022; 313,8 M en 2021) salen del beneficio de explotación y van al resultado financiero, porque la caja que los genera se suma en el puente [1, 2, 5, 6]. Las subvenciones públicas (228,5 M en 2025) y la deducción adicional de IVA (172,6 M) se quedan en el EBIT: se repiten todos los años, aunque la deducción de IVA bajó a 38,4 M en el 1S26 [3]. En el 1S26 la empresa revirtió 47,3 M de gasto en acciones por objetivos que no se cumplirán (beneficio puntual) [3]. No hay deterioros ni reestructuraciones.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Yadea publica semestres y no cuelga transcripciones de sus conferencias en HKEXnews; el discurso sale de los anuncios y de las notas de los analistas. En los resultados de 2025 (30-mar-2026) la dirección habló de una demanda impulsada por «políticas públicas» y de un 2026 visto con «optimismo prudente», con el foco en el sudeste asiático y la fábrica de Vietnam de 100 M USD (un millón de unidades de capacidad inicial) [2]. En el 1S26 (25-ago-2026) el tono cambió: «periodo de ajuste» tras el paso completo al nuevo estándar, presión «a corto plazo» en las bicicletas eléctricas, Año Nuevo tardío y recuperación en mayo y junio; espera que la demanda interior se recupere «gradualmente» en el 2S [3]. No dio cifras de ventas en el extranjero ni de existencias en los distribuidores, que es lo que más preguntan los analistas; Guosen atribuye la caída de 2026 a la demanda adelantada por las subvenciones de 2025 [17]. Huachuang y Guosen consideraron el semestre «en línea» con lo esperado, pero recortaron sus previsiones de beneficio de 2026 un 26 % y un 14 % [16, 17]. El mismo día Yadea anunció la compra de Jinjian por 1.020 M en efectivo, que el mercado recibió con una caída cercana al 4 %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Huayu (baterías de plomo y sodio), comprada en enero de 2022 (70 % por 311,5 M y el 30 % restante por 139,5 M en el año): entra desde el inicio del ejercicio y crea el segmento de baterías.; 2024: Wuxi Lingbo (controladores), comprada en marzo de 2024 por 351,5 M; efecto pequeño en ventas.).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Yadea trabaja con circulante muy negativo: a 31-dic-2025 existencias 1.426,6 M + clientes 470,3 M frente a 14.099,5 M de proveedores, −33,0 % de las ventas [1]. Cobra por adelantado a los distribuidores (pasivos por contratos de 492,6 M a 30-jun-2026) y paga a 30-90 días o con efectos [3]. Esa financiación de proveedores es la mitad de la caja: si las ventas bajan, el circulante devuelve caja a los proveedores (2024: flujo operativo de solo 298,9 M) [1]. En el 1S26 los clientes subieron a 1.007,3 M (615,9 M un año antes, +64 % con ventas −5 %) y las existencias a 1.795,6 M: más crédito a los distribuidores en un mercado flojo [3, 8]. Deuda financiera de 1.068,9 M frente a 14.929,4 M de caja: caja neta de unos 13.860 M antes del dividendo y de Jinjian.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10.567</w:t>
      </w:r>
      <w:r>
        <w:t xml:space="preserve">, conversión </w:t>
      </w:r>
      <w:r>
        <w:rPr>
          <w:b/>
          <w:bCs/>
        </w:rPr>
        <w:t xml:space="preserve">102 %</w:t>
      </w:r>
      <w:r>
        <w:t xml:space="preserve"> del beneficio neto; adquisiciones 798, dividendos 4.364, recompras 227.</w:t>
      </w:r>
    </w:p>
    <w:p>
      <w:pPr>
        <w:spacing w:after="100"/>
      </w:pPr>
      <w:r>
        <w:t xml:space="preserve">La conversión depende del circulante: en cinco años el flujo operativo sumó 16.640 M frente a 10.355 M de beneficio, pero año a año oscila de 298,9 M (2024, ventas −18,8 % y proveedores −1.800 M) a 5.989,8 M (2025, ventas +31,1 % y proveedores +2.228 M) [1, 5, 6]. En el 1S26 fue de 1.626,0 M (4.726,6 M en el 1S25) por el menor beneficio, más clientes y existencias y más impuestos pagados [3]. El capex (incluye terrenos) fue del 2,1 % al 5,3 % de las ventas; 2023-2024 fueron años de fábricas nuevas (Chongqing, Indonesia, Vietnam) y 2025-1S26 bajan al 2 %. Estimación propia: mantenimiento ≈ amortización (≈ 1,3-1,6 % de las ventas); el resto, crecimiento. Las compras de productos de tesorería (40.215 M brutos en 2025) son gestión de caja, no inversión.</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(desde el 22-sep-2025; antes PricewaterhouseCoopers)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sin salvedades); asunto clave: reconocimiento de ingresos con distribuidores (descuentos y devoluciones)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auditor desde la salida a bolsa, dimitió el 12-ago-2025 «teniendo en cuenta la situación actual del negocio y las necesidades futuras de auditoría» antes de empezar la auditoría de 2025; el consejo dice que no hubo desacuerdos y nombró a Deloitte [1, 13]. Deloitte dio opinión favorable y señaló como asunto clave los ingresos: muchos distribuidores, gran volumen de descuentos y devoluciones descontados de la venta, y visitas para comprobar que los distribuidores existen [1]. No se capitaliza I+D (1.404,5 M a gastos en 2025) [2]. El gasto en acciones fue de 179,0 M en 2025 y se revirtieron 47,3 M en el 1S26 [1, 3]. El beneficio de 2025 incluye 360,3 M de intereses y productos de tesorería y 401,1 M de subvenciones y deducción de IVA [2]. Señales a vigilar: el cambio de auditor a mitad de año, los clientes que crecen un 64 % con ventas a la baja en el 1S26 y la red de distribuidores que pasó de más de 3.660 a 5.122 en 2025, el año de las subvenciones (riesgo de existencias en el canal) [1, 3, 10]. Lectura de los indicadores del motor en la sección de calidad.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a mitad de año (PwC → Deloitte, ago-sep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desacuerdos declarados; PwC no había empezado la auditoría de 2025. Deloitte firmó sin salvedades [1,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+64 % con ventas −5 % (30-jun-2026 frente a 30-jun-2025)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1.007,3 M frente a 615,9 M: más crédito a distribuidores en plena caída del mercado; posible empuje de existencias al canal [3,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de distribuidores de 3.660 a 5.122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rápido de la red en el año de las subvenciones; no se publican existencias del canal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apoyado en tesorería y subvenciones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Intereses y productos de tesorería (360,3 M) y subvenciones e IVA (401,1 M) suman el 21 % del beneficio antes de impuestos de 2025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707 M en 2025;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41,2 % · </w:t>
      </w:r>
      <w:r>
        <w:rPr>
          <w:b/>
          <w:bCs/>
        </w:rPr>
        <w:t xml:space="preserve">WACC</w:t>
      </w:r>
      <w:r>
        <w:t xml:space="preserve">: 8,6 %.</w:t>
      </w:r>
    </w:p>
    <w:p>
      <w:pPr>
        <w:spacing w:after="100"/>
      </w:pPr>
      <w:r>
        <w:t xml:space="preserve">Yadea crea valor con muy poco capital: el capital invertido es negativo (la caja neta y los proveedores financian todo el circulante), así que el ROIC clásico no se puede calcular. Sobre el capital fijo (inmovilizado, intangibles y fondo de comercio, ≈ 6.270 M en 2025) el ROIC fue del 43,5 % en 2025, del 19,6 % en 2024 (el año malo) y del 49-62 % en 2021-2023, frente a un WACC del 8,6 %: 35 puntos en 2025 y 11 en el peor año [1]. El ROIC incremental de 2021-2025 es del 41 %. El ROE fue del 30 % en 2025 (15 % en 2024). Lo explica el modelo: Yadea cobra a los distribuidores por adelantado y paga a los proveedores a 30-90 días o con efectos a pagar garantizados con depósitos, y el margen operativo es bajo (≈ 9 %) pero sobre muy poco capital. Pasa con holgura el requisito de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7.122,8 M + depósitos a plazo 3.333,7 M + productos de tesorería y depósitos estructurados 4.317,0 M (más 155,9 M de acciones, bonos y participaciones a valor razonable) = 14.929,4 M de caja que usamos en el puente; aparte, 3.557,2 M de depósitos pignorados que garantizan los efectos a pagar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que importa no es la deuda (796,8 M de préstamos bancarios a tipo fijo del 0,6-1,25 % y 272,1 M de préstamos públicos sin interés para fábricas a 30-jun-2026) sino el comercial: 13.670,4 M de proveedores, de ellos 6.858,2 M en efectos (bills payable) garantizados con 3.557,2 M de depósitos pignorados [3]. Los efectos son financiación de proveedores sin interés explícito: los dejamos en el circulante y excluimos los depósitos pignorados de la caja del puente (estimación prudente; sumarlos daría ≈ 1,15 RMB más por acción). Hay 1.408,0 M de dividendo de 2025 por pagar a 30-jun (en otros_ajustes) y un compromiso de 1.020 M por Jinjian firmado el 25-ago-2026 [3, 12]. Sin pensiones de prestación definida, garantías ni contingencias relevantes según la empresa [2]. Edificios por 674,9 M pignorados por la financiación pública [3].</w:t>
      </w:r>
    </w:p>
    <w:p>
      <w:pPr>
        <w:pStyle w:val="Heading1"/>
      </w:pPr>
      <w:r>
        <w:t xml:space="preserve">12. Asignación de capital</w:t>
      </w:r>
    </w:p>
    <w:p>
      <w:pPr>
        <w:pStyle w:val="Confianza"/>
        <w:spacing w:after="100"/>
      </w:pPr>
      <w:r>
        <w:t xml:space="preserve">Confianza: Alta</w:t>
      </w:r>
    </w:p>
    <w:p>
      <w:pPr>
        <w:spacing w:after="100"/>
      </w:pPr>
      <w:r>
        <w:t xml:space="preserve">Sin política escrita de reparto. En la práctica, dividendo final anual: 28 céntimos de HKD por 2021, 40 por 2022, 48 por 2023, 22 más 23 extraordinarios por 2024 y 53 por 2025 (≈ 49 % del beneficio de 2025) [1, 2]. No paga dividendo a cuenta (tampoco en el 1S26) [3]. No recompra para amortizar: el plan de acciones compra en el mercado (4,3 M de acciones por 53,0 M HKD en 2025 y 2,8 M por 30,2 M HKD en el 1S26) [2, 3]. Prioridades declaradas: fábricas en el sudeste asiático, I+D en baterías (sodio) y conectividad, y compras para integrarse [2,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Huayu New Energy (baterías de plomo y sodio), 100 % en dos pasos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(311,5 M el 70 % y 139,5 M el 30 %); asumió 1.990,5 M de deuda de Huayu</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de baterías: el segmento de baterías dio 621,3 M de beneficio bruto en 2025; fondo de comercio de 683,9 M sin deterioro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Wuxi Lingbo Electronic (controladores)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(incluye 24,3 M contingentes)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22,8 M sin deterioro; demasiado pequeña para medir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Jinjian/Garow (bicicletas y motos eléctricas para repartidores; ventas de 2.680 M y beneficio antes de impuestos de 139,0 M en 2025, sin auditar)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pago de 25 % a cuenta en depósito, 70 % al cierre y 5 % a los 12 meses; precio rebajable si el beneficio del 2S26 es menor de 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 7,3 veces el beneficio antes de impuestos de 2025 y 0,38 veces las ventas [12].</w:t>
            </w:r>
          </w:p>
        </w:tc>
      </w:tr>
    </w:tbl>
    <w:p>
      <w:pPr>
        <w:spacing w:after="160" w:before="0"/>
      </w:pPr>
    </w:p>
    <w:p>
      <w:pPr>
        <w:spacing w:after="100"/>
      </w:pPr>
      <w:r>
        <w:t xml:space="preserve">Asignación prudente: la caja creció de 9.943 M (2021) a 14.580 M (2025) mientras se pagaron 4.363 M de dividendos en cinco años y se invirtieron 5.700 M en capex [1, 6]. Las compras son pequeñas e integradoras (baterías, controladores) y la de Jinjian, a 7,3 veces el beneficio antes de impuestos, es más barata que la propia Yadea. La única dilución fue la colocación de 68,8 M de acciones a 12,58 HKD en 2022 (727,8 M RMB) para el extranjero, ya gastada [2]. Lo discutible: la caja es grande para un negocio con circulante negativo y la empresa no recompra a 9 HKD; el dividendo del 49 % es razonable.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Jinggui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en una fábrica de motos antes de fundar Yadea en 2001; preside el grupo desde la salida a bolsa. Llevó las ventas de 7.850 M (2017) a 37.008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Qian Jinghong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y vicepresidenta; cofundadora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Cofundadora (esposa de Dong Jinggui); consejera delegada desde el 14-may-2019. En su mandato las ventas se triplicaron y la empresa se integró en baterías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 Rui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marzo de 2014; contable público certificado en China; antes en auditoría y finanzas corporativas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 Yu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2005; asuntos públicos y relaciones externas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Jiazhong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fue presidente del grupo hasta noviembre de 2024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Zhou Chao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sénior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2007; presidente del grupo entre octubre de 2022 y septiembre de 2023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aviso de beneficio a la baja el 27-dic-2024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1.272,4 M (−51,8 %)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numérica; avisos positivos el 17-jun-2025 y el 6-ene-2026 (beneficio ≥ 2.900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2.911,6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«Optimismo prudente» y recuperación gradual de la demanda interior en el 2S26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−5,0 %, beneficio −27,2 %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estable: el matrimonio fundador lleva 25 años al frente y controla el 62,96 % a través de un fideicomiso familiar [1]. No hay guía numérica; la empresa avisa con «profit alerts» cuando el beneficio se mueve más de lo normal y esos avisos se cumplieron [14]. La rotación está en la presidencia operativa (Wang Jiazhong y Zhou Chao se alternaron como presidentes del grupo) y no en la cúpula. No hay plan de sucesión publicado para los fundadores (57 y 54 años).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Jinggui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Qian Jinghong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Shen 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Mingyu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Chenguang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Liang Qin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 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remuneraciones,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sin salvedades); asunto clave: reconocimiento de ingresos con distribuidores (descuentos y devoluciones)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DQ Prosperity Group (fideicomiso de Dong Jinggui y Qian Jinghong)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(fundadores)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a 30-jun-2026; compró acciones en enero de 2024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Fideicomiso del plan de acciones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consolidada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76,5 M a 31-dic-2025 → 57,6 M a 30-jun-2026 (entregas a empleados)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Libre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más del 5 %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Hong Kong no se vota un informe de remuneraciones: la junta autoriza al consejo a fijar la de los consejeros (99,72 % a favor en 2026, 99,42 % en 2025) [31, 32]. En 2025 el presidente cobró 5,04 M RMB y la consejera delegada 3,81 M (2,61 M y 1,14 M en 2024): sueldo y bonus discrecional «según mercado, rendimiento individual y contribución», sin métricas publicadas [1]. Los fundadores no reciben acciones; el plan de RSU de directivos y empleados tiene condiciones de rendimiento no detalladas (en el 1S26 se revirtieron 47,3 M porque no se cumplirán) [4]. Sin cláusulas de recuperación publicadas. Ratio frente al coste medio por empleado ≈ 14 veces (3,81 M frente a ≈ 0,28 M de 3.133,9 M entre 11.245 empleados; estimación propia) [1].</w:t>
      </w:r>
    </w:p>
    <w:p>
      <w:pPr>
        <w:pStyle w:val="Heading2"/>
      </w:pPr>
      <w:r>
        <w:t xml:space="preserve">Operaciones vinculadas, estructura de control y defensas</w:t>
      </w:r>
    </w:p>
    <w:p>
      <w:pPr>
        <w:spacing w:after="100"/>
      </w:pPr>
      <w:r>
        <w:t xml:space="preserve">Los fundadores controlan el 62,96 % mediante un fideicomiso discrecional (DQ Prosperity Trust; fiduciario Trident Trust) [1]. Una clase de acciones, sin límites de voto ni blindajes; sociedad de las Islas Caimán. Tres de siete consejeros son ejecutivos y familia o colaboradores directos; cuatro independientes, todos con menos de cuatro años en el cargo [1, 35]. No hay operaciones vinculadas relevantes declaradas en 2025 [1]. En la junta de 2026 el mandato para emitir hasta un 20 % de acciones nuevas recibió un 23,06 % de votos en contra (≈ 79 % del capital libre presente) y el de reemitir recompradas un 20,55 % [31]: los minoritarios rechazan la dilución, pero el voto de control lo aprueba.</w:t>
      </w:r>
    </w:p>
    <w:p>
      <w:pPr>
        <w:pStyle w:val="Heading2"/>
      </w:pPr>
      <w:r>
        <w:t xml:space="preserve">Señales de alerta</w:t>
      </w:r>
    </w:p>
    <w:p>
      <w:pPr>
        <w:pStyle w:val="ListParagraph"/>
        <w:numPr>
          <w:ilvl w:val="0"/>
          <w:numId w:val="2"/>
        </w:numPr>
        <w:spacing w:after="60"/>
      </w:pPr>
      <w:r>
        <w:t xml:space="preserve">Cambio de auditor a mitad de año: PwC dimitió el 12-ago-2025 antes de empezar la auditoría de 2025; Deloitte desde el 22-sep-2025 [13].</w:t>
      </w:r>
    </w:p>
    <w:p>
      <w:pPr>
        <w:pStyle w:val="ListParagraph"/>
        <w:numPr>
          <w:ilvl w:val="0"/>
          <w:numId w:val="2"/>
        </w:numPr>
        <w:spacing w:after="60"/>
      </w:pPr>
      <w:r>
        <w:t xml:space="preserve">Rotación de independientes: Wong Lung Ming dimitió el 29-abr-2026 por otros compromisos y entró He Ping el 18-jun-2026 [34, 35].</w:t>
      </w:r>
    </w:p>
    <w:p>
      <w:pPr>
        <w:pStyle w:val="ListParagraph"/>
        <w:numPr>
          <w:ilvl w:val="0"/>
          <w:numId w:val="2"/>
        </w:numPr>
        <w:spacing w:after="60"/>
      </w:pPr>
      <w:r>
        <w:t xml:space="preserve">El mandato de emisión del 20 % se aprobó con ≈ 79 % del capital libre presente en contra (junta de 2026)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Yadea no da guía numérica. En marzo de 2026 la dirección se declaró «prudentemente optimista» y fijó un objetivo de 450.000 vehículos vendidos fuera de China en 2026 (310.000 antes) [15]; en agosto habló de recuperación «gradual» de la demanda interior en el 2S26 [3]. Sin plan a medio plazo publicado. Última confirmación: anuncio del 1S26, 25-ago-2026.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10,28 – 14,13</w:t>
            </w:r>
          </w:p>
        </w:tc>
      </w:tr>
    </w:tbl>
    <w:p>
      <w:pPr>
        <w:spacing w:after="160" w:before="0"/>
      </w:pPr>
    </w:p>
    <w:p>
      <w:pPr>
        <w:pStyle w:val="Heading2"/>
      </w:pPr>
      <w:r>
        <w:t xml:space="preserve">Revisiones de estimaciones</w:t>
      </w:r>
    </w:p>
    <w:p>
      <w:pPr>
        <w:spacing w:after="100"/>
      </w:pPr>
      <w:r>
        <w:t xml:space="preserve">Recortes fuertes. El BPA de 2026e en Yahoo pasó de 1,047 RMB hace 90 días a 1,057 hace 30 y a 0,860 hoy (−18 %); el de 2027e, de 1,201 a 1,031 (−14 %) [38]. Huachuang bajó su beneficio de 2026e de 3.270 a 2.410 M y Guosen de 3.276 a 2.829 M tras el 1S26 [16, 17]. Citi, BofA y UBS bajaron sus objetivos tras la compra de Jinjian [42]. Causa: la caída de las bicicletas eléctricas tras el nuevo estándar, el fin de la subvención y el margen bruto más bajo. Las ventas de 2026e del consenso (38.613 M, +4,3 %) parecen atrasadas frente a un 1S26 de −5,0 %; el BPA ya está corregido. Única fuente completa: MarketScreener, contrastada con Yahoo (9 analistas, BPA 0,860) y con dos casas chinas.</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ocho en 2020 con la renovación del parque tras el estándar de 2019 y desde entonces cae: −4,3 % anual a cinco años frente a +1,7 % del Hang Seng, y −23,8 % en un año frente a −6,3 % [37]. La caída máxima de cinco años es del −53,7 % (mar-2023 a oct-2026). En 2025 bajó un 9,1 % con un beneficio que se duplicó: el mercado no pagó el año de las subvenciones porque lo vio como pico. En 2026 cae un 16,0 % con la caída de las bicicletas, el recorte de previsiones y la compra de Jinjian [37, 42]. Hoy, 21-oct, ha caído un 5,0 % (9,49 → 9,02 HKD) sin anuncio en HKEXnews; coincide con la suspensión de certificados 3C del sector [25, 44].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 -12,2 % / -29,6 % / -34,8 %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-33,6 % / +12,2 %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11,41 a 13,25 HKD y máximo de 13,46 el 2-abr [37]: aviso de beneficio de 2025 de al menos 2.900 M (6-ene) y resultados del 30-mar (beneficio +129 %, dividendo de 0,53 HKD), con la subida de precios de fábrica del 1-abr [2, 14,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11,27 a 8,91 HKD [37]. Un 4,9 % es el dividendo de 0,53 HKD (fecha ex-dividendo 23-jun) [44]; el resto, con el −5,2 % del 30-jun, coincide con los datos de caída de las ventas interiores de bicicletas (−17,4 % en el 1T según AVC) [24]. Sin anuncio de la empresa en HKEXnews [44]. Recogido en el base (bicicletas −38 % en el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8,91 a 10,73 HKD (mayor subida de un mes, +22,7 % al 30-jul) [37] tras la caída de junio; no encontramos un hecho de la empresa que lo explique.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(25-ago: ventas −5,0 %, beneficio −27,2 %, bicicletas −37,8 %) y compra de Jinjian por 1.020 M el mismo día; Citi, BofA y UBS bajaron objetivos (−4,4 % el 27-ago) [3, 12, 42]. Recogido en el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mínimo de 7,91 HKD (2-oct) [37]: descuentos de 400-800 RMB en tiendas y ventas interiores del 1S26 −12,6 % (Yicai, 11-sep) [24]; Guosen y Huachuang recortan previsiones [16, 17]. Recogido en el base (2S26 −3 %, margen del 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9,49 a 9,02 HKD sin anuncio en HKEXnews [37, 44]; coincide con la noticia de los certificados 3C de bicicletas eléctricas suspendidos en Yadea, Tailing, Aima y Ninebot (Yicai, 16-oct) [25]. Recogido en el base y en el bajista; ver la noticia del 16-oct.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Certificados 3C de modelos de bicicletas eléctricas de Yadea, Tailing, Aima y Ninebot suspendidos desde finales de septiembre (cambios no comunicados y muestras distintas de la producción); los suspendidos se recuperan con documentación y los revocados exigen una solicitud nueva (≈ 3 meses); reglas nuevas desde el 1-nov-2026. No afecta a las motos [25]. Ya es público y está en el precio (−5 % el 21-oct); afecta a todo el sector; en el peor caso (un trimestre sin vender los modelos afectados) cuesta ≈ 0,03-0,05 RMB de BPA de 2026e, &lt; 1 % del valor, y no toca el objetivo de 2028e.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Jinjian/Garow por 1.020 M RMB en efectivo (0,38 veces las ventas; precio rebajable si su beneficio del 2S26 es menor de 50 M), pendiente de cierre [12]. Pagada con caja: en el puente.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BofA y UBS bajan sus objetivos tras el 1S26 y la compra de Jinjian; el BPA de 2026e del consenso baja un 18 % en 90 días (Yahoo) [38, 42]. Todos siguen en comprar (objetivo medio 12,21 RMB)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2026: dividendo de 0,53 HKD aprobado y nuevo consejero independiente (He Ping); mandatos de recompra y emisión renovados [31, 35]. Sin ventas de los fundadores ni colocaciones.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(2026) hacia el 30-mar-2027, estimación por la fecha de 2025 [2]. Unos resultados cercanos no aplazan una compra (reglas 11 y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35 % en un año y un 55 % desde su máximo de cinco años, con causas conocidas y recogidas en el base: el fin de la subvención a las bicicletas, el estándar nuevo que adelantó compras a 2025, la guerra de precios y los recortes de previsiones. La caída de hoy (−5 %) coincide con los certificados 3C suspendidos: es pública, afecta a todo el sector y su efecto en el valor es pequeño (&lt; 1 %); la resolución (recuperar o revocar) puede mover el precio, pero no hay una colocación, ampliación ni decisión con fecha que pueda moverlo más de un 5 % por causa de la empresa. Los fundadores no venden. Aviso P5 (16 % bajo la media de 200): no cambia la señal. Buscamos en HKEXnews (sin anuncios desde el 2-oct), Yicai, 10jqka, Caiwen y el foro de Guba.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en HKD convertidos a RMB con el tipo de fin de año [37, 41]. Yadea ha cotizado entre 12,5 y 29,5 veces el beneficio del año siguiente desde 2020; hoy, ≈ 9 veces nuestro BPA de 2027e. El descuento tiene causa: 2025 fue un año de subvenciones y el mercado lo trata como pico (en 2025 la acción cayó con el beneficio duplicado); 2024 mostró lo que pasa en un año malo (BPA −52 %); y la tasa libre china ha bajado, lo que no ha subido el múltiplo. Lo estructural: el mercado interior ya no crece y el extranjero es aún pequeño (≈ 2 % de las ventas).</w:t>
      </w:r>
    </w:p>
    <w:p>
      <w:pPr>
        <w:pStyle w:val="Heading1"/>
      </w:pPr>
      <w:r>
        <w:t xml:space="preserve">18. Comparables cotizados</w:t>
      </w:r>
    </w:p>
    <w:p>
      <w:pPr>
        <w:pStyle w:val="Confianza"/>
        <w:spacing w:after="100"/>
      </w:pPr>
      <w:r>
        <w:t xml:space="preserve">Confianza: Media</w:t>
      </w:r>
    </w:p>
    <w:p>
      <w:pPr>
        <w:spacing w:after="100"/>
      </w:pPr>
      <w:r>
        <w:t xml:space="preserve">Dos grupos: fabricantes chinos de dos ruedas (Aima, el rival directo; Ninebot, el que gana cuota; Loncin y CFMoto, motos de gasolina y eléctricas) y los grandes de motos de Asia con los que Yadea compite en el sudeste asiático (Honda) o que electrifican sus gamas (Hero, Bajaj, TVS). Fuera NIU y Xinri (pérdidas o beneficio residual: PER sin sentido), Tailing (no cotiza) y Eicher (motos de lujo). Las indias cotizan con prima por su mercado; por eso el peso de comparables es 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0"/>
        <w:gridCol w:w="504"/>
        <w:gridCol w:w="908"/>
        <w:gridCol w:w="706"/>
        <w:gridCol w:w="807"/>
        <w:gridCol w:w="807"/>
        <w:gridCol w:w="706"/>
        <w:gridCol w:w="706"/>
        <w:gridCol w:w="756"/>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Yadea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Aima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Ninebot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Loncin Motor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Zhejiang CFMoto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Honda Motor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Hero MotoCorp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Bajaj Auto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TVS Motor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11,4x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13,9x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1,1x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Dos grupos: los chinos de dos ruedas (Aima 9,6x el BPA de los próximos 12 meses, Ninebot 11,2x, Loncin 12,2x, CFMoto 15,7x) y los grandes de motos de Asia (Honda 9,5x, Hero 16,7x, Bajaj 22,1x, TVS 36,9x) [38]. Yadea cotiza a 7,7x su BPA del consenso y a 9,6x el nuestro de 2027e, por debajo de todos: el descuento frente a Aima (su rival directo, con margen parecido) es de ≈ 20 %, aunque Yadea tiene más cuota (26,8 % frente al 17,9 %), más caja y paga más dividendo [19]. Las indias cotizan con prima por su mercado y Honda incluye su financiera: la mediana (14,0x) está inflada por ellas; con solo los chinos sería ≈ 11,7x. Por eso los comparables pesan el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Jinjian/Garow (bicicletas y motos eléctricas)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Yadea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7,3 veces el beneficio antes de impuestos de 2025 (139,0 M, sin auditar); precio rebajable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Huayu New Energy (baterías)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Yadea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 M por el 100 % en dos pasos y 1.990,5 M de deuda asumida; sin cifras de ventas publicadas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Wuxi Lingbo Electronic (controladores)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hacia atrás; sin múltiplo publicado [10].</w:t>
            </w:r>
          </w:p>
        </w:tc>
      </w:tr>
    </w:tbl>
    <w:p>
      <w:pPr>
        <w:spacing w:after="160" w:before="0"/>
      </w:pPr>
    </w:p>
    <w:p>
      <w:pPr>
        <w:spacing w:after="160" w:before="0"/>
      </w:pPr>
    </w:p>
    <w:p>
      <w:pPr>
        <w:spacing w:after="100"/>
      </w:pPr>
      <w:r>
        <w:t xml:space="preserve">Pocas operaciones con múltiplo en el sector: casi todas son compras de proveedores o de marcas pequeñas. La única con cifras, Jinjian, se pagó a 0,38 veces las ventas y ≈ 7,3 veces el beneficio antes de impuestos: menos de lo que cotiza Yadea (0,5 veces las ventas de valor empresa). Yadea no es objeto probable de una oferta: los fundadores tienen el 62,96 %. El peso de este método es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8,2 % anual de 2021 a 2025 (26.968 M a 37.008 M), con un ciclo marcado: +15 % en 2022 (Huayu), +12 % en 2023, −19 % en 2024 (guerra de precios y espera del estándar nuevo) y +31 % en 2025 (subvenciones de renovación: 12,5 millones de bicicletas renovadas en el país) [1, 22]. En el 1S26 cayeron un 5,0 %: bicicletas −37,8 % en unidades y motos +63,7 % [3]. Proyectamos −4,0 % en 2026e (2S26 −3 %), +11,5 % en 2027e (≈ 7,5 puntos de Jinjian, que vendió 2.680 M en 2025 [12]) y +6 % en 2028e, bajando al 3 % en 2033e: el mercado chino crece ≈ 1,5 % al año [18] y el extranjero (≈ 2 % de las ventas, objetivo de 450.000 unidades en 2026 [27]) suma poco al principio.</w:t>
      </w:r>
    </w:p>
    <w:p>
      <w:pPr>
        <w:keepNext/>
        <w:spacing w:after="100"/>
      </w:pPr>
      <w:r>
        <w:rPr>
          <w:b/>
          <w:bCs/>
        </w:rPr>
        <w:t xml:space="preserve">Márgenes.</w:t>
      </w:r>
    </w:p>
    <w:p>
      <w:pPr>
        <w:spacing w:after="100"/>
      </w:pPr>
      <w:r>
        <w:t xml:space="preserve">El margen EBITDA fue del 5,4 % (2021), 9,0 % (2022-2023), 6,3 % (2024) y 10,2 % (2025); 8,9 % en el 1S26 [1, 3]. Media de cinco años: 8,0 %. Proyectamos 8,7 % en 2026e (2S26 al 8,6 %, el del 2S25), 8,7-8,8 % en 2027e-2029e (motos con más margen, pero Jinjian con menos: ≈ 5 % antes de impuestos) y 8,5 % a largo plazo: la guerra de precios con Aima, Tailing y Ninebot (descuentos de 400-800 RMB en septiembre [24]) y el coste de metales y plásticos (+40 % y +80 % [30]) impiden volver al 10 %.</w:t>
      </w:r>
    </w:p>
    <w:p>
      <w:pPr>
        <w:keepNext/>
        <w:spacing w:after="100"/>
      </w:pPr>
      <w:r>
        <w:rPr>
          <w:b/>
          <w:bCs/>
        </w:rPr>
        <w:t xml:space="preserve">Inversión y circulante.</w:t>
      </w:r>
    </w:p>
    <w:p>
      <w:pPr>
        <w:spacing w:after="100"/>
      </w:pPr>
      <w:r>
        <w:t xml:space="preserve">Capex del 3 % de las ventas en 2026e-2027e (fábricas de Indonesia y Vietnam, baterías de sodio [1, 3]) bajando al 2 %; amortización del 1,5 % al 2 %. Circulante del −32 % de las ventas en 2026e (−33 % real en 2025) convergiendo al −25 % en 2033e: suponemos que los proveedores financian algo menos y que Jinjian trae menos crédito comercial; cada punto cuesta ≈ 400 M de caja.</w:t>
      </w:r>
    </w:p>
    <w:p>
      <w:pPr>
        <w:keepNext/>
        <w:spacing w:after="100"/>
      </w:pPr>
      <w:r>
        <w:rPr>
          <w:b/>
          <w:bCs/>
        </w:rPr>
        <w:t xml:space="preserve">Coste del capital.</w:t>
      </w:r>
    </w:p>
    <w:p>
      <w:pPr>
        <w:spacing w:after="100"/>
      </w:pPr>
      <w:r>
        <w:t xml:space="preserve">Todo en RMB: bono chino a 10 años del 1,6412 % (ChinaBond, 21-oct-2026) [39]. Beta de 0,95, la mensual a cinco años frente al Tracker Fund [37]; la semanal a dos años es 0,42, pero un consumo discrecional cíclico no tiene beta 0,4 a largo plazo. Prima de mercado del 5,5 % y prima adicional de 2 puntos (China, un solo país, fundadores con el 63 % y un regulador que cambia el mercado cada pocos años). Deuda pequeña (≈ 4,3 % del valor) al 2 %. WACC del 8,55 %; con la prima implícita de Damodaran (4,2 %) [40] sería del 7,4 %.</w:t>
      </w:r>
    </w:p>
    <w:p>
      <w:pPr>
        <w:keepNext/>
        <w:spacing w:after="100"/>
      </w:pPr>
      <w:r>
        <w:rPr>
          <w:b/>
          <w:bCs/>
        </w:rPr>
        <w:t xml:space="preserve">Valor terminal.</w:t>
      </w:r>
    </w:p>
    <w:p>
      <w:pPr>
        <w:spacing w:after="100"/>
      </w:pPr>
      <w:r>
        <w:t xml:space="preserve">Crecimiento a perpetuidad del 1 %, por debajo del bono chino (1,64 %): el mercado interior es maduro (≈ 420 millones de vehículos en circulación, reposición de 55-60 millones al año [19]). El valor terminal pesa el 59 %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(histórico: 41,2 %)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frente al 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(hoy: 26,8 %)</w:t>
            </w:r>
          </w:p>
        </w:tc>
      </w:tr>
    </w:tbl>
    <w:p>
      <w:pPr>
        <w:spacing w:after="160" w:before="0"/>
      </w:pPr>
    </w:p>
    <w:p>
      <w:pPr>
        <w:spacing w:after="100"/>
      </w:pPr>
      <w:r>
        <w:t xml:space="preserve">La proyección apenas necesita inversión neta de la amortización (reinversión acumulada de 1.889 M, el 10 % del NOPAT, con un capex bruto medio del 2,5 % de las ventas). En un negocio de activos ligeros, el crecimiento medio del 4,2 % tiene que salir de subir precios y de ganar volumen sin capital nuevo, y la prueba es el poder de precios y la cuota (37,2 % del mercado en 2030e, frente al 26,8 %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(bicicletas −38 % en el 1S26 tras el adelanto de compras de 2025; motos +64 %) [3]. Precio y mezcla +4 %: más motos (más caras que una bicicleta) y subida de más de 300 RMB por vehículo del 1-abr-2026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(bicicletas estables, motos y extranjero creciendo), precio y mezcla +2 % y +7,5 puntos de Jinjian (2.680 M de ventas en 2025)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(extranjero: Indonesia, Vietnam, Tailandia) y precio +1,5 %; medio punto de baterías y repuestos.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y precio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y precio +1 %. Ventas de 46.100 M: el 37 % del mercado de 2030e (ventas de los fabricantes chinos en China más lo que exportan, ≈ 124.000 M), frente al 26,8 % de cuota interior de 2024 [19]. La cifra incluye baterías, Jinjian y extranjero, que la cuota interior no cuenta; con el mismo perímetro, la cuota apenas sube.</w:t>
            </w:r>
          </w:p>
        </w:tc>
      </w:tr>
    </w:tbl>
    <w:p>
      <w:pPr>
        <w:spacing w:after="160" w:before="0"/>
      </w:pPr>
    </w:p>
    <w:p>
      <w:pPr>
        <w:spacing w:after="100"/>
      </w:pPr>
      <w:r>
        <w:t xml:space="preserve">Sí. Las pruebas del motor pasan: crecemos un 4,2 % anual frente al 8,2 % histórico, sin inversión neta (el circulante negativo financia el crecimiento) y con un ROIC sobre el capital fijo del 43,5 % (19,6 % en el peor año) [1]. La cuota implícita de 2030e (37 %) queda dentro del límite y se explica sobre todo por Jinjian y el extranjero, no por quitar clientes a Aima. Lo sostiene la escala: primera marca de China, 8 fábricas, 5.122 distribuidores [1], baterías propias (Huayu) y el estándar nuevo, que expulsa a los pequeños [25]. El riesgo es el ciclo: si 2025 fue un pico de reposición, 2026-2027 pueden ser más flojos de lo que suponemos; por eso no crecemos por encima del 6 % orgánico ni volvemos al margen de 2025.</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(WACC: 8,6 %)</w:t>
            </w:r>
          </w:p>
        </w:tc>
      </w:tr>
    </w:tbl>
    <w:p>
      <w:pPr>
        <w:spacing w:after="160" w:before="0"/>
      </w:pPr>
    </w:p>
    <w:p>
      <w:pPr>
        <w:spacing w:after="100"/>
      </w:pPr>
      <w:r>
        <w:t xml:space="preserve">El DCF da 13,93 RMB por acción (16,38 HKD), un 82 % por encima del precio, con el valor terminal en el 59 % del valor. Del valor de las acciones (43.267 M), ≈ 11.300 M es caja neta tras el dividendo y Jinjian. El precio de 7,67 RMB equivale a un margen EBITDA del 4,6 % para siempre (base 8,5 %), el de un año malo como 2024. La tabla de sensibilidad va de 12,17 a 16,92 RMB: con ningún WACC entre el 7,6 % y el 9,6 % ni crecimiento entre el 0 % y el 2 % el valor baja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2025 fue un pico: la demanda de bicicletas tarda dos años en volver, los certificados 3C y la guerra de precios con Aima, Tailing y Ninebot comen margen y Jinjian se integra mal: 3 puntos menos de crecimiento, margen 1,5 puntos más bajo (≈ 7 % a largo plazo) y crecimiento terminal del 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Bicicletas estables tras la caída de 2026, motos y extranjero creciendo, Jinjian sumando ≈ 7,5 puntos en 2027 y margen EBITDA del 8,5-8,8 %, el de los años sin subvención. Reparto del ≈ 50 %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reposición del parque (≈ 420 millones de vehículos) y el estándar nuevo expulsan a los pequeños y Yadea gana cuota; el extranjero llega al 5 % de las ventas: 2 puntos más de crecimiento y un punto más de margen (≈ 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RMB) · precio actual 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13,67 RMB (+78,2 %).</w:t>
      </w:r>
    </w:p>
    <w:p>
      <w:pPr>
        <w:spacing w:after="100"/>
      </w:pPr>
      <w:r>
        <w:t xml:space="preserve">En el DCF los tres escenarios superan el precio (bajista 8,85 RMB, +15 %; base 13,93, +82 %; alcista 17,96, +134 %): la asimetría es buena porque el precio descuenta un margen del 4,6 % para siempre. A 12 meses, con el PER propio de la regla, el bajista sí pierde (≈ −22 % con dividendo: 8,4x sobre un BPA de 0,66), porque supone que el múltiplo baja más con el beneficio. Las dos lecturas no se contradicen: a largo plazo la caja y un margen normal valen más que el precio; a un año, la acción depende de cuándo toque fondo la demanda de bicicletas.</w:t>
      </w:r>
    </w:p>
    <w:p>
      <w:pPr>
        <w:pStyle w:val="Heading1"/>
      </w:pPr>
      <w:r>
        <w:t xml:space="preserve">22. Suma de partes</w:t>
      </w:r>
    </w:p>
    <w:p>
      <w:pPr>
        <w:pStyle w:val="Confianza"/>
        <w:spacing w:after="100"/>
      </w:pPr>
      <w:r>
        <w:t xml:space="preserve">Confianza: Media</w:t>
      </w:r>
    </w:p>
    <w:p>
      <w:pPr>
        <w:spacing w:after="100"/>
      </w:pPr>
      <w:r>
        <w:t xml:space="preserve">No la hacemos: bicicletas, motos y baterías comparten fábricas, marca y red de distribuidores, y la empresa no reparte el balance por línea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RMB) · precio actual 7,6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13,85 RMB (+80,6 % sobre 7,67).</w:t>
      </w:r>
    </w:p>
    <w:p>
      <w:pPr>
        <w:spacing w:after="100"/>
      </w:pPr>
      <w:r>
        <w:t xml:space="preserve">El DCF da 13,93 RMB (16,38 HKD), un 82 % por encima del precio, con un WACC del 8,55 % y un crecimiento a perpetuidad del 1 %; los escenarios van de 8,85 (bajista) a 17,96 RMB (alcista): incluso el bajista supera el precio. Los comparables por PER de los próximos 12 meses dan 10,78-18,01 RMB (mediana de 14,0x). El valor intrínseco ponderado (DCF 50 %, escenarios 30 %, comparables 20 %) es de 13,85 RMB (16,29 HKD). La diferencia con el precio tiene dos causas que el mercado no paga: la caja neta (≈ 11.300 M, el 47 % de la capitalización) y la idea de que 2025 fue el pico. Lo primero es real pero depende de que los proveedores sigan financiando el circulante (−33 % de las ventas): si Yadea encoge, esa caja se va. Lo segundo lo recogemos: nuestro BPA de 2028e (0,86) es un 10 % menor que el de 2025. Las transacciones (Jinjian a 0,38 veces las ventas y ≈ 7,3 veces el beneficio antes de impuestos [12]) dicen lo mismo: el sector se paga barato en China.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(9.6x) × 1.1 (tope: la mediana de 5 años, 13.7x,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+91,2 %</w:t>
            </w:r>
          </w:p>
        </w:tc>
      </w:tr>
    </w:tbl>
    <w:p>
      <w:pPr>
        <w:spacing w:after="160" w:before="0"/>
      </w:pPr>
    </w:p>
    <w:p>
      <w:pPr>
        <w:spacing w:after="100"/>
      </w:pPr>
      <w:r>
        <w:rPr>
          <w:b/>
          <w:bCs/>
        </w:rPr>
        <w:t xml:space="preserve">Objetivo a 12 meses (ponderado):</w:t>
      </w:r>
      <w:r>
        <w:t xml:space="preserve"> 9,45 RMB (11,12 HKD) · rentabilidad +29,3 % (base +23,8 %) · señal Comprar.</w:t>
      </w:r>
    </w:p>
    <w:p>
      <w:pPr>
        <w:spacing w:after="100"/>
      </w:pPr>
      <w:r>
        <w:t xml:space="preserve">Para comparar, con la regla v2 (historia al cierre, mismo precio): 8,1x / 9,6x / 12,4x, 17,8 % Comprar; con el tope anterior del base (×1,3, 14-oct mediodía): 40,9 %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(0,80 RMB) está un 22 % por debajo del consenso de MarketScreener (1,03) y el de 2028e (0,86 RMB) un 26 % por debajo (1,17) [15]. Huachuang (beneficio de 2.860 y 3.180 M en 2027-2028, ≈ 0,92 y 1,02 por acción) y Guosen (1,12 y 1,24) están también por encima [16, 17]. La diferencia: el consenso aún espera ventas de 38.613 M en 2026e (+4,3 %) tras un 1S26 de −5,0 % y un margen que vuelve al ≈ 9 % con ventas más altas; nosotros partimos de 35.528 M y de un margen del 8,7-8,8 %, el de los años sin subvención. El BPA del consenso ya ha bajado un 18 % en 90 días (Yahoo: 1,047 → 0,860 en 2026e) [38]: va hacia nuestras cifras. Nuestro objetivo base (9,03 RMB) queda un 26 % por debajo del objetivo medio de los analistas (12,21 RMB) [15].</w:t>
      </w:r>
    </w:p>
    <w:p>
      <w:pPr>
        <w:keepNext/>
        <w:spacing w:after="100"/>
      </w:pPr>
      <w:r>
        <w:rPr>
          <w:b/>
          <w:bCs/>
        </w:rPr>
        <w:t xml:space="preserve">Del valor intrínseco al objetivo a 12 meses.</w:t>
      </w:r>
    </w:p>
    <w:p>
      <w:pPr>
        <w:spacing w:after="100"/>
      </w:pPr>
      <w:r>
        <w:t xml:space="preserve">El objetivo a 12 meses (9,45 RMB, 11,12 HKD, ponderado 25/50/25) da un 29,3 % con dividendo (23,8 % en el base), por encima del 15 % y del 12 % que pide la regla v3. El base es un PER de 10,5x sobre un BPA de 2028e de 0,86 RMB, más un 6,1 % de dividendo (0,468 RMB por 2025). El valor intrínseco (13,85 RMB) está un 81 % por encima del precio: pasa el filtro de valor real. La v2 (PER al cierre) también da Comprar: 17,8 % ponderado y 13,8 % en el base. Con un BPA un 10 % más bajo, la v3 se queda en el 17,0 % y el 12,1 %: aún pasa, pero justo; el límite robusto es 9,03 HKD, un céntimo por encima del cierre de hoy. El crecimiento del BPA que pedimos es del −10 % desde 2025 (0,955) hasta 2028e: no suponemos que vuelva el pico de las subvenciones. La rentabilidad la explican el dividendo (6 %), el crecimiento del BPA desde un 2026e bajo (+8 % anual de 2026e a 2028e) y el tope del múltiplo (+10 %).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las reglas nuevas de certificación 3C de bicicletas eléctricas; recuperación (con documentación) o revocación (nueva solicitud, ≈ 3 meses) de los certificados suspendidos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recuperan en noviembre, el golpe se queda en unas semanas de ventas de algunos modelos; si se revocan, puede costar parte del 4T26 en bicicletas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Jinjian (1.020 M en efectivo; precio rebajable si su beneficio del 2S26 es menor de 50 M)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7,5 puntos de crecimiento en 2027e; diluye algo 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2027-03-30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 (0,53 HKD por 2025)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2S26 cae menos del 3 % con margen del 8,6 % o más, el consenso deja de bajar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consumo de 2027 (renovación de bienes): vuelta o no de las bicicletas eléctricas a la lista nacional [20,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Volver a la lista sería el alcista; no volver es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 fue el pico del ciclo (subvenciones y estándar nuevo) y la demanda de bicicletas tarda en volver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a 12 meses ≈ −22 % (8,4x × 0,66 RMB); DCF bajista de 8,85 RMB</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Motos +64 % en el 1S26 y extranjero creciendo; parque de ≈ 420 millones que hay que reponer [3,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2S26 por debajo de 16.500 M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con Aima, Tailing y Ninebot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 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2024 el margen EBITDA bajó al 6,3 % (3,1 % en el 2S24) y el BPA un 52 % [10]; un punto de margen es ≈ 1,4 RMB por acción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escala y baterías propias; el estándar nuevo y los 3C expulsan a los pequeños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semestral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Certificados 3C suspendidos y reglas nuevas desde el 1-nov-2026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Perder un trimestre de ventas de los modelos afectados costaría ≈ 0,03-0,05 RMB de BPA de 2026e, &lt; 1 % del valor; no toca el BPA de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todo el sector (Aima, Tailing, Ninebot); los suspendidos se recuperan con documentación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Revocaciones en vez de suspensiones o anuncio de la empresa en HKEXnews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que depende de los proveedores (circulante del −33 %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Pasar al −25 % ya está en el base (≈ −3.000 M en ocho años); al −15 % costaría ≈ 1,3 RMB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14.929 M más 3.557 M pignorados frente a 6.858 M de efectos a pagar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y efectos a pagar cayendo más que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en los distribuidores (canal lleno tras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2S26 de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propias bajaron a 1.796 M; los clientes subieron a 1.007 M (616 M un año antes)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por encima de 1.200 M o descuentos de fábrica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fabricado y vendido en tiendas, con servicio postventa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la conducción asistida o la conectividad pasen a decidir la compra y las ganen marcas tecnológicas (Ninebot)</w:t>
            </w:r>
          </w:p>
        </w:tc>
      </w:tr>
    </w:tbl>
    <w:p>
      <w:pPr>
        <w:spacing w:after="160" w:before="0"/>
      </w:pPr>
    </w:p>
    <w:p>
      <w:pPr>
        <w:pStyle w:val="Heading2"/>
      </w:pPr>
      <w:r>
        <w:t xml:space="preserve">Pre-mortem</w:t>
      </w:r>
    </w:p>
    <w:p>
      <w:pPr>
        <w:spacing w:after="100"/>
      </w:pPr>
      <w:r>
        <w:t xml:space="preserve">Octubre de 2027: la acción ha perdido otro 25 %. Las bicicletas no volvieron: el adelanto de compras de 2025 dejó el mercado vacío dos años, la guerra de precios bajó el margen EBITDA al 6 % y Jinjian perdió dinero. El BPA de 2027 se quedó en 0,60 RMB y el mercado pagó 8 veces el beneficio. Las señales: ventas del 2S26 por debajo de 16.500 M, margen bruto semestral por debajo del 16 % y clientes por encima de 1.200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una moto o una bicicleta eléctrica: Yadea fabrica un producto físico barato que se vende y se repara en tiendas. Puede ayudar en el diseño, la planificación y la conectividad de los vehículos (Ninebot compite con funciones inteligentes). El riesgo indirecto es que las funciones inteligentes decidan la compra entre los jóvenes y favorezcan a Ninebot; Yadea responde con sus gamas conectadas. Riesgo de IA: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(1) Seguridad del producto: los incendios de baterías de litio llevaron a la 3C obligatoria de baterías desde el 1-nov-2025 y al endurecimiento de la certificación de vehículos en 2026; certificados suspendidos pueden parar ventas durante meses [23, 25]. (2) Plomo y reciclaje de baterías: las de plomo siguen siendo mayoría y Huayu las fabrica; el sodio reduce el riesgo [2]. (3) Cadena de suministro y trabajo: 11.339 empleados, con quejas de horas extra en foros en septiembre de 2026 (opinión, sin cifra) [3]. El informe ESG de 2025 se publicó en HKEXnews el 24-abr-2026.</w:t>
      </w:r>
    </w:p>
    <w:p>
      <w:pPr>
        <w:pStyle w:val="Heading2"/>
      </w:pPr>
      <w:r>
        <w:t xml:space="preserve">Controversias</w:t>
      </w:r>
    </w:p>
    <w:p>
      <w:pPr>
        <w:spacing w:after="100"/>
      </w:pPr>
      <w:r>
        <w:t xml:space="preserve">Sin multas ni litigios relevantes publicados en tres años. La empresa declara no tener pasivos contingentes materiales [2]. Lo más cercano a una controversia es la suspensión de certificados 3C de modelos de bicicletas eléctricas en septiembre-octubre de 2026, que comparte con Tailing, Aima y Ninebot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Certificados 3C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modelos tienen el certificado suspendido o revocado y qué parte de las ventas de bicicletas suponen?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ha publicado nada y la acción cayó un 5 % el 21-oct.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ventas de 2025 fue adelanto por las subvenciones y el estándar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2026-2027 son un bache o el nivel normal.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clientes subieron de 616 a 1.007 M en un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crédito a distribuidores para colocar producto.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Jinjian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y qué clientes (plataformas de reparto) trae Jinjian?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7,5 % de las ventas de 2027e.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recompran acciones con ≈ 14.900 M de caja y la acción a 9 HKD?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es el 47 % de la capitalización.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(东方财富股吧), hk01585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mensajes cortos: unos compran «por debajo de 10» por el PER bajo y otros se quejan de la caída del 21-oct («一字断魂刀») y de que las bicicletas sin certificado «no se pueden matricular»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sobre la certificación 3C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comparten noticias de la suspensión de certificados («terremoto del sector») y un mensaje sostiene que la limpieza favorece a los grandes porque los pequeños no pasarán la inspección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Guba, hilos sobre competidores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comenta que Ninebot entra en el primer grupo y que la ventaja de los líderes se estrecha; algún usuario compara con Aima y con una bicicleta de Tesla de 1.399 RMB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baja («por debajo de 10 HKD, comprar»)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 9 veces nuestro BPA de 2027e y caja neta de ≈ 40 % de la capitalización), pero el BPA de 2026 cae ≈ 24 % y el mercado descuenta que 2025 fue el pico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Certificados 3C suspendidos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y sin cuantificar: Yicai confirma modelos de Yadea afectados; la empresa no ha publicado nada (notas B y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Ninebot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Ninebot +18,9 % en unidades en el 1S26 frente a −13,2 % de Yadea (nota B).</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Sudeste asiático y petróleo caro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lo confirma pero sin cifras; ≈ 2 % de las ventas en 2025 y objetivo de 450.000 unidades en 2026 (nota B).</w:t>
            </w:r>
          </w:p>
        </w:tc>
      </w:tr>
    </w:tbl>
    <w:p>
      <w:pPr>
        <w:spacing w:after="160" w:before="0"/>
      </w:pPr>
    </w:p>
    <w:p>
      <w:pPr>
        <w:spacing w:after="100"/>
      </w:pPr>
      <w:r>
        <w:t xml:space="preserve">El particular chino está dividido y cansado: compra en los mínimos por el PER bajo, pero cada noticia regulatoria lo asusta. No hay euforia ni capitulación clara. Aporta un riesgo que las cifras aún no recogen, la suspensión de certificados 3C de octubre, que el informe incorpora en el contexto de mercado. Va más cauto que los analistas, todos en «comprar» con objetivos ≈ 60 % por encima del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45 (22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precio (7,67 RMB) está por debajo del valor del DCF incluso con ventas que caen: el motor no encuentra un crecimiento en su rango (da −2,4 % anual como el más cercano). Por margen sí tiene solución: el precio equivale a un margen EBITDA del 4,6 % para siempre (base 8,5 %), el de un año malo como 2024 (6,3 %; 3,1 % en el 2S24) [1, 10]. Es la lectura del mercado: trata 2025 como pico del ciclo de subvenciones y paga a Yadea como si el margen de la guerra de precios de 2024 fuera el normal. Además, ≈ 11.300 M de la capitalización (23.826 M) es caja neta, que se sostiene con un circulante negativo de ≈ 12.200 M (proveedores y efectos a pagar): el mercado no la cuenta entera.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37,2 % en 2030e frente al 26,8 %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-32,0 % frente a -33,0 % real: genera una variación de circulante de 834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-16,6 % frente al consenso: justifica la diferencia en el DCF. Explicación: Nuestro EBITDA de 2028e (3.695 M) está un 16,6 % por debajo del de MarketScreener ajustado (≈ 4.429 M) y las ventas un 11,3 % (41.990 M frente a 47.321 M) [15]. La diferencia viene de 2026e: el consenso aún espera 38.613 M (+4,3 %) con un 1S26 publicado de −5,0 % [3]; nosotros, 35.528 M (−4,0 %), con un 2S26 de −3 % (bicicletas flojas, descuentos de septiembre y certificados 3C suspendidos [24, 25]). Después crecemos como el consenso (+11,5 % en 2027e con Jinjian y +6 % en 2028e) con un margen del 8,7-8,8 %, el de 2022-2023 y el 1S26 (8,8-9,0 %), sin volver al 10,2 % de las subvenciones de 2025. Nuestro BPA de 2028e (0,86 RMB) queda un 26 % por debajo del consenso (1,17) y un 16 % por debajo de Huachuang (≈ 1,02) [16]: somos prudentes a propósito.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 (cifra exacta del extranjero)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geografías porque más del 90 % es China; 2) informe semestral 2026: igual; 3) prensa (FT vía Guancha): ≈ 2 % de las ventas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RMB (cifra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Tailing en HKEX vía prensa: solo cuotas de Frost &amp; Sullivan; 2) Guanyan Tianxia: unidades, no RMB; 3) derivado de las cuotas y las ventas de Yadea y Tailing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(10 MB, no descargado por tamaño); 2) web de MSCI (requiere registro); 3) prensa: sin calificación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DI de HKEX (di.hkex.com.hk): la búsqueda exige un formulario con estado de sesión que no se pudo automatizar; 2) informe semestral 2026: participación del fundador sin cambios (62,96 %); 3) HKEXnews: sin avisos voluntarios de compras en 12 meses (los últimos, enero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(fijo y variable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9 del anual 2025: «sueldos y otras asignaciones» sin separar el bonus; 2) informe de gobierno 2025: sin desglose; 3) circular de 2026: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(mínimo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Anuales de Yadea: Huayu y Lingbo sin múltiplo; 2) operaciones de rivales (Bajaj-KTM, Hero-Ather, Gogoro): sin cifras de valor empresa comparables o fuera del sector de dos ruedas eléctricas chino; 3) prensa: sin múltiplos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HKEX, posiciones cortas agregadas (web dinámica); 2) Yahoo: no da el dato para Hong Kong;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la media («Comprar»); 2) Yahoo: sin desglose para 1585.HK; 3) prensa: casas chinas en compra (Huachuang, Guosen)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Report: estados consolidados HKFRS de 2025 y 2024 auditados por Deloitte, notas de segmentos, intangibles y fondo de comercio, préstamos públicos, remuneraciones y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https://www1.hkexnews.hk/listedco/listconews/sehk/2026/0424/2026042401612.pdf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Announcement of annual results for the year ended 31 December 2025 (cuenta, balance, ventas y unidades por producto, otros ingresos, gastos por naturaleza)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https://www1.hkexnews.hk/listedco/listconews/sehk/2026/0330/2026033000323.pdf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interim results for the six months ended 30 June 2026 (cuenta, balance, flujos, segmentos, unidades)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https://www1.hkexnews.hk/listedco/listconews/sehk/2026/0825/2026082500215.pdf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 (participaciones, plan de acciones, notas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https://www1.hkexnews.hk/listedco/listconews/sehk/2026/0924/2026092400916.pdf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estados de 2023 y 2022, otros ingresos, gastos por naturaleza, unidades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https://www1.hkexnews.hk/listedco/listconews/sehk/2024/0424/2024042400408.pdf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estados de 2021 y 2020 y resumen de cinco años 2017-2021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https://www1.hkexnews.hk/listedco/listconews/sehk/2022/0427/2022042701816.pdf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compra de Huayu (nota 40) y de sus minoritarios (nota 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https://www1.hkexnews.hk/listedco/listconews/sehk/2023/0426/2023042601737.pdf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interim results for the six months ended 30 June 2025 (1S25 y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https://www1.hkexnews.hk/listedco/listconews/sehk/2025/0826/2025082600307.pdf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2024 (1S24 y 1S23)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https://www1.hkexnews.hk/listedco/listconews/sehk/2024/0926/2024092600801.pdf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compra de Wuxi Lingbo (nota 38), red de distribuidores a 31-dic-2024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https://www1.hkexnews.hk/listedco/listconews/sehk/2025/0424/2025042402045.pdf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de septiembre de 2026 (3.112.647.294 acciones emitidas, sin autocartera; 4.232.100 opciones)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https://www1.hkexnews.hk/listedco/listconews/sehk/2026/1002/2026100200700.pdf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Discloseable transaction: acquisition of the target company (Jinjian/Garow, 1.020 M RMB en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https://www1.hkexnews.hk/listedco/listconews/sehk/2026/0825/2026082501305.pdf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auditor (renuncia de PwC el 12-ago-2025; propuesta de Deloitte)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https://www1.hkexnews.hk/listedco/listconews/sehk/2025/0813/2025081300449.pdf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Positive profit alert (beneficio de 2025 no inferior a 2.900 M RMB)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https://www1.hkexnews.hk/listedco/listconews/sehk/2026/0106/2026010601006.pdf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Yadea 2025-2028 (ventas, EBITDA, EBIT, beneficio, BPA, dividendo), 12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https://www.marketscreener.com/quote/stock/YADEA-GROUP-HOLDINGS-LTD-27546367/finances/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Huachuang Securities: nota sobre los resultados del 1S26 de Yadea (电摩延续高增 新国标切换致业绩承压);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Gelonghui / Huachuang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https://m.gelonghui.com/news/5318051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 nota sobre el 1S26 (业绩符合预期; previsiones rebajadas; demanda adelantada por las subvenciones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Gelonghui / Guosen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https://m.gelonghui.com/news/5309079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Guanyan Tianxia (观研天下): mercado chino de dos ruedas eléctricas, 63,7 millones de unidades vendidas en 2025; exportaciones a la ASEAN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chinabaogao.com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https://www.chinabaogao.com/free/202607/808406.html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Tailing (台铃) y su folleto en HKEX: cuotas por ingresos de Frost &amp; Sullivan en 2024 (Yadea 26,8 % en China, Aima 17,9 %, Tailing 12,7 %)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Jiemian / Bullet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https://www.jiemian.com/article/14095608.html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NDRC y Ministerio de Finanzas: aviso sobre la renovación de bienes de consumo en 2026 (sin bicicletas eléctricas)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NDRC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https://www.ndrc.gov.cn/xwdt/tzgg/202512/t20251230_1402852.html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«国补» continúa: categorías de 2026 (sin bicicletas eléctricas, que salen junto con el hogar)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https://wallstreetcn.com/articles/3762313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Comercio: 2025, más de 12,5 millones de bicicletas eléctricas renovadas con subvención (1,38 millones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Yangzi Evening News / Xinhua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https://www.yzwb.net/news/ch/202601/t20260102_307126.html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estándar GB 17761-2024: producción desde el 1-sep-2025 y fin de la venta de bicicletas del estándar antiguo el 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Paper (澎湃)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https://www.thepaper.cn/newsDetail_forward_32178198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(第一财经): ventas interiores −12,6 % en el 1S26 y −17,4 % en el 1T (AVC); descuentos de 400-800 RMB en tienda; fin de la subvención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 Yicai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https://finance.eastmoney.com/a/202609103870731742.html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(第一财经): certificados 3C de bicicletas eléctricas suspendidos en Yadea, Tailing, Aima y Ninebot; reglas nuevas desde el 1-nov-2026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https://www.yicai.com/news/103397150.html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Guanyan Tianxia: motos eléctricas en China, 3,51 millones vendidas en 2025; Yadea primera con el 26,3 %; CR5 74,9 %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chinabaogao.com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https://www.chinabaogao.com/jingzheng/202602/778531.html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Observer.net: Yadea, ≈ 2 % de las ventas en el extranjero en 2025; objetivo de 450.000 unidades fuera en 2026; fábricas en seis países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Guancha (观察者网)</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https://c.m.163.com/news/a/KT54JGL1051481US.html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cuentas anuales 2022-2025 de Aima, Ninebot, NIU y Xinri (fundamentals timeseries)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https://finance.yahoo.com/quote/603529.SS/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Tailing: folleto de HKEX (resumen de prensa): ventas de 11.880 M (2023), 13.600 M (2024) y 14.840 M (9M25); margen bruto 14,6 %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Beijing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https://www.bjnews.com.cn/detail-1770039210129337.html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precios de fábrica de Yadea del 1-abr-2026 (más de 300 RMB por vehículo) y metales +40 %, plásticos +80 %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Business Daily (每日经济新闻)</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https://www.nbd.com.cn/articles/2026-04-01/4320364.html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AGM held on 17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https://www1.hkexnews.hk/listedco/listconews/sehk/2026/0617/2026061700816.pdf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AGM held on 17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https://www1.hkexnews.hk/listedco/listconews/sehk/2025/0617/2025061700580.pdf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AGM held on 17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https://www1.hkexnews.hk/listedco/listconews/sehk/2024/0617/2024061700659.pdf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Resignation of independent non-executive director (Wong Lung Ming, 29-abr-2026)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https://www1.hkexnews.hk/listedco/listconews/sehk/2026/0427/2026042701537.pdf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independent non-executive director (He Ping, 18-jun-2026)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https://www1.hkexnews.hk/listedco/listconews/sehk/2026/0617/2026061700822.pdf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de la junta de 2026: mandatos de emisión y recompra, reelecciones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Yadea Group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https://www1.hkexnews.hk/listedco/listconews/sehk/2026/0424/2026042401652.pdf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(1585.HK, 2800.HK, 2828.HK): precio, rango, rentabilidades, betas,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https://finance.yahoo.com/quote/1585.HK/history/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comparables (precio, capitalización, valor empresa, EBITDA, estimaciones de ventas y BPA) y consenso de Yadea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https://finance.yahoo.com/quote/1585.HK/analysis/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21-oct-2026: 1,6412 %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prima implícita del S&amp;P 500 (ERPbymonth,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tipos de cambio HKD/CNY, USD/CNY, JPY/CNY, INR/CNY (21-oct-2026) y HKD/CNY de fin de año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https://finance.yahoo.com/quote/HKDCNY=X/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10jqka: caída de casi el 4 % tras la compra de Jinjian; Citi, BofA y UBS bajan sus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同花顺财经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https://stock.10jqka.com.cn/20260829/c679415306.shtml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Caiwen: Yadea sube más de un 5 % el 12-oct-2026 (9,48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Caiwen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https://www.caiwennews.com/article/1645203.shtml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 lista de documentos de Yadea (stockId 140627) del 1-ene-2021 al 21-oct-2026: sin anuncios desde la declaración mensual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https://www1.hkexnews.hk/search/titlesearch.xhtml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(东方财富股吧), foro de Yadea (hk01585): mensajes del 21-sep al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https://guba.eastmoney.com/list,hk01585.html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ninguna</w:t>
      </w:r>
      <w:r>
        <w:t xml:space="preserve"> · Generado el 21 oct 2026.</w:t>
      </w:r>
    </w:p>
    <w:p>
      <w:pPr>
        <w:pStyle w:val="Nota"/>
        <w:spacing w:after="100"/>
      </w:pPr>
      <w:r>
        <w:t xml:space="preserve">Cuentas consolidadas NIIF (HKFRS) en millones de RMB; la acción cotiza en HKD. Fuente primaria: HKEXnews (informes anuales de 2021-2025, anuncio de resultados de 2025, anuncio e informe del 1S26, informes semestrales de 2024-2025, juntas de 2024-2026, compra de Jinjian, avisos de beneficio y Monthly Return de septiembre de 2026) [1, 2, 3, 4, 5, 6, 7, 8, 9, 10, 11, 12, 13, 14, 31, 32, 33, 34, 35, 36]. Hong Kong no tiene XBRL en herramientas/cuentas.mjs. Deloitte auditó 2025 con opinión favorable tras la dimisión de PwC en agosto de 2025 [1, 13]. La empresa publica semestres y unidades por línea (bicicletas, motos, baterías), no precio ni margen por línea: el puente de ingresos es estimación nuestra. Sin cifra oficial del mercado en RMB: lo estimamos con las cuotas de Frost &amp; Sullivan del folleto de Tailing [19]. Precio: cierre de hoy en Hong Kong, 9,02 HKD (21-oct-2026), × 0,8502 RMB por HKD = 7,67 RMB [37, 41]. El registro de participaciones (DI) de HKEX no se pudo consultar (formulario con sesión): las compras y ventas de directivos salen de los informes anuales y semestrales [1, 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Yadea Group Holdings Ltd. (1585.HK)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(6,73 – 11,44)</c:v>
                </c:pt>
                <c:pt idx="1">
                  <c:v>Precio objetivo de los analistas (10,28 – 14,13)</c:v>
                </c:pt>
                <c:pt idx="2">
                  <c:v>Comparables: PER NTM (10,78 – 18,01)</c:v>
                </c:pt>
                <c:pt idx="3">
                  <c:v>DCF (WACC y g ± 0,5) (12,95 – 15,20)</c:v>
                </c:pt>
                <c:pt idx="4">
                  <c:v>Escenarios (bajista – alcista) (8,85 – 17,96)</c:v>
                </c:pt>
                <c:pt idx="5">
                  <c:v>DCF con la prima implícita del mercado (4,2 %)</c:v>
                </c:pt>
                <c:pt idx="6">
                  <c:v>Precio actual (7,67)</c:v>
                </c:pt>
              </c:strCache>
            </c:strRef>
          </c:cat>
          <c:val>
            <c:numRef>
              <c:f>Hoja1!$B$2:$B$8</c:f>
              <c:numCache>
                <c:formatCode>#,##0.0</c:formatCode>
                <c:ptCount val="7"/>
                <c:pt idx="0">
                  <c:v>6.73</c:v>
                </c:pt>
                <c:pt idx="1">
                  <c:v>10.28</c:v>
                </c:pt>
                <c:pt idx="2">
                  <c:v>10.78</c:v>
                </c:pt>
                <c:pt idx="3">
                  <c:v>12.95</c:v>
                </c:pt>
                <c:pt idx="4">
                  <c:v>8.85</c:v>
                </c:pt>
                <c:pt idx="5">
                  <c:v>14.94</c:v>
                </c:pt>
                <c:pt idx="6">
                  <c:v>7.63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(6,73 – 11,44)</c:v>
                </c:pt>
                <c:pt idx="1">
                  <c:v>Precio objetivo de los analistas (10,28 – 14,13)</c:v>
                </c:pt>
                <c:pt idx="2">
                  <c:v>Comparables: PER NTM (10,78 – 18,01)</c:v>
                </c:pt>
                <c:pt idx="3">
                  <c:v>DCF (WACC y g ± 0,5) (12,95 – 15,20)</c:v>
                </c:pt>
                <c:pt idx="4">
                  <c:v>Escenarios (bajista – alcista) (8,85 – 17,96)</c:v>
                </c:pt>
                <c:pt idx="5">
                  <c:v>DCF con la prima implícita del mercado (4,2 %)</c:v>
                </c:pt>
                <c:pt idx="6">
                  <c:v>Precio actual (7,67)</c:v>
                </c:pt>
              </c:strCache>
            </c:strRef>
          </c:cat>
          <c:val>
            <c:numRef>
              <c:f>Hoja1!$C$2:$C$8</c:f>
              <c:numCache>
                <c:formatCode>#,##0.0</c:formatCode>
                <c:ptCount val="7"/>
                <c:pt idx="0">
                  <c:v>4.709999999999999</c:v>
                </c:pt>
                <c:pt idx="1">
                  <c:v>3.8500000000000014</c:v>
                </c:pt>
                <c:pt idx="2">
                  <c:v>7.230000000000002</c:v>
                </c:pt>
                <c:pt idx="3">
                  <c:v>2.25</c:v>
                </c:pt>
                <c:pt idx="4">
                  <c:v>9.110000000000001</c:v>
                </c:pt>
                <c:pt idx="5">
                  <c:v>1.9000000000000004</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(RMB, millones)</a:t>
            </a:r>
          </a:p>
        </c:rich>
      </c:tx>
      <c:overlay val="0"/>
    </c:title>
    <c:autoTitleDeleted val="0"/>
    <c:plotArea>
      <c:layout/>
      <c:barChart>
        <c:barDir val="col"/>
        <c:grouping val="stacked"/>
        <c:varyColors val="0"/>
        <c:ser>
          <c:idx val="0"/>
          <c:order val="0"/>
          <c:tx>
            <c:strRef>
              <c:f>Hoja1!$B$1</c:f>
              <c:strCache>
                <c:ptCount val="1"/>
                <c:pt idx="0">
                  <c:v>Bicicletas eléctricas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9767.7</c:v>
                </c:pt>
                <c:pt idx="1">
                  <c:v>12827.5</c:v>
                </c:pt>
                <c:pt idx="2">
                  <c:v>15952.1</c:v>
                </c:pt>
                <c:pt idx="3">
                  <c:v>12244.2</c:v>
                </c:pt>
                <c:pt idx="4">
                  <c:v>16208.7</c:v>
                </c:pt>
              </c:numCache>
            </c:numRef>
          </c:val>
        </c:ser>
        <c:ser>
          <c:idx val="1"/>
          <c:order val="1"/>
          <c:tx>
            <c:strRef>
              <c:f>Hoja1!$C$1</c:f>
              <c:strCache>
                <c:ptCount val="1"/>
                <c:pt idx="0">
                  <c:v>Motos eléctricas (e-scooters)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10208.6</c:v>
                </c:pt>
                <c:pt idx="1">
                  <c:v>9145.2</c:v>
                </c:pt>
                <c:pt idx="2">
                  <c:v>8635.3</c:v>
                </c:pt>
                <c:pt idx="3">
                  <c:v>7090.6</c:v>
                </c:pt>
                <c:pt idx="4">
                  <c:v>9045.9</c:v>
                </c:pt>
              </c:numCache>
            </c:numRef>
          </c:val>
        </c:ser>
        <c:ser>
          <c:idx val="2"/>
          <c:order val="2"/>
          <c:tx>
            <c:strRef>
              <c:f>Hoja1!$D$1</c:f>
              <c:strCache>
                <c:ptCount val="1"/>
                <c:pt idx="0">
                  <c:v>Baterías y cargadores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6583.8</c:v>
                </c:pt>
                <c:pt idx="1">
                  <c:v>8397.8</c:v>
                </c:pt>
                <c:pt idx="2">
                  <c:v>9249.6</c:v>
                </c:pt>
                <c:pt idx="3">
                  <c:v>7995.5</c:v>
                </c:pt>
                <c:pt idx="4">
                  <c:v>10523.1</c:v>
                </c:pt>
              </c:numCache>
            </c:numRef>
          </c:val>
        </c:ser>
        <c:ser>
          <c:idx val="3"/>
          <c:order val="3"/>
          <c:tx>
            <c:strRef>
              <c:f>Hoja1!$E$1</c:f>
              <c:strCache>
                <c:ptCount val="1"/>
                <c:pt idx="0">
                  <c:v>Piezas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407.5</c:v>
                </c:pt>
                <c:pt idx="1">
                  <c:v>689</c:v>
                </c:pt>
                <c:pt idx="2">
                  <c:v>925.7</c:v>
                </c:pt>
                <c:pt idx="3">
                  <c:v>906</c:v>
                </c:pt>
                <c:pt idx="4">
                  <c:v>1230.5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Bicicletas eléctricas</c:v>
                </c:pt>
                <c:pt idx="1">
                  <c:v>Motos eléctricas (e-scooters)</c:v>
                </c:pt>
                <c:pt idx="2">
                  <c:v>Baterías y cargadores</c:v>
                </c:pt>
                <c:pt idx="3">
                  <c:v>Piezas</c:v>
                </c:pt>
              </c:strCache>
            </c:strRef>
          </c:cat>
          <c:val>
            <c:numRef>
              <c:f>Hoja1!$B$2:$B$5</c:f>
              <c:numCache>
                <c:formatCode>General</c:formatCode>
                <c:ptCount val="4"/>
                <c:pt idx="0">
                  <c:v>43.8</c:v>
                </c:pt>
                <c:pt idx="1">
                  <c:v>24.4</c:v>
                </c:pt>
                <c:pt idx="2">
                  <c:v>28.4</c:v>
                </c:pt>
                <c:pt idx="3">
                  <c:v>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c:v>
                </c:pt>
                <c:pt idx="1">
                  <c:v>Extranjero (sudeste asiático y otros)</c:v>
                </c:pt>
              </c:strCache>
            </c:strRef>
          </c:cat>
          <c:val>
            <c:numRef>
              <c:f>Hoja1!$B$2:$B$3</c:f>
              <c:numCache>
                <c:formatCode>0"%"</c:formatCode>
                <c:ptCount val="2"/>
                <c:pt idx="0">
                  <c:v>98</c:v>
                </c:pt>
                <c:pt idx="1">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(estimación propia: unidades × ingreso medio de fábrica))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2023</c:v>
                </c:pt>
                <c:pt idx="1">
                  <c:v>2024</c:v>
                </c:pt>
                <c:pt idx="2">
                  <c:v>2025</c:v>
                </c:pt>
                <c:pt idx="3">
                  <c:v>2026e</c:v>
                </c:pt>
                <c:pt idx="4">
                  <c:v>2027e</c:v>
                </c:pt>
                <c:pt idx="5">
                  <c:v>2028e</c:v>
                </c:pt>
              </c:strCache>
            </c:strRef>
          </c:cat>
          <c:val>
            <c:numRef>
              <c:f>Hoja1!$B$2:$B$7</c:f>
              <c:numCache>
                <c:formatCode>#,##0</c:formatCode>
                <c:ptCount val="6"/>
                <c:pt idx="0">
                  <c:v>94000</c:v>
                </c:pt>
                <c:pt idx="1">
                  <c:v>102000</c:v>
                </c:pt>
                <c:pt idx="2">
                  <c:v>115000</c:v>
                </c:pt>
                <c:pt idx="3">
                  <c:v>104000</c:v>
                </c:pt>
                <c:pt idx="4">
                  <c:v>106000</c:v>
                </c:pt>
                <c:pt idx="5">
                  <c:v>109000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Yadea</c:v>
                </c:pt>
                <c:pt idx="1">
                  <c:v>Aima Technology (爱玛)</c:v>
                </c:pt>
                <c:pt idx="2">
                  <c:v>Tailing (台铃)</c:v>
                </c:pt>
                <c:pt idx="3">
                  <c:v>Ninebot (九号)</c:v>
                </c:pt>
                <c:pt idx="4">
                  <c:v>NIU Technologies (小牛)</c:v>
                </c:pt>
                <c:pt idx="5">
                  <c:v>Xinri (新日)</c:v>
                </c:pt>
                <c:pt idx="6">
                  <c:v>Luyuan (绿源)</c:v>
                </c:pt>
              </c:strCache>
            </c:strRef>
          </c:cat>
          <c:val>
            <c:numRef>
              <c:f>Hoja1!$B$2:$B$8</c:f>
              <c:numCache>
                <c:formatCode>0.0"%"</c:formatCode>
                <c:ptCount val="7"/>
                <c:pt idx="0">
                  <c:v>8.9</c:v>
                </c:pt>
                <c:pt idx="1">
                  <c:v>8.4</c:v>
                </c:pt>
                <c:pt idx="3">
                  <c:v>8.9</c:v>
                </c:pt>
                <c:pt idx="4">
                  <c:v>-2</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(RMB,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26967.5</c:v>
                </c:pt>
                <c:pt idx="1">
                  <c:v>31059.4</c:v>
                </c:pt>
                <c:pt idx="2">
                  <c:v>34762.8</c:v>
                </c:pt>
                <c:pt idx="3">
                  <c:v>28236.2</c:v>
                </c:pt>
                <c:pt idx="4">
                  <c:v>37008.2</c:v>
                </c:pt>
                <c:pt idx="5">
                  <c:v>35528</c:v>
                </c:pt>
                <c:pt idx="6">
                  <c:v>39614</c:v>
                </c:pt>
                <c:pt idx="7">
                  <c:v>41990</c:v>
                </c:pt>
                <c:pt idx="8">
                  <c:v>44090</c:v>
                </c:pt>
                <c:pt idx="9">
                  <c:v>46074</c:v>
                </c:pt>
                <c:pt idx="10">
                  <c:v>47917</c:v>
                </c:pt>
                <c:pt idx="11">
                  <c:v>49594</c:v>
                </c:pt>
                <c:pt idx="12">
                  <c:v>51082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1462.1</c:v>
                </c:pt>
                <c:pt idx="1">
                  <c:v>2805.8</c:v>
                </c:pt>
                <c:pt idx="2">
                  <c:v>3125.2</c:v>
                </c:pt>
                <c:pt idx="3">
                  <c:v>1785.9</c:v>
                </c:pt>
                <c:pt idx="4">
                  <c:v>3762.1</c:v>
                </c:pt>
                <c:pt idx="5">
                  <c:v>3091</c:v>
                </c:pt>
                <c:pt idx="6">
                  <c:v>3446</c:v>
                </c:pt>
                <c:pt idx="7">
                  <c:v>3695</c:v>
                </c:pt>
                <c:pt idx="8">
                  <c:v>3880</c:v>
                </c:pt>
                <c:pt idx="9">
                  <c:v>4008</c:v>
                </c:pt>
                <c:pt idx="10">
                  <c:v>4121</c:v>
                </c:pt>
                <c:pt idx="11">
                  <c:v>4215</c:v>
                </c:pt>
                <c:pt idx="12">
                  <c:v>4342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15.2</c:v>
                </c:pt>
                <c:pt idx="1">
                  <c:v>18.1</c:v>
                </c:pt>
                <c:pt idx="2">
                  <c:v>16.9</c:v>
                </c:pt>
                <c:pt idx="3">
                  <c:v>15.2</c:v>
                </c:pt>
                <c:pt idx="4">
                  <c:v>19.1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5.4</c:v>
                </c:pt>
                <c:pt idx="1">
                  <c:v>9</c:v>
                </c:pt>
                <c:pt idx="2">
                  <c:v>9</c:v>
                </c:pt>
                <c:pt idx="3">
                  <c:v>6.3</c:v>
                </c:pt>
                <c:pt idx="4">
                  <c:v>10.2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4.5</c:v>
                </c:pt>
                <c:pt idx="1">
                  <c:v>7.9</c:v>
                </c:pt>
                <c:pt idx="2">
                  <c:v>7.8</c:v>
                </c:pt>
                <c:pt idx="3">
                  <c:v>4.7</c:v>
                </c:pt>
                <c:pt idx="4">
                  <c:v>8.9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5.1</c:v>
                </c:pt>
                <c:pt idx="1">
                  <c:v>7</c:v>
                </c:pt>
                <c:pt idx="2">
                  <c:v>7.6</c:v>
                </c:pt>
                <c:pt idx="3">
                  <c:v>4.5</c:v>
                </c:pt>
                <c:pt idx="4">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-15.4</c:v>
                </c:pt>
                <c:pt idx="3">
                  <c:v>-22</c:v>
                </c:pt>
                <c:pt idx="4">
                  <c:v>33.1</c:v>
                </c:pt>
                <c:pt idx="5">
                  <c:v>28.9</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c:v>
                </c:pt>
                <c:pt idx="1">
                  <c:v>5</c:v>
                </c:pt>
                <c:pt idx="2">
                  <c:v>6</c:v>
                </c:pt>
                <c:pt idx="3">
                  <c:v>6</c:v>
                </c:pt>
                <c:pt idx="4">
                  <c:v>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21</c:v>
                </c:pt>
                <c:pt idx="2">
                  <c:v>12</c:v>
                </c:pt>
                <c:pt idx="3">
                  <c:v>20</c:v>
                </c:pt>
                <c:pt idx="4">
                  <c:v>17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204</c:v>
                </c:pt>
                <c:pt idx="1">
                  <c:v>195</c:v>
                </c:pt>
                <c:pt idx="2">
                  <c:v>173</c:v>
                </c:pt>
                <c:pt idx="3">
                  <c:v>181</c:v>
                </c:pt>
                <c:pt idx="4">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(RMB,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2243.4</c:v>
                </c:pt>
                <c:pt idx="1">
                  <c:v>2327.9</c:v>
                </c:pt>
                <c:pt idx="2">
                  <c:v>2172.6</c:v>
                </c:pt>
                <c:pt idx="3">
                  <c:v>-1298.6000000000001</c:v>
                </c:pt>
                <c:pt idx="4">
                  <c:v>5122.100000000001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1369.5</c:v>
                </c:pt>
                <c:pt idx="1">
                  <c:v>2161.1</c:v>
                </c:pt>
                <c:pt idx="2">
                  <c:v>2640.2</c:v>
                </c:pt>
                <c:pt idx="3">
                  <c:v>1272.4</c:v>
                </c:pt>
                <c:pt idx="4">
                  <c:v>2911.6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8.6</c:v>
                </c:pt>
                <c:pt idx="2">
                  <c:v>8.6</c:v>
                </c:pt>
                <c:pt idx="3">
                  <c:v>8.6</c:v>
                </c:pt>
                <c:pt idx="4">
                  <c:v>8.6</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30.4</c:v>
                </c:pt>
                <c:pt idx="1">
                  <c:v>38.8</c:v>
                </c:pt>
                <c:pt idx="2">
                  <c:v>35.1</c:v>
                </c:pt>
                <c:pt idx="3">
                  <c:v>14.8</c:v>
                </c:pt>
                <c:pt idx="4">
                  <c:v>30.3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-6.44</c:v>
                </c:pt>
                <c:pt idx="1">
                  <c:v>-3.31</c:v>
                </c:pt>
                <c:pt idx="2">
                  <c:v>-3.49</c:v>
                </c:pt>
                <c:pt idx="3">
                  <c:v>-4.98</c:v>
                </c:pt>
                <c:pt idx="4">
                  <c:v>-3.36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(RMB,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796.8</c:v>
                </c:pt>
                <c:pt idx="1">
                  <c:v>112.2</c:v>
                </c:pt>
                <c:pt idx="2">
                  <c:v>103.8</c:v>
                </c:pt>
                <c:pt idx="3">
                  <c:v>145.1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(RMB,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507.5</c:v>
                </c:pt>
                <c:pt idx="2">
                  <c:v>39.6</c:v>
                </c:pt>
                <c:pt idx="3">
                  <c:v>185.2</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453.5</c:v>
                </c:pt>
                <c:pt idx="1">
                  <c:v>705.3</c:v>
                </c:pt>
                <c:pt idx="2">
                  <c:v>1094.6</c:v>
                </c:pt>
                <c:pt idx="3">
                  <c:v>859.5</c:v>
                </c:pt>
                <c:pt idx="4">
                  <c:v>1250.6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33.7</c:v>
                </c:pt>
                <c:pt idx="1">
                  <c:v>0</c:v>
                </c:pt>
                <c:pt idx="2">
                  <c:v>11.7</c:v>
                </c:pt>
                <c:pt idx="3">
                  <c:v>132.1</c:v>
                </c:pt>
                <c:pt idx="4">
                  <c:v>49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DQ Prosperity Group (fideicomiso de Dong Jinggui y Qian Jinghong)</c:v>
                </c:pt>
                <c:pt idx="1">
                  <c:v>Fideicomiso del plan de acciones</c:v>
                </c:pt>
                <c:pt idx="2">
                  <c:v>Capital flotante</c:v>
                </c:pt>
              </c:strCache>
            </c:strRef>
          </c:cat>
          <c:val>
            <c:numRef>
              <c:f>Hoja1!$B$2:$B$4</c:f>
              <c:numCache>
                <c:formatCode>0.0"%"</c:formatCode>
                <c:ptCount val="3"/>
                <c:pt idx="0">
                  <c:v>62.96</c:v>
                </c:pt>
                <c:pt idx="1">
                  <c:v>1.85</c:v>
                </c:pt>
                <c:pt idx="2">
                  <c:v>35.19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-31</c:v>
                </c:pt>
                <c:pt idx="1">
                  <c:v>688.3</c:v>
                </c:pt>
                <c:pt idx="2">
                  <c:v>-4.1</c:v>
                </c:pt>
                <c:pt idx="3">
                  <c:v>-12.5</c:v>
                </c:pt>
                <c:pt idx="4">
                  <c:v>7.4</c:v>
                </c:pt>
                <c:pt idx="5">
                  <c:v>-1.8</c:v>
                </c:pt>
                <c:pt idx="6">
                  <c:v>-9.1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13.4</c:v>
                </c:pt>
                <c:pt idx="1">
                  <c:v>-1</c:v>
                </c:pt>
                <c:pt idx="2">
                  <c:v>-12.1</c:v>
                </c:pt>
                <c:pt idx="3">
                  <c:v>-11.9</c:v>
                </c:pt>
                <c:pt idx="4">
                  <c:v>-10.6</c:v>
                </c:pt>
                <c:pt idx="5">
                  <c:v>22.3</c:v>
                </c:pt>
                <c:pt idx="6">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18.3</c:v>
                </c:pt>
                <c:pt idx="1">
                  <c:v>9</c:v>
                </c:pt>
                <c:pt idx="2">
                  <c:v>8.4</c:v>
                </c:pt>
                <c:pt idx="3">
                  <c:v>15.6</c:v>
                </c:pt>
                <c:pt idx="4">
                  <c:v>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c:v>
                </c:pt>
                <c:pt idx="1">
                  <c:v>9</c:v>
                </c:pt>
                <c:pt idx="2">
                  <c:v>9</c:v>
                </c:pt>
                <c:pt idx="3">
                  <c:v>9</c:v>
                </c:pt>
                <c:pt idx="4">
                  <c:v>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Yadea</c:v>
                </c:pt>
                <c:pt idx="1">
                  <c:v>Aima Technology</c:v>
                </c:pt>
                <c:pt idx="2">
                  <c:v>Ninebot</c:v>
                </c:pt>
                <c:pt idx="3">
                  <c:v>Loncin Motor</c:v>
                </c:pt>
                <c:pt idx="4">
                  <c:v>Zhejiang CFMoto</c:v>
                </c:pt>
                <c:pt idx="5">
                  <c:v>Honda Motor</c:v>
                </c:pt>
                <c:pt idx="6">
                  <c:v>Hero MotoCorp</c:v>
                </c:pt>
                <c:pt idx="7">
                  <c:v>Bajaj Auto</c:v>
                </c:pt>
                <c:pt idx="8">
                  <c:v>TVS Motor</c:v>
                </c:pt>
              </c:strCache>
            </c:strRef>
          </c:cat>
          <c:val>
            <c:numRef>
              <c:f>Hoja1!$B$2:$B$10</c:f>
              <c:numCache>
                <c:formatCode>0.0"x"</c:formatCode>
                <c:ptCount val="9"/>
                <c:pt idx="0">
                  <c:v>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(RMB,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705</c:v>
                </c:pt>
                <c:pt idx="1">
                  <c:v>2635</c:v>
                </c:pt>
                <c:pt idx="2">
                  <c:v>2262</c:v>
                </c:pt>
                <c:pt idx="3">
                  <c:v>2328</c:v>
                </c:pt>
                <c:pt idx="4">
                  <c:v>2413</c:v>
                </c:pt>
                <c:pt idx="5">
                  <c:v>2494</c:v>
                </c:pt>
                <c:pt idx="6">
                  <c:v>2518</c:v>
                </c:pt>
                <c:pt idx="7">
                  <c:v>2565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(RMB,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12989</c:v>
                </c:pt>
                <c:pt idx="1">
                  <c:v>19001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(RMB) · precio actual 7,67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8.85</c:v>
                </c:pt>
                <c:pt idx="1">
                  <c:v>13.93</c:v>
                </c:pt>
                <c:pt idx="2">
                  <c:v>17.96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7,67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(6,73 – 11,44)</c:v>
                </c:pt>
                <c:pt idx="1">
                  <c:v>Precio objetivo de los analistas (10,28 – 14,13)</c:v>
                </c:pt>
                <c:pt idx="2">
                  <c:v>Comparables: PER NTM (10,78 – 18,01)</c:v>
                </c:pt>
                <c:pt idx="3">
                  <c:v>DCF (WACC y g ± 0,5) (12,95 – 15,20)</c:v>
                </c:pt>
                <c:pt idx="4">
                  <c:v>Escenarios (bajista – alcista) (8,85 – 17,96)</c:v>
                </c:pt>
                <c:pt idx="5">
                  <c:v>DCF con la prima implícita del mercado (4,2 %)</c:v>
                </c:pt>
                <c:pt idx="6">
                  <c:v>Precio actual (7,67)</c:v>
                </c:pt>
              </c:strCache>
            </c:strRef>
          </c:cat>
          <c:val>
            <c:numRef>
              <c:f>Hoja1!$B$2:$B$8</c:f>
              <c:numCache>
                <c:formatCode>#,##0.0</c:formatCode>
                <c:ptCount val="7"/>
                <c:pt idx="0">
                  <c:v>6.73</c:v>
                </c:pt>
                <c:pt idx="1">
                  <c:v>10.28</c:v>
                </c:pt>
                <c:pt idx="2">
                  <c:v>10.78</c:v>
                </c:pt>
                <c:pt idx="3">
                  <c:v>12.95</c:v>
                </c:pt>
                <c:pt idx="4">
                  <c:v>8.85</c:v>
                </c:pt>
                <c:pt idx="5">
                  <c:v>14.94</c:v>
                </c:pt>
                <c:pt idx="6">
                  <c:v>7.63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(6,73 – 11,44)</c:v>
                </c:pt>
                <c:pt idx="1">
                  <c:v>Precio objetivo de los analistas (10,28 – 14,13)</c:v>
                </c:pt>
                <c:pt idx="2">
                  <c:v>Comparables: PER NTM (10,78 – 18,01)</c:v>
                </c:pt>
                <c:pt idx="3">
                  <c:v>DCF (WACC y g ± 0,5) (12,95 – 15,20)</c:v>
                </c:pt>
                <c:pt idx="4">
                  <c:v>Escenarios (bajista – alcista) (8,85 – 17,96)</c:v>
                </c:pt>
                <c:pt idx="5">
                  <c:v>DCF con la prima implícita del mercado (4,2 %)</c:v>
                </c:pt>
                <c:pt idx="6">
                  <c:v>Precio actual (7,67)</c:v>
                </c:pt>
              </c:strCache>
            </c:strRef>
          </c:cat>
          <c:val>
            <c:numRef>
              <c:f>Hoja1!$C$2:$C$8</c:f>
              <c:numCache>
                <c:formatCode>#,##0.0</c:formatCode>
                <c:ptCount val="7"/>
                <c:pt idx="0">
                  <c:v>4.709999999999999</c:v>
                </c:pt>
                <c:pt idx="1">
                  <c:v>3.8500000000000014</c:v>
                </c:pt>
                <c:pt idx="2">
                  <c:v>7.230000000000002</c:v>
                </c:pt>
                <c:pt idx="3">
                  <c:v>2.25</c:v>
                </c:pt>
                <c:pt idx="4">
                  <c:v>9.110000000000001</c:v>
                </c:pt>
                <c:pt idx="5">
                  <c:v>1.9000000000000004</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