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BSE Limited</w:t>
      </w:r>
    </w:p>
    <w:p>
      <w:pPr>
        <w:spacing w:after="60"/>
        <w:rPr>
          <w:color w:val="52514E"/>
          <w:sz w:val="22"/>
          <w:szCs w:val="22"/>
        </w:rPr>
      </w:pPr>
      <w:r>
        <w:rPr>
          <w:color w:val="52514E"/>
          <w:sz w:val="22"/>
          <w:szCs w:val="22"/>
        </w:rPr>
        <w:t xml:space="preserve">BSE · National Stock Exchange of India (NSE) · ISIN INE118H01025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INR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3.336,00 INR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2.959,20 INR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-11,0 % (base +3,4 %)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1.282,15 INR · mercado 1.445,63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1.374.365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BSE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BSE / INE118H01025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National Stock Exchange of India (NSE)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Nifty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(bolsas y datos)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Bombay (Maharashtra) · 1875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https://www.bseindia.com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3.336,00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2.326,10 – 4.446,80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1.374.365 M INR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1.283.946 M INR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15.263 M INR/día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2.959,20 INR</w:t>
      </w:r>
      <w:r>
        <w:t xml:space="preserve"> frente a 3.336,00 · Rentabilidad a 12 meses </w:t>
      </w:r>
      <w:r>
        <w:rPr>
          <w:b/>
          <w:bCs/>
        </w:rPr>
        <w:t xml:space="preserve">-11,0 % (base +3,4 %)</w:t>
      </w:r>
      <w:r>
        <w:t xml:space="preserve"> · Valor intrínseco 1.282,15 INR · con la prima implícita del mercado: 1.445,63 (-56,7 %) · Alcista / bajista -56,2 % / -78,2 %</w:t>
      </w:r>
    </w:p>
    <w:p>
      <w:pPr>
        <w:spacing w:after="100"/>
      </w:pPr>
      <w:r>
        <w:rPr>
          <w:b/>
        </w:rPr>
        <w:t xml:space="preserve">La recomendación y por qué.</w:t>
      </w:r>
      <w:r>
        <w:t xml:space="preserve"> Vender (para quien la tenga), con convicción baja. Con la regla común del PER, el objetivo a 12 meses es de 2.959 INR: −11,0 % con dividendo (+3,4 % en el caso base), frente a un precio de 3.336 INR (cierre del 19-oct-2026 en la NSE) [30]. El umbral de venta es −10 %, así que la señal es justa: depende de un bajista que vuelve al PER de marzo de 2023 (14,4x), cuando BSE aún no tenía derivados; con la regla v2 sale +7,4 % (Mantener). Lo que no es dudoso es el valor real: 1.282 INR por acción, un 62 % por debajo del precio. La convicción la subiría una norma de SEBI contra los vencimientos semanales o un 2T FY27 peor de lo esperado; la bajaría una recuperación clara de la prima de opciones en el 3T.</w:t>
      </w:r>
    </w:p>
    <w:p>
      <w:pPr>
        <w:spacing w:after="100"/>
      </w:pPr>
      <w:r>
        <w:rPr>
          <w:b/>
        </w:rPr>
        <w:t xml:space="preserve">Qué ha pasado con la acción.</w:t>
      </w:r>
      <w:r>
        <w:t xml:space="preserve"> Se multiplicó por 31 entre marzo de 2023 y mayo de 2026 (máximo de 4.446,8 INR el 27-may) con el relanzamiento de los derivados del Sensex [30]. Desde entonces cae un 25 %: el STT subió en abril, el RBI encareció la financiación de los operadores en julio y la subasta de cierre de SEBI (3-ago) recortó la prima de agosto; Jefferies y Nuvama rebajaron [19, 20]. El 30-sep entró en el Nifty 50 [29].</w:t>
      </w:r>
    </w:p>
    <w:p>
      <w:pPr>
        <w:spacing w:after="100"/>
      </w:pPr>
      <w:r>
        <w:rPr>
          <w:b/>
        </w:rPr>
        <w:t xml:space="preserve">El negocio.</w:t>
      </w:r>
      <w:r>
        <w:t xml:space="preserve"> BSE es la segunda bolsa de India, con cámara de compensación propia. Cobra por cada contrato negociado: el 74 % de los ingresos del 1T FY27 vino de opciones sobre el Sensex, casi todas con vencimiento semanal [6]. El resto son cotizaciones, la plataforma de fondos StAR MF, datos y el 15 % de CDSL. </w:t>
      </w:r>
      <w:r>
        <w:rPr>
          <w:b/>
        </w:rPr>
        <w:t xml:space="preserve">Calidad: Sí</w:t>
      </w:r>
      <w:r>
        <w:t xml:space="preserve">: ROIC del 269 % frente a un WACC del 15,05 % y crecimiento sostenible (</w:t>
      </w:r>
      <w:r>
        <w:rPr>
          <w:b/>
        </w:rPr>
        <w:t xml:space="preserve">sí</w:t>
      </w:r>
      <w:r>
        <w:t xml:space="preserve">): proyectamos un 10,9 % anual frente al 59,7 % de FY2022-FY2026. Pero antes de los derivados (FY2022-FY2023) el ROIC era del 14-20 %.</w:t>
      </w:r>
    </w:p>
    <w:p>
      <w:pPr>
        <w:spacing w:after="100"/>
      </w:pPr>
      <w:r>
        <w:rPr>
          <w:b/>
        </w:rPr>
        <w:t xml:space="preserve">Finanzas.</w:t>
      </w:r>
      <w:r>
        <w:t xml:space="preserve"> Ingresos de 48.340 M INR en FY2026 (+63 %) y beneficio de 24.850 M (+88 %); margen EBITDA del 64 % [1, 6]. El 1T FY27 (15.661 M) quedó plano frente al 4T FY26. Sin deuda y con 60.772 M de caja propia; los márgenes de los clientes y el fondo de garantía (12.468 M) no son de BSE y no se cuentan [1].</w:t>
      </w:r>
    </w:p>
    <w:p>
      <w:pPr>
        <w:spacing w:after="100"/>
      </w:pPr>
      <w:r>
        <w:rPr>
          <w:b/>
        </w:rPr>
        <w:t xml:space="preserve">Equipo y gobierno.</w:t>
      </w:r>
      <w:r>
        <w:t xml:space="preserve"> Sin accionista de control: la ley limita al 5 % cada participación (LIC tiene el 5,57 %) y la mayoría del consejo son consejeros de interés público aprobados por SEBI [1, 6]. El consejero delegado, Sundararaman Ramamurthy (desde 2023, ex NSE y Bank of America), cobró 86,5 M INR, sin acciones [1].</w:t>
      </w:r>
    </w:p>
    <w:p>
      <w:pPr>
        <w:spacing w:after="100"/>
      </w:pPr>
      <w:r>
        <w:rPr>
          <w:b/>
        </w:rPr>
        <w:t xml:space="preserve">Valoración.</w:t>
      </w:r>
      <w:r>
        <w:t xml:space="preserve"> El DCF da 1.130 INR con el bono indio al 7,06 % [32]: el precio exige crecer un 33 % anual ocho años con un margen del 66 %. Los comparables (bolsas indias y mundiales, PER mediano 23,0x) dan 1.765-1.917 INR [15]. A 12 meses: PER de 38,1x (actual 41,9x, mediana histórica 30,3x) sobre un BPA de FY2029e de 90,31 INR; nuestro BPA de FY2028e (79,58) está un 10 % por debajo del consenso (88,50) [31].</w:t>
      </w:r>
    </w:p>
    <w:p>
      <w:pPr>
        <w:spacing w:after="100"/>
      </w:pPr>
      <w:r>
        <w:rPr>
          <w:b/>
        </w:rPr>
        <w:t xml:space="preserve">Riesgos y catalizadores.</w:t>
      </w:r>
      <w:r>
        <w:t xml:space="preserve"> El principal es regulatorio: si SEBI suprime los vencimientos semanales, el BPA de FY2029e baja un 22 % y el múltiplo puede volver a 15-20x. Después, la NSE (cotiza desde septiembre) y la valoración. </w:t>
      </w:r>
      <w:r>
        <w:rPr>
          <w:b/>
        </w:rPr>
        <w:t xml:space="preserve">Riesgo de IA: bajo</w:t>
      </w:r>
      <w:r>
        <w:t xml:space="preserve">: la bolsa cobra por contrato, lo haga una persona o un algoritmo. Catalizadores: el 2T FY27 (noviembre, sin fecha; el foro estima −20 % de ingresos de derivados [41]) y las decisiones de SEBI. Veredicto de precio y noticias: no cambia. Para un residente en España no se puede comprar en Interactive Brokers: el acceso a la NSE es solo para no residentes indios [40].</w:t>
      </w:r>
    </w:p>
    <w:p>
      <w:pPr>
        <w:spacing w:after="100"/>
      </w:pPr>
      <w:r>
        <w:rPr>
          <w:b/>
        </w:rPr>
        <w:t xml:space="preserve">Qué cambiaría la decisión.</w:t>
      </w:r>
      <w:r>
        <w:t xml:space="preserve"> Compraríamos solo por debajo del valor real (1.282 INR). La señal de venta se apaga por debajo de 3.299 INR, donde la ponderada vuelve a −10 %. Una decisión de SEBI que confirme los semanales y una prima de opciones por encima de 30.000 crore diarios subirían la proyección; aun así, el valor real seguiría lejos del precio.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2.959,20 INR</w:t>
      </w:r>
      <w:r>
        <w:t xml:space="preserve"> (rentabilidad -11,0 % (base +3,4 %)) · Valor intrínseco: 1.282,15 INR (-61,6 % sobre 3.336,00) · con la prima implícita del mercado: 1.445,63 (-56,7 %)</w:t>
      </w:r>
    </w:p>
    <w:p>
      <w:pPr>
        <w:spacing w:after="100"/>
      </w:pPr>
      <w:r>
        <w:t xml:space="preserve">BSE es la segunda bolsa de India y, desde mayo de 2023, la gran beneficiada del auge de las opciones semanales sobre índices: sus ingresos se multiplicaron por 6,5 en cuatro años y su margen EBITDA pasó del 29 % al 64 % [1, 6].</w:t>
      </w:r>
    </w:p>
    <w:p>
      <w:pPr>
        <w:spacing w:after="100"/>
      </w:pPr>
      <w:r>
        <w:t xml:space="preserve">Ese crecimiento depende de un regulador que lleva dos años frenándolo (un vencimiento por bolsa, STT, subasta de cierre) y que estudia suprimir los vencimientos semanales. A 41,9 veces nuestro BPA de FY2028e, el precio paga como si el crecimiento siguiera una década.</w:t>
      </w:r>
    </w:p>
    <w:p>
      <w:pPr>
        <w:spacing w:after="100"/>
      </w:pPr>
      <w:r>
        <w:t xml:space="preserve">La regla del PER da un −11 % a 12 meses (Vender, justo en el umbral) y el valor de los flujos es un 62 % menor que el precio. Gran negocio mientras dure el volumen; precio de un negocio que no puede perderlo.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2.959,20 INR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70,82 = 1.019,81 · 38,1x × 90,31 = 3.440,81 · 38,1x × 103,29 = 3.935,35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3.698,00 (nuestro base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1.282,15 INR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 / -78,2 %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15,1 % y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13,4 %)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1.445,63 INR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 frente a 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-61,3 % (-56,4 % con la prima del mercado) y el precio pide 22,3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1.282,15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1.282,15 y 3.299,11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3.299,11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3.299 INR: pasaríamos a Mantener (la ponderada vuelve por encima de −10 %).</w:t>
      </w:r>
    </w:p>
    <w:p>
      <w:pPr>
        <w:pStyle w:val="ListParagraph"/>
        <w:numPr>
          <w:ilvl w:val="0"/>
          <w:numId w:val="2"/>
        </w:numPr>
        <w:spacing w:after="60"/>
      </w:pPr>
      <w:r>
        <w:t xml:space="preserve">Precio por debajo de 1.282 INR (valor real): pasaríamos a Comprar si la regla a 12 meses también lo pide.</w:t>
      </w:r>
    </w:p>
    <w:p>
      <w:pPr>
        <w:pStyle w:val="ListParagraph"/>
        <w:numPr>
          <w:ilvl w:val="0"/>
          <w:numId w:val="2"/>
        </w:numPr>
        <w:spacing w:after="60"/>
      </w:pPr>
      <w:r>
        <w:t xml:space="preserve">SEBI confirma por escrito un vencimiento semanal por bolsa sin más recortes: subiríamos el crecimiento de FY2028e.</w:t>
      </w:r>
    </w:p>
    <w:p>
      <w:pPr>
        <w:pStyle w:val="ListParagraph"/>
        <w:numPr>
          <w:ilvl w:val="0"/>
          <w:numId w:val="2"/>
        </w:numPr>
        <w:spacing w:after="60"/>
      </w:pPr>
      <w:r>
        <w:t xml:space="preserve">SEBI suprime los semanales: pasaríamos el base al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BSE seguirá ganando volumen y cuota en opciones, con un BPA de 88,5 INR en FY2028e (consenso), y que la regulación ya hizo lo peor.</w:t>
      </w:r>
    </w:p>
    <w:p>
      <w:pPr>
        <w:keepNext/>
        <w:spacing w:after="100"/>
      </w:pPr>
      <w:r>
        <w:rPr>
          <w:b/>
          <w:bCs/>
        </w:rPr>
        <w:t xml:space="preserve">Lo que creemos nosotros.</w:t>
      </w:r>
    </w:p>
    <w:p>
      <w:pPr>
        <w:spacing w:after="100"/>
      </w:pPr>
      <w:r>
        <w:t xml:space="preserve">Un crecimiento mucho más lento (+8 % en FY2028e) con la subasta de cierre, el STT y las normas del RBI en un año entero, y un riesgo real de que SEBI recorte los vencimientos semanales, del que vive el 74 % de los ingresos.</w:t>
      </w:r>
    </w:p>
    <w:p>
      <w:pPr>
        <w:keepNext/>
        <w:spacing w:after="100"/>
      </w:pPr>
      <w:r>
        <w:rPr>
          <w:b/>
          <w:bCs/>
        </w:rPr>
        <w:t xml:space="preserve">Por qué podemos tener razón.</w:t>
      </w:r>
    </w:p>
    <w:p>
      <w:pPr>
        <w:spacing w:after="100"/>
      </w:pPr>
      <w:r>
        <w:t xml:space="preserve">El 1T FY27 ya fue plano frente al 4T FY26 y el 2T caerá con la subasta de cierre; el presidente de SEBI ha dicho que estudia acabar con los semanales [6, 19, 41].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INR) · precio actual 3.33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extraordinaria</w:t>
      </w:r>
      <w:r>
        <w:t xml:space="preserve">: margen EBITDA del 64-67 % y ROIC del 269 % en FY2026 [1, 6].</w:t>
      </w:r>
    </w:p>
    <w:p>
      <w:pPr>
        <w:pStyle w:val="ListParagraph"/>
        <w:numPr>
          <w:ilvl w:val="0"/>
          <w:numId w:val="2"/>
        </w:numPr>
        <w:spacing w:after="60"/>
      </w:pPr>
      <w:r>
        <w:rPr>
          <w:b/>
        </w:rPr>
        <w:t xml:space="preserve">Duopolio regulado</w:t>
      </w:r>
      <w:r>
        <w:t xml:space="preserve">: dos bolsas de valores en India y el Sensex como marca [1].</w:t>
      </w:r>
    </w:p>
    <w:p>
      <w:pPr>
        <w:pStyle w:val="ListParagraph"/>
        <w:numPr>
          <w:ilvl w:val="0"/>
          <w:numId w:val="2"/>
        </w:numPr>
        <w:spacing w:after="60"/>
      </w:pPr>
      <w:r>
        <w:rPr>
          <w:b/>
        </w:rPr>
        <w:t xml:space="preserve">Balance</w:t>
      </w:r>
      <w:r>
        <w:t xml:space="preserve">: sin deuda y 60.772 M de caja propia [1].</w:t>
      </w:r>
    </w:p>
    <w:p>
      <w:pPr>
        <w:pStyle w:val="ListParagraph"/>
        <w:numPr>
          <w:ilvl w:val="0"/>
          <w:numId w:val="2"/>
        </w:numPr>
        <w:spacing w:after="60"/>
      </w:pPr>
      <w:r>
        <w:rPr>
          <w:b/>
        </w:rPr>
        <w:t xml:space="preserve">Diversificación en marcha</w:t>
      </w:r>
      <w:r>
        <w:t xml:space="preserve">: índices sectoriales, MSCI, datos directos, StAR MF [16, 17, 18].</w:t>
      </w:r>
    </w:p>
    <w:p>
      <w:pPr>
        <w:pStyle w:val="Heading2"/>
      </w:pPr>
      <w:r>
        <w:t xml:space="preserve">En contra</w:t>
      </w:r>
    </w:p>
    <w:p>
      <w:pPr>
        <w:pStyle w:val="ListParagraph"/>
        <w:numPr>
          <w:ilvl w:val="0"/>
          <w:numId w:val="2"/>
        </w:numPr>
        <w:spacing w:after="60"/>
      </w:pPr>
      <w:r>
        <w:rPr>
          <w:b/>
        </w:rPr>
        <w:t xml:space="preserve">Precio</w:t>
      </w:r>
      <w:r>
        <w:t xml:space="preserve">: 41,9 veces el BPA de FY2028e y valor real de 1.282 INR.</w:t>
      </w:r>
    </w:p>
    <w:p>
      <w:pPr>
        <w:pStyle w:val="ListParagraph"/>
        <w:numPr>
          <w:ilvl w:val="0"/>
          <w:numId w:val="2"/>
        </w:numPr>
        <w:spacing w:after="60"/>
      </w:pPr>
      <w:r>
        <w:rPr>
          <w:b/>
        </w:rPr>
        <w:t xml:space="preserve">Regulación</w:t>
      </w:r>
      <w:r>
        <w:t xml:space="preserve">: SEBI puede suprimir los vencimientos semanales [19].</w:t>
      </w:r>
    </w:p>
    <w:p>
      <w:pPr>
        <w:pStyle w:val="ListParagraph"/>
        <w:numPr>
          <w:ilvl w:val="0"/>
          <w:numId w:val="2"/>
        </w:numPr>
        <w:spacing w:after="60"/>
      </w:pPr>
      <w:r>
        <w:rPr>
          <w:b/>
        </w:rPr>
        <w:t xml:space="preserve">Concentración</w:t>
      </w:r>
      <w:r>
        <w:t xml:space="preserve">: el 74 % de los ingresos es un solo producto [6].</w:t>
      </w:r>
    </w:p>
    <w:p>
      <w:pPr>
        <w:pStyle w:val="ListParagraph"/>
        <w:numPr>
          <w:ilvl w:val="0"/>
          <w:numId w:val="2"/>
        </w:numPr>
        <w:spacing w:after="60"/>
      </w:pPr>
      <w:r>
        <w:rPr>
          <w:b/>
        </w:rPr>
        <w:t xml:space="preserve">Competencia</w:t>
      </w:r>
      <w:r>
        <w:t xml:space="preserve">: la NSE tiene el 70 % del mercado y ya cotiza [15].</w:t>
      </w:r>
    </w:p>
    <w:p>
      <w:pPr>
        <w:pStyle w:val="Heading2"/>
      </w:pPr>
      <w:r>
        <w:t xml:space="preserve">Qué tiene que pasar para que la tesis funcione</w:t>
      </w:r>
    </w:p>
    <w:p>
      <w:pPr>
        <w:spacing w:after="100"/>
      </w:pPr>
      <w:r>
        <w:t xml:space="preserve">La prima diaria media de opciones (mensual, pública) y las circulares de SEBI. La señal de que la tesis empeora: un 2T FY27 con ingresos por debajo de 13.000 M o una norma contra los semanales; la de que mejora: prima por encima de 30.000 crore diarios con la subasta de cierre en vigor.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diaria media de opciones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29.615 crore (1T FY27); ≈ 18.100 en agosto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20.000 crore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derivados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 M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74 %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SEBI sobre derivados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 vencimiento semanal por bolsa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Consulta o circular para suprimirlos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apalancamiento operativo a la baja.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prima de opciones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36 % (agosto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de la NSE.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48,5x / 40,0x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BSE es la bolsa más antigua de Asia: nació en 1875 como la Native Share &amp; Stock Brokers' Association, bajo un árbol de Dalal Street, en Bombay [4]. Fue una asociación mutua de intermediarios hasta 2005, cuando se convirtió en sociedad anónima; salió a bolsa (en la NSE, su rival) en febrero de 2017 [4]. Desde los años noventa la NSE, creada por el Gobierno con negociación electrónica, le quitó casi todo el volumen. En mayo de 2023 BSE relanzó los derivados sobre el Sensex con vencimiento semanal en viernes y contratos más pequeños, y en dos años pasó a tener cerca de un tercio de la prima de las opciones sobre índices de India [6, 19]. Ese giro multiplicó por seis los ingresos y por diez el beneficio entre FY2022 y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asociación de intermediarios en Bombay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Sensex, el primer índice bursátil de India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NSE (febrero)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Relanzamiento de los derivados sobre el Sensex (15 de mayo)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SEBI fija los vencimientos semanales en martes (NSE) y jueves (BSE) desde septiembre de 2025, tras limitarlos a uno por bolsa en noviembre de 2024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Subasta de cierre (3-ago), acuerdo con MSCI (19-ago), entrada en el Nifty 50 (30-sep) y cotización de la NSE en BSE (24-sep) [16,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BSE es una bolsa de valores con cámara de compensación propia (BSE Clearing). Gana dinero con cada operación que se hace en su mercado: sobre todo opciones sobre el índice Sensex (el 74 % de los ingresos del 1T FY27), y además contado de acciones, bonos y la plataforma StAR MF, por la que pasan casi todas las órdenes de fondos de inversión de los distribuidores indios [6]. Cobra también cuotas a las más de 5.000 empresas que cotizan, alquila espacio para servidores junto a su motor (co-location) y vende datos e índices [1, 6]. Tiene el 15 % de CDSL, uno de los dos depositarios de valores de India, y controla las bolsas internacionales India INX e India ICC en GIFT City [6].</w:t>
      </w:r>
    </w:p>
    <w:p>
      <w:pPr>
        <w:pStyle w:val="Heading2"/>
      </w:pPr>
      <w:r>
        <w:t xml:space="preserve">Cómo gana dinero</w:t>
      </w:r>
    </w:p>
    <w:p>
      <w:pPr>
        <w:spacing w:after="100"/>
      </w:pPr>
      <w:r>
        <w:t xml:space="preserve">Cobra una tasa por cada contrato negociado, sobre el valor de la prima de la opción (o del nominal en contado y futuros), a los miembros, que la repercuten a sus clientes [1]. Los costes son casi fijos (tecnología, personal, la contribución regulatoria a SEBI y la aportación al fondo de garantía), así que cada rupia de más volumen cae casi entera al beneficio: margen EBITDA del 64 % en FY2026 y del 67 % en el 1T FY27 [6]. El volumen depende de los operadores por cuenta propia y del minorista indio, que compra opciones con vencimiento muy corto; la regulación decide cuánto se puede negociar. La cotización y StAR MF son más estables y crecen con el ahorro de los hogares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Tasas de negociación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 los fondos de compensación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cotización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 de explotación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Tasas de negociación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 los fondos de compensación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cotización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 de explotación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son unos 1.283 miembros (intermediarios) [6]. Detrás, el volumen de opciones lo hacen sobre todo operadores por cuenta propia y algorítmicos y minoristas; los inversores extranjeros (≈ 650 activos) crecen [7]. No depende de un cliente concreto, pero sí de un tipo de operación (opciones semanales sobre índices) y de un regulador (SEBI). Poder de precios: limitado; SEBI vigila las tasas y obliga a cobrar lo mismo a todos los miembros.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diaria media de opciones (crore INR)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15.100 (1T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29.615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agosto bajó a ≈ 18.100 con la subasta de cierre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derivados (M INR)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11.279 (4T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74 % de los ingresos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Contado: negociación diaria media (M INR)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99.553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trimestral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operativo con Core SGF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Empresas en BSE SME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(jul-2025)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 (jul-2026)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ingresos de las bolsas indias: NSE, MCX (materias primas) y BSE. Con los últimos doce meses publicados suman ≈ 273.600 M INR: NSE ≈ 191.440 M, MCX ≈ 27.750 M y BSE 54.421 M [15]. NSE domina con ≈ 70 %; BSE tiene ≈ 20 %, casi todo de opciones sobre índices. No hay estadística oficial de este agregado: es estimación propia sumando las cuentas de las 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273.600 M INR de ingresos de las bolsas indias (últimos doce meses)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Oligopolio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IN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SEBI de los derivados para minoristas (vencimientos semanales, tamaño de contrato, márgenes)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noviembre de 2024 un solo vencimiento semanal por bolsa; SEBI estudia suprimirlos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y crédito a los operadores (STT desde abril de 2026, garantías bancarias del RBI desde julio de 2026)</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calcula hasta −10 % de prima en un año por las normas del RBI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 de los hogares hacia bolsa (cuentas, fondos, salidas a bolsa)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 M de inversores registrados en BSE; StAR MF +28 % de órdenes [6,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productos (índices sectoriales, MSCI, contratos mensuales)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de SEBI para Focused Midcap, Sensex Next 30 y Focused IT; acuerdo con MSCI para estudiar derivados sobre sus índices; venta directa de datos al extranjero desde 2027 [16,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extranjeros en derivados indios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650 activos en BSE, objetivo 800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la NSE, que tiene el 70 % de la prima de opciones y la liquidez del Nifty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operadores por cuenta propia mueven el volumen de una bolsa a otra según el día de vencimiento.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sin proveedores críticos.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SEBI y liquidez; MSE (Metropolitan) lo intenta sin éxito.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derivados extranjeros sobre India (GIFT Nifty) y los productos fuera de bolsa.</w:t>
            </w:r>
          </w:p>
        </w:tc>
      </w:tr>
    </w:tbl>
    <w:p>
      <w:pPr>
        <w:spacing w:after="160" w:before="0"/>
      </w:pPr>
    </w:p>
    <w:p>
      <w:pPr>
        <w:pStyle w:val="Heading2"/>
      </w:pPr>
      <w:r>
        <w:t xml:space="preserve">Ciclo</w:t>
      </w:r>
    </w:p>
    <w:p>
      <w:pPr>
        <w:spacing w:after="100"/>
      </w:pPr>
      <w:r>
        <w:t xml:space="preserve">El volumen de opciones en India creció más de diez veces entre 2020 y 2024 y luego se frenó por la regulación (noviembre de 2024, mayo de 2025, agosto de 2026) [19]. BSE creció por cuota, no por mercado. Indicadores: prima diaria media, número de operadores activos, normas de SEBI.</w:t>
      </w:r>
    </w:p>
    <w:p>
      <w:pPr>
        <w:pStyle w:val="Heading2"/>
      </w:pPr>
      <w:r>
        <w:t xml:space="preserve">Regulación</w:t>
      </w:r>
    </w:p>
    <w:p>
      <w:pPr>
        <w:spacing w:after="100"/>
      </w:pPr>
      <w:r>
        <w:t xml:space="preserve">Es el factor decisivo. SEBI (1) limitó en noviembre de 2024 los vencimientos semanales a un índice por bolsa, subió el tamaño mínimo de contrato y los márgenes del día de vencimiento; (2) movió los vencimientos a martes (NSE) y jueves (BSE) en 2025; (3) introdujo la subasta de cierre (CAS) desde el 3-ago-2026, que según la prensa recortó un 33 % los contratos del día de vencimiento de BSE en agosto, y la está revisando tras una consulta de septiembre [19, 21]. Su presidente dijo en septiembre de 2025 que se estudia acabar con los vencimientos semanales; la propuesta de mayo de 2026 aún conserva uno por bolsa [19]. El Gobierno subió el STT desde abril de 2026 y el RBI exige desde julio garantías bancarias más caras a los operadores por cuenta propia [20].</w:t>
      </w:r>
    </w:p>
    <w:p>
      <w:pPr>
        <w:pStyle w:val="Heading2"/>
      </w:pPr>
      <w:r>
        <w:t xml:space="preserve">Tendencias y disrupción</w:t>
      </w:r>
    </w:p>
    <w:p>
      <w:pPr>
        <w:spacing w:after="100"/>
      </w:pPr>
      <w:r>
        <w:t xml:space="preserve">Tres. (1) Del vencimiento semanal al mensual: el regulador empuja y BSE dice que sus contratos de más de dos semanas ya se han multiplicado por cinco desde enero de 2025 [7]. (2) Más productos y más inversores extranjeros (MSCI, índices sectoriales) [16, 18]. (3) Automatización de la negociación: los operadores algorítmicos ya hacen la mayor parte del volumen de opciones; la IA entra en la vigilancia del mercado y en los propios algoritmos, no en el papel de la bolsa.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Segunda bolsa de India. Estimación propia: ≈ 20 % de los ingresos de las bolsas indias [15]; en opciones sobre índices, ≈ 36 % de la prima diaria y ≈ 52 % de los contratos en agosto de 2026, según la prensa [19]; en fondos, la mayor plataforma de órdenes (StAR MF)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Stock Exchange of India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NSE.BO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EBITDA de Yahoo; domina contado, futuros y opciones sobre el Nifty. Cotiza en BSE desde el 24-sep-2026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 Commodity Exchange of India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MCX.NS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margen de EBITDA de Yahoo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Metropolitan Stock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Tercera bolsa de valores; sin volumen relevante.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ganó un tercio de la prima de opciones en dos años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miembros operan en las dos bolsas; cambiar de mercado es barato.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bolsa y cámara (duopolio regulado) y el Sensex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64-67 %, pero la NSE tiene más escala (82 %)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indio solo admite dos bolsas de valores grandes.</w:t>
            </w:r>
          </w:p>
        </w:tc>
      </w:tr>
    </w:tbl>
    <w:p>
      <w:pPr>
        <w:spacing w:after="160" w:before="0"/>
      </w:pPr>
    </w:p>
    <w:p>
      <w:pPr>
        <w:pStyle w:val="Heading2"/>
      </w:pPr>
      <w:r>
        <w:t xml:space="preserve">Amenazas</w:t>
      </w:r>
    </w:p>
    <w:p>
      <w:pPr>
        <w:spacing w:after="100"/>
      </w:pPr>
      <w:r>
        <w:t xml:space="preserve">La amenaza más probable no es un competidor nuevo, sino que el regulador recorte el negocio de opciones semanales, del que viene casi todo el crecimiento [19]. La segunda, la NSE: puede mover sus vencimientos o lanzar productos que quiten el día de BSE, y desde septiembre de 2026 cotiza (más recursos y presión por crecer) [15]. La tercera, que la subasta de cierre o el STT reduzcan la actividad de los operadores por cuenta propia [20, 21].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FY2022-FY2026: ingresos </w:t>
      </w:r>
      <w:r>
        <w:rPr>
          <w:b/>
          <w:bCs/>
        </w:rPr>
        <w:t xml:space="preserve">59,7 %</w:t>
      </w:r>
      <w:r>
        <w:t xml:space="preserve">, EBITDA </w:t>
      </w:r>
      <w:r>
        <w:rPr>
          <w:b/>
          <w:bCs/>
        </w:rPr>
        <w:t xml:space="preserve">95,0 %</w:t>
      </w:r>
      <w:r>
        <w:t xml:space="preserve">, BPA </w:t>
      </w:r>
      <w:r>
        <w:rPr>
          <w:b/>
          <w:bCs/>
        </w:rPr>
        <w:t xml:space="preserve">76,8 %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IN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7.432 M INR en FY2022 a 48.340 M en FY2026: se multiplicaron por 6,5, casi todo por los derivados sobre el Sensex que BSE relanzó en mayo de 2023 [1, 4]. Las tasas de negociación fueron 37.950 M en FY2026 (79 % de los ingresos), y dentro de ellas los derivados de renta variable unos 31.300 M, el 65 % del total; en el 1T FY27 los derivados fueron 11.550 M de 15.661 M (74 %) [6]. Es un negocio de costes casi fijos: el margen EBITDA pasó del 29 % en FY2024 al 64 % en FY2026 y al 67 % en el 1T FY27 [6]. El resto es estable: cotización (5.190 M), plataforma de fondos StAR MF y otros (3.485 M) y rendimiento de los fondos de compensación (1.714 M) [6]. El 1T FY27 dejó 15.661 M de ingresos (+63 %) pero plano frente al 4T FY26 (15.635 M): el crecimiento se paró con la subida del impuesto a la negociación (STT, abril de 2026) y antes de la subasta de cierre de agosto [6, 7].</w:t>
      </w:r>
    </w:p>
    <w:p>
      <w:pPr>
        <w:pStyle w:val="Heading2"/>
      </w:pPr>
      <w:r>
        <w:t xml:space="preserve">Ajustes y partidas no recurrentes</w:t>
      </w:r>
    </w:p>
    <w:p>
      <w:pPr>
        <w:spacing w:after="100"/>
      </w:pPr>
      <w:r>
        <w:t xml:space="preserve">Tres ajustes. (1) Caja de clientes: el balance consolidado incluye los márgenes y depósitos de los miembros y el Core SGF (12.468 M en FY2026), que no son de BSE; la caja de la valoración es solo la propia (60.772 M a marzo de 2026) [1]. (2) Flujo operativo sin la variación de esos pasivos de clientes ni las partidas del Core SGF (lo hace también la empresa en su informe de flujo propio) [1]. (3) FY2024 sin la plusvalía de CDSL (4.066 M); el gasto de ese año lleva 1.698 M de tasas de SEBI de años anteriores, que no se quitan [3]. El EBITDA incluye la aportación obligatoria al Core SGF (770 M en FY2026), como la «Operating EBITDA including Core SGF» de la empresa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 FY27 (10-ago-2026) el consejero delegado, Sundararaman Ramamurthy, no quiso hablar de la subasta de cierre (CAS) «con dos días de datos» y dijo que la empresa no mide su éxito por cuota de mercado sino por profundidad: más de 610 miembros activos y unos 650 inversores extranjeros en derivados, con objetivo de 800 [7]. La prima diaria media de los derivados fue un récord de 29.615 crore en el 1T (+96 %) [7]. Reconoció que la circular del RBI sobre garantías bancarias a los operadores por cuenta propia frena el crecimiento de los contratos de más de dos semanas [7]. El director financiero explicó que los ingresos de inversiones se duplicaron (1.352 M) por revertir pérdidas de valor de mercado de bonos del 4T [7]. Lo que no se aclaró: el efecto de la CAS (la prensa midió −12 % de volumen de opciones en agosto) y el de la posible supresión de los vencimientos semanales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(FY2024: Venta de parte de CDSL (del 20 % al 15 %), con una plusvalía excepcional de 4.066 M antes de impuestos [3].; FY2026: Venta del 40 % de Ebix Insurance Broking (diciembre de 2025) y desinversión de BSE Institute (mayo de 2025, operación interrumpida) [1].; FY2027: BSE Investments y BSE Administration &amp; Supervision se fusionan en BSE Technologies (23-abr-2026); la participación directa en India International Bullion Holding sube al 20 % (asociada) [5,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sin deuda, como el de cualquier bolsa con cámara: lo grande no es de la empresa. De los 134.461 M de activo de FY2026, unos 60.800 M son caja propia, 12.468 M el Core SGF y el resto, en buena parte, márgenes de miembros [1]. El patrimonio atribuido pasó de 26.545 M en FY2022 a 66.730 M en FY2026 [1, 4]. El circulante comercial es pequeño y positivo (clientes 5.532 M − proveedores 1.309 M)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28.739</w:t>
      </w:r>
      <w:r>
        <w:t xml:space="preserve">, conversión </w:t>
      </w:r>
      <w:r>
        <w:rPr>
          <w:b/>
          <w:bCs/>
        </w:rPr>
        <w:t xml:space="preserve">61 %</w:t>
      </w:r>
      <w:r>
        <w:t xml:space="preserve"> del beneficio neto; adquisiciones 532, dividendos 9.685, recompras 142.</w:t>
      </w:r>
    </w:p>
    <w:p>
      <w:pPr>
        <w:spacing w:after="100"/>
      </w:pPr>
      <w:r>
        <w:t xml:space="preserve">Flujo operativo ajustado (sin la caja de clientes ni el Core SGF) de 23.760 M en FY2026, frente a 1.968 M en FY2022 [1, 4]. El capex subió a 5.152 M en FY2026 (10,7 % de las ventas) por el centro de datos, la tecnología de negociación y la nueva sede de la cámara; en FY2022-FY2025 fue del 2-18 % [1]. Flujo libre de ≈ 18.600 M en FY2026. Dividendos de 3.159 M pagados en FY2026 y 10 INR por acción (4.120 M) aprobados para julio de 2026 [13]. En FY2024 entró la venta parcial de CDSL (5.160 M)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S.R. Batliboi &amp; Co. LLP (EY); desde la junta de 2026, KKC &amp; Associates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(FY2026)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S.R. Batliboi &amp; Co. LLP auditó FY2022-FY2026 con opinión favorable sin salvedades [1]. Al terminar su mandato de cinco años, el consejo del 4-ago-2026 propuso a KKC &amp; Associates LLP para 2026-2031 [5]. Criterios a vigilar: (1) la presentación mezcla la caja de clientes y el Core SGF con la propia; hay que separarla con las notas [1]; (2) los ingresos de inversiones llevan pérdidas y ganancias de valor de mercado de bonos (pérdida en el 4T FY26, reversión en el 1T FY27) [7]; (3) las tasas de SEBI se recalcularon en FY2024 sobre la facturación y no sobre los ingresos, con una provisión de 1.698 M de años anteriores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clientes y Core SGF dentro del balance consolidado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Separada con las notas de inversiones propias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inversiones con valoración a mercado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Mueven el beneficio trimestral en 50-70 M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por rotación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KKC &amp; Associates desde la junta de 2026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381 M en FY2026 (el 5 % del capital invertido medio); ha subido más de un 5 % en 0 de 4 años: sin compras. ROIC publicado 269,3 %; sin fondo de comercio, 282,6 %. Sin compras relevantes: el publicado ya es el ROIC del negocio.</w:t>
      </w:r>
    </w:p>
    <w:p>
      <w:pPr>
        <w:spacing w:after="100"/>
      </w:pPr>
      <w:r>
        <w:rPr>
          <w:b/>
          <w:bCs/>
        </w:rPr>
        <w:t xml:space="preserve">ROIC incremental</w:t>
      </w:r>
      <w:r>
        <w:t xml:space="preserve"> (variación del NOPAT sobre variación del capital invertido en el periodo): 1.014,4 % · </w:t>
      </w:r>
      <w:r>
        <w:rPr>
          <w:b/>
          <w:bCs/>
        </w:rPr>
        <w:t xml:space="preserve">WACC</w:t>
      </w:r>
      <w:r>
        <w:t xml:space="preserve">: 15,1 %.</w:t>
      </w:r>
    </w:p>
    <w:p>
      <w:pPr>
        <w:spacing w:after="100"/>
      </w:pPr>
      <w:r>
        <w:t xml:space="preserve">BSE crea mucho valor sobre el capital que usa: ROIC del 269 % en FY2026 y del 161 % en FY2025 frente a un WACC del 15,05 %, porque el capital operativo es pequeño (≈ 8.100 M: inmovilizado, circulante y fondo de comercio; la caja propia y la de clientes no cuentan) [1]. No siempre fue así: en FY2022 y FY2023, antes de los derivados, el ROIC fue del 20 % y del 14 %, por debajo o cerca del coste del capital [2, 3, 4]. El ROE es mucho menor (45 % en FY2026; 8-14 % en FY2022-FY2024) porque la caja propia (60.772 M, el 91 % del patrimonio) rinde un 5-6 % [1]. La lección: es un negocio de rentabilidad extraordinaria mientras dure el volumen de opciones, y mediocre sin él.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-60.772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Caja propia de 60.772 M a 31-mar-2026, el 4,5 % de la capitalización [1]. El balance consolidado de 134.461 M incluye además los márgenes y depósitos de los miembros (otros pasivos financieros) y el Core SGF de 12.468 M, que son de los clientes y del sistema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Lo relevante fuera de la deuda: (1) el Core SGF (12.468 M), fondo obligatorio de la cámara para garantizar la liquidación, que la empresa alimenta con aportaciones anuales (770 M en FY2026) [1]; (2) los márgenes de los miembros, pasivos que se compensan con la caja de clientes [1]; (3) la orden de GST de 72,5 M recurrida [14]; (4) la obligación de mantener un patrimonio mínimo en las cámaras y bolsas reguladas por SEBI, que inmoviliza parte de la caja propia.</w:t>
      </w:r>
    </w:p>
    <w:p>
      <w:pPr>
        <w:pStyle w:val="Heading1"/>
      </w:pPr>
      <w:r>
        <w:t xml:space="preserve">12. Asignación de capital</w:t>
      </w:r>
    </w:p>
    <w:p>
      <w:pPr>
        <w:pStyle w:val="Confianza"/>
        <w:spacing w:after="100"/>
      </w:pPr>
      <w:r>
        <w:t xml:space="preserve">Confianza: Alta</w:t>
      </w:r>
    </w:p>
    <w:p>
      <w:pPr>
        <w:spacing w:after="100"/>
      </w:pPr>
      <w:r>
        <w:t xml:space="preserve">Dividendo creciente: 4,5 INR por acción (ajustado) en FY2022, 4 en FY2023, 5 en FY2024, 7,67 en FY2025 (1,67 extraordinario) y 10 en FY2026, entre el 17 % y el 75 % del beneficio [1, 13]. Recompra pequeña en FY2024 (142 M). Sin ampliaciones; dos emisiones gratuitas 2:1 (2022 y mayo de 2025) que no cambian el valor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 International Bullion Holding IFSC (hasta el 20 %, compra a filiales propias)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Reorganización interna; pasa a asociada directa [5].</w:t>
            </w:r>
          </w:p>
        </w:tc>
      </w:tr>
    </w:tbl>
    <w:p>
      <w:pPr>
        <w:spacing w:after="160" w:before="0"/>
      </w:pPr>
    </w:p>
    <w:p>
      <w:pPr>
        <w:spacing w:after="100"/>
      </w:pPr>
      <w:r>
        <w:t xml:space="preserve">La asignación de capital es conservadora: casi no compra empresas, acumula caja y reparte en dividendo el 17 % del beneficio de FY2026. Con 60.772 M de caja propia (el 91 % del patrimonio) que rinde un 5-6 % antes de impuestos, el ROE baja: la caja es el gran uso ineficiente del capital [1]. Vendió CDSL en parte (FY2024) y Ebix (FY2026) [1,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Sundararaman Ramamurthy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(MD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años en mercados y banca; antes MD y COO de Bank of America en India y, durante más de 20 años, directivo de la NSE desde su fundación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Deepak Goel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Gopalan S Raghavan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vertical 2 (regulación, cumplimiento, riesgos)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años en infraestructura de mercado; exconsejero ejecutivo de NSDL y del equipo fundador de SEBI [6,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Saurabh Shukla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vertical 1</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4-sep-2026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Vishal Bhat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w:t>
            </w:r>
          </w:p>
        </w:tc>
      </w:tr>
    </w:tbl>
    <w:p>
      <w:pPr>
        <w:spacing w:after="160" w:before="0"/>
      </w:pPr>
    </w:p>
    <w:p>
      <w:pPr>
        <w:spacing w:after="100"/>
      </w:pPr>
      <w:r>
        <w:t xml:space="preserve">BSE no da guías numéricas. El consejero delegado, Ramamurthy, llegó en enero de 2023 desde Bank of America y la NSE, y cuatro meses después relanzó los derivados del Sensex: es el responsable del giro [6]. Como toda bolsa india, la estructura la fija SEBI: dos consejeros ejecutivos por verticales (negocio y regulación), nombrados en 2026, y un director de regulación (Geetha Gangadharan) y otro de riesgos (Sanjay Jain) nuevos en 2026 [6, 24, 25]. No hay plan de sucesión publicado; el mandato del consejero delegado lo aprueba SEBI.</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Subhasis Chaudhuri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(consejero de interés público)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Sundararaman Ramamurthy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Justice (Retd.) Shiavax Jal Vazifdar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interés público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Padmini Srinivasan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interés público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Shamanna Balasubramanya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interés público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Rajiv Bansal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interés público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Santanu Paul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interés público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Jagannath Mukkavilli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independiente (ex LIC)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Gopalan S Raghavan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Saurabh Shukla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83,4 %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(FY2026)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Insurance Corporation of India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Kotak Flexicap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Siddharth Balachandran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SBI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Tata AIA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 y no residentes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y BNP Paribas vendieron un 1,67 % el 30-sep-2026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inversión indios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Miembros (intermediarios)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FY2026 el consejero delegado cobró 86,49 M INR: ≈ 67,6 M fijos y ≈ 19,0 M de variable, del que la mitad se aplaza tres años como manda SEBI para las infraestructuras de mercado; 79 veces el sueldo mediano [1]. No hay opciones sobre acciones: las normas de SEBI (SECC) no permiten pagar a los directivos clave con acciones ni ligar el variable al beneficio de la bolsa [1]. La remuneración no se vota en la junta [1].</w:t>
      </w:r>
    </w:p>
    <w:p>
      <w:pPr>
        <w:pStyle w:val="Heading2"/>
      </w:pPr>
      <w:r>
        <w:t xml:space="preserve">Operaciones vinculadas, estructura de control y defensas</w:t>
      </w:r>
    </w:p>
    <w:p>
      <w:pPr>
        <w:spacing w:after="100"/>
      </w:pPr>
      <w:r>
        <w:t xml:space="preserve">Sin accionista de control: el 100 % es «público» [6]. La ley (SECC) limita a un 5 % lo que puede tener cada accionista de una bolsa (15 % para bolsas, aseguradoras y bancos de propiedad pública como LIC) y obliga a que la mayoría del consejo sean consejeros de interés público nombrados con aprobación de SEBI; el presidente lo es [1, 6]. No hay blindajes; de hecho, nadie puede comprar la empresa.</w:t>
      </w:r>
    </w:p>
    <w:p>
      <w:pPr>
        <w:pStyle w:val="Heading2"/>
      </w:pPr>
      <w:r>
        <w:t xml:space="preserve">Señales de alerta</w:t>
      </w:r>
    </w:p>
    <w:p>
      <w:pPr>
        <w:pStyle w:val="ListParagraph"/>
        <w:numPr>
          <w:ilvl w:val="0"/>
          <w:numId w:val="2"/>
        </w:numPr>
        <w:spacing w:after="60"/>
      </w:pPr>
      <w:r>
        <w:t xml:space="preserve">El consejero no independiente Jagannath Mukkavilli (ex LIC) fue reelegido en la junta de 2026 con un 16,63 % de votos en contra [23].</w:t>
      </w:r>
    </w:p>
    <w:p>
      <w:pPr>
        <w:pStyle w:val="ListParagraph"/>
        <w:numPr>
          <w:ilvl w:val="0"/>
          <w:numId w:val="2"/>
        </w:numPr>
        <w:spacing w:after="60"/>
      </w:pPr>
      <w:r>
        <w:t xml:space="preserve">Gobierno determinado por el regulador: SEBI aprueba consejeros, directivos clave y su remuneración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BSE no da guías de ingresos ni de beneficio (nota A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19 analistas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2.820,00 – 4.500,00</w:t>
            </w:r>
          </w:p>
        </w:tc>
      </w:tr>
    </w:tbl>
    <w:p>
      <w:pPr>
        <w:spacing w:after="160" w:before="0"/>
      </w:pPr>
    </w:p>
    <w:p>
      <w:pPr>
        <w:pStyle w:val="Heading2"/>
      </w:pPr>
      <w:r>
        <w:t xml:space="preserve">Revisiones de estimaciones</w:t>
      </w:r>
    </w:p>
    <w:p>
      <w:pPr>
        <w:spacing w:after="100"/>
      </w:pPr>
      <w:r>
        <w:t xml:space="preserve">A la baja desde agosto. Jefferies bajó a Infraponderar con 2.940 INR y recortó el BPA de FY2027-FY2029 un 5-12 % por las normas del RBI y la subasta de cierre (17-ago) [20]; Nuvama a Mantener con 3.240 (−6,3 % de BPA de FY2027 y −15 % de FY2028) [19]; Bernstein está en Infraponderar con 2.820 [38]. Del lado comprador: Macquarie Outperform 4.000, JPMorgan Sobreponderar 3.950, HDFC Securities Añadir 3.850, MOFSL Neutral 3.900, UBS 4.500 [37, 39]. Objetivo medio de consenso 3.787,68 INR según Business Today (30-sep) y 3.698 según Yahoo [31, 36].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(ajustada por las dos ampliaciones gratuitas) pasó de 143,65 INR en marzo de 2023 a un máximo de 4.446,8 el 27-may-2026: se multiplicó por 31 con el relanzamiento de los derivados [30]. Desde el máximo ha caído un 25 %, hasta 3.336 INR (cierre del 19-oct). Las caídas: agosto de 2026 (subasta de cierre, normas del RBI y rebajas de Jefferies y Nuvama; −9 % en una semana) y el 30-sep (−4 % el día de entrada en el Nifty 50, con ventas en bloque de Goldman Sachs y BNP Paribas) [29, 38]. En doce meses gana un 33,8 % frente a −11,4 % del Nifty 50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 -8,6 % / -5,5 % / +39,9 %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 / +37,9 %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subida de 1 mes (al 4-may): prima diaria récord del 4T FY26 (≈ 28.900 crore según el foro) y la noticia de que el volumen de derivados de BSE superó al de la NSE en abril; el 7-may los resultados confirmaron un 4T con ingresos +85 % [8, 9,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1 mes (al 2-sep): arranque de la subasta de cierre (3-ago), con −33 % de contratos en el día de vencimiento; Jefferies baja a Infraponderar y Nuvama a Mantener (17-18 ago); −9 % en una semana [19, 20,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Nifty 50 (30-sep) con ventas en bloque de Goldman Sachs y BNP Paribas (1,67 %) a ≈ 3.200 INR y −4 % en el día; la NSE empezó a cotizar en BSE el 24-sep [29,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FY27 sin fecha anunciada (ventana de operaciones cerrada desde el 30-sep; el 2T FY26 se publicó el 11-nov). Pueden mover el precio más de un 5 %, pero no aplazan nada: no hay compra.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Nifty 50 (sustituye a Wipro); ventas en bloque de 2.186 crore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SEBI consulta y publica una estructura revisada de la subasta de cierre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a Infraponderar (2.940 INR) y recorta el BPA un 5-12 %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subasta de cierre de SEBI en los vencimientos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25 % desde el máximo de mayo tiene causas conocidas que ya están en este informe: la subasta de cierre, el STT, las normas del RBI y las rebajas de los analistas; la subida de abril vino de volúmenes récord. Ninguna noticia de los últimos seis meses cambia la tesis, y los resultados del 2T FY27 (sin fecha) no aplazan nada porque la decisión no es de compra.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real del año siguiente, BSE cotizó a 10,3 veces en marzo de 2021, 58,8 en 2022 (antes de la caída del beneficio de FY2023), 14,4 en 2023 (antes de los derivados), 26,2 en 2024, 30,3 en 2025 y unas 36 veces en marzo de 2026 sobre nuestro BPA de FY2027e [1, nota A]. Hoy, a 3.336 INR, son unas 41 veces nuestro BPA de FY2028e: el múltiplo más alto de su historia reciente, por encima de la NSE (37,5) y de las bolsas mundiales (16-23) [15].</w:t>
      </w:r>
    </w:p>
    <w:p>
      <w:pPr>
        <w:pStyle w:val="Heading1"/>
      </w:pPr>
      <w:r>
        <w:t xml:space="preserve">18. Comparables cotizados</w:t>
      </w:r>
    </w:p>
    <w:p>
      <w:pPr>
        <w:pStyle w:val="Confianza"/>
        <w:spacing w:after="100"/>
      </w:pPr>
      <w:r>
        <w:t xml:space="preserve">Confianza: Media</w:t>
      </w:r>
    </w:p>
    <w:p>
      <w:pPr>
        <w:spacing w:after="100"/>
      </w:pPr>
      <w:r>
        <w:t xml:space="preserve">Bolsas e infraestructuras de mercado cotizadas: las indias (NSE, MCX, CDSL, CAMS) y las grandes mundiales (CME, ICE, Cboe, Nasdaq, HKEX, Deutsche Börse, LSEG). PER de los próximos 12 meses = precio ÷ media de los BPA de Yahoo del ejercicio en curso y del siguiente, ponderada por los meses que quedan. Cboe y Deutsche Börse sin crecimiento ni EV/EBITDA adelantado: Yahoo da sus ingresos brutos y el consenso netos.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Stock Exchange of India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4.273.211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 Commodity Exchange of India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 Depository Services (India)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Computer Age Management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10.018.550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8.440.750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3.037.912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Exchanges and Clearing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5.693.228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5.911.611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5.285.065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18,2x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 / 23,0x / 33,0x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 / 10,5x / 18,0x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2.594,56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infraestructuras indias cotizan a 28-46 veces el BPA de los próximos doce meses (NSE 37,5; MCX 41,1; CDSL 45,8) y las mundiales a 16-23 veces; la mediana de las once es 23,0 [15]. BSE, a ≈ 41 veces nuestro BPA de FY2028e y ≈ 45 veces el de FY2027e, está en lo alto del grupo indio con un margen (64-67 %) inferior al de la NSE (82 %) y un crecimiento que depende de la regulación.</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780"/>
        <w:gridCol w:w="1676"/>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Ebix Insurance Broking (40 %)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BSE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participación;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CDSL (5 % vendido)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en bolsa a precio de mercado [1].</w:t>
            </w:r>
          </w:p>
        </w:tc>
      </w:tr>
    </w:tbl>
    <w:p>
      <w:pPr>
        <w:spacing w:after="160" w:before="0"/>
      </w:pPr>
    </w:p>
    <w:p>
      <w:pPr>
        <w:spacing w:after="160" w:before="0"/>
      </w:pPr>
    </w:p>
    <w:p>
      <w:pPr>
        <w:spacing w:after="100"/>
      </w:pPr>
      <w:r>
        <w:t xml:space="preserve">No hay compras de bolsas comparables con múltiplo publicado en India: la propiedad de las bolsas está limitada por ley (5 % por accionista). No se usan para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crecieron un 59,7 % anual entre FY2022 y FY2026 (7.432 a 48.340 M) [1, 4], casi todo por los derivados del Sensex relanzados en mayo de 2023. Ese ritmo terminó: el 1T FY27 (15.661 M) quedó plano frente al 4T FY26 y el 2T será peor, porque la subasta de cierre (desde el 3-ago) y las normas del RBI recortaron la prima de agosto (el foro estima −20 % de ingresos de derivados en el trimestre) [6, 7, 41]. Proyectamos 57.525 M en FY2027e (+19 %), +8 % en FY2028e (año entero con la nueva regulación) y +12 / 12 / 11 / 10 / 8,5 / 7 % hasta FY2034e, en línea con el ahorro de los hogares indios que va a bolsa. El consenso va más deprisa (72.490 M en FY2028e) [31].</w:t>
      </w:r>
    </w:p>
    <w:p>
      <w:pPr>
        <w:keepNext/>
        <w:spacing w:after="100"/>
      </w:pPr>
      <w:r>
        <w:rPr>
          <w:b/>
          <w:bCs/>
        </w:rPr>
        <w:t xml:space="preserve">Márgenes.</w:t>
      </w:r>
    </w:p>
    <w:p>
      <w:pPr>
        <w:spacing w:after="100"/>
      </w:pPr>
      <w:r>
        <w:t xml:space="preserve">El margen EBITDA operativo (con la aportación al Core SGF) fue del 29 % en FY2024, 51 % en FY2025, 64 % en FY2026 y 67 % en el 1T FY27 [6]: los costes (personal, tecnología, contribución a SEBI) son casi fijos y la contribución regulatoria crece con los ingresos. Proyectamos un 64,5 % en FY2027e (el 2T baja con el volumen) y hasta el 66 % desde FY2031e, por debajo del 82 % de la NSE, que tiene más escala [15].</w:t>
      </w:r>
    </w:p>
    <w:p>
      <w:pPr>
        <w:keepNext/>
        <w:spacing w:after="100"/>
      </w:pPr>
      <w:r>
        <w:rPr>
          <w:b/>
          <w:bCs/>
        </w:rPr>
        <w:t xml:space="preserve">Inversión y circulante.</w:t>
      </w:r>
    </w:p>
    <w:p>
      <w:pPr>
        <w:spacing w:after="100"/>
      </w:pPr>
      <w:r>
        <w:t xml:space="preserve">Capex del 7 % de las ventas en FY2027e (10,7 % en FY2026, por centro de datos y motor de negociación) bajando al 3,5 %; amortización del 3,3 % (la de FY2026) [1]. Circulante del 8 % de las ventas (clientes − proveedores fue el 8,7 % en FY2026) [1]. La caja de clientes y el Core SGF no entran: no son de BSE.</w:t>
      </w:r>
    </w:p>
    <w:p>
      <w:pPr>
        <w:keepNext/>
        <w:spacing w:after="100"/>
      </w:pPr>
      <w:r>
        <w:rPr>
          <w:b/>
          <w:bCs/>
        </w:rPr>
        <w:t xml:space="preserve">Coste del capital.</w:t>
      </w:r>
    </w:p>
    <w:p>
      <w:pPr>
        <w:spacing w:after="100"/>
      </w:pPr>
      <w:r>
        <w:t xml:space="preserve">Todo en INR: bono indio a 10 años del 7,06 % (septiembre de 2026, OCDE vía FRED) [32]. Beta de 1,27 frente al Nifty 50 (60 meses) [30]. Prima de mercado del 5,5 % y prima adicional de 1 punto por la dependencia de un regulador (SEBI) y de un producto (opciones semanales sobre el Sensex, el 74 % de los ingresos del 1T FY27 [6]). Sin deuda: WACC = coste del capital = 15,05 %.</w:t>
      </w:r>
    </w:p>
    <w:p>
      <w:pPr>
        <w:keepNext/>
        <w:spacing w:after="100"/>
      </w:pPr>
      <w:r>
        <w:rPr>
          <w:b/>
          <w:bCs/>
        </w:rPr>
        <w:t xml:space="preserve">Valor terminal.</w:t>
      </w:r>
    </w:p>
    <w:p>
      <w:pPr>
        <w:spacing w:after="100"/>
      </w:pPr>
      <w:r>
        <w:t xml:space="preserve">Crecimiento a perpetuidad del 6 % nominal en rupias (≈ 1,5-2 % real), por debajo del bono indio menos medio punto (6,56 %). El valor terminal pesa el 56 % del valor y equivale a 8,2 veces el EBITDA de FY2034e; las bolsas mundiales maduras cotizan a 12-23 veces el EBITDA [15]. Con un múltiplo de salida de 20x el DCF casi se duplicaría, aún muy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19.260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IN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7,0 %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1.090,69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1.273,88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10.791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 (reinvierte el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91,6 % (histórico: 1.014,4 %)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 frente al 10,9 %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(hoy: 20,0 %)</w:t>
            </w:r>
          </w:p>
        </w:tc>
      </w:tr>
    </w:tbl>
    <w:p>
      <w:pPr>
        <w:spacing w:after="160" w:before="0"/>
      </w:pPr>
    </w:p>
    <w:p>
      <w:pPr>
        <w:spacing w:after="100"/>
      </w:pPr>
      <w:r>
        <w:t xml:space="preserve">La proyección apenas necesita inversión neta de la amortización (reinversión acumulada de 10.791 M, el 3 % del NOPAT, con un capex bruto medio del 4,4 % de las ventas). En un negocio de activos ligeros, el crecimiento medio del 10,9 % tiene que salir de subir precios y de ganar volumen sin capital nuevo, y la prueba es el poder de precios y la cuota (17,9 % del mercado en FY2031e, frente al 20,0 %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+17 % (1T FY27 con prima récord de 29.615 crore diarios; 2T con −20 % de ingresos de derivados por la subasta de cierre) [6, 7, 41], precio del +1 % y un punto de productos nuevos (índices sectoriales, colocación de servidores).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(primer año entero con STT más alto, subasta de cierre y normas del RBI; Jefferies estima hasta −10 % de prima por el RBI [20]) y 2 puntos de productos nuevos (MSCI, contratos mensuales, datos vendidos directamente al extranjero desde 2027) [16,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con el mercado indio y 2 puntos de productos nuevos.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y 2 puntos de productos y servicios (StAR MF, cotizaciones de pymes).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+9 % y 2 puntos de otros. Ingresos de 86.500 M en FY2031e: el 17,9 % de los ingresos de las bolsas indias (≈ 482.000 M con un +12 % anual desde ≈ 273.600 M [15]) frente al ≈ 20 % de hoy.</w:t>
            </w:r>
          </w:p>
        </w:tc>
      </w:tr>
    </w:tbl>
    <w:p>
      <w:pPr>
        <w:spacing w:after="160" w:before="0"/>
      </w:pPr>
    </w:p>
    <w:p>
      <w:pPr>
        <w:spacing w:after="100"/>
      </w:pPr>
      <w:r>
        <w:t xml:space="preserve">Sí. Las tres pruebas pasan: el crecimiento proyectado (10,9 % de media en FY2027e-FY2034e) es una sexta parte del histórico (59,7 % en FY2022-FY2026); crecer casi no cuesta capital (reinversión bruta del 11 % del NOPAT, con un ROIC de más del 200 % sobre un capital operativo pequeño); y la cuota implícita en FY2031e (17,9 %) es menor que la de hoy (≈ 20 %). El riesgo no es de financiación sino regulatorio: el 74 % de los ingresos depende de que SEBI mantenga las opciones semanales sobre índices, y un recorte haría bajar el volumen sin que BSE pueda compensarlo con precio. El foso es estrecho: duopolio regulado con la NSE, que tiene más liquidez y escala.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10,9 %)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96 % justifica el precio (base: 66,0 %)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15,1 %)</w:t>
            </w:r>
          </w:p>
        </w:tc>
      </w:tr>
    </w:tbl>
    <w:p>
      <w:pPr>
        <w:spacing w:after="160" w:before="0"/>
      </w:pPr>
    </w:p>
    <w:p>
      <w:pPr>
        <w:spacing w:after="100"/>
      </w:pPr>
      <w:r>
        <w:t xml:space="preserve">El DCF da 1.130 INR por acción, un 66 % por debajo del precio, con el valor terminal en el 56 % del valor. El precio de 3.336 INR exige un crecimiento del 33 % anual durante ocho años con un margen del 66 %: ningún margen lo alcanza con nuestro crecimiento, y la rentabilidad implícita es del 8,7 % anual frente a un WACC del 15,05 %. La sensibilidad no lo arregla: un WACC y un crecimiento terminal un punto mayores o menores dan entre 996 y 1.339 INR, y un margen 2 puntos mayor solo añade ≈ 30 INR. El mercado paga a BSE como si el crecimiento de los dos últimos años fuera a seguir otra década; nosotros vemos un regulador que ya lo está frenando.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SEBI suprime los vencimientos semanales o deja solo uno en la NSE, la subasta de cierre y el STT reducen la actividad de los operadores y la NSE recupera cuota: 8 puntos menos de crecimiento y 4 puntos menos de margen (≈ 62 %), crecimiento terminal del 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regulación frena pero no rompe: un 2T FY27 débil, recuperación parcial desde octubre, crecimiento del 8 % en FY2028e y luego con el ahorro de los hogares; margen del 64,5-66 %.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semanales siguen, los contratos mensuales y los inversores extranjeros crecen y llegan los derivados sobre índices MSCI: 5 puntos más de crecimiento y 1,5 puntos más de margen (≈ 67,5 %).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INR) · precio actual 3.33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1.112,14 INR (-66,7 %).</w:t>
      </w:r>
    </w:p>
    <w:p>
      <w:pPr>
        <w:spacing w:after="100"/>
      </w:pPr>
      <w:r>
        <w:t xml:space="preserve">En el DCF el bajista (728 INR) pierde un 78 % y el alcista (1.460 INR) un 56 %: todos los escenarios de flujos quedan muy por debajo del precio. A 12 meses, con el PER propio, el bajista pierde un 69 % y el alcista gana un 18 %. La diferencia entre los dos métodos es la tesis: el mercado paga 40 veces el beneficio de una bolsa cuyo crecimiento depende de una decisión del regulador; el DCF dice que, a un 15 % de coste del capital, ese crecimiento vale un tercio del precio.</w:t>
      </w:r>
    </w:p>
    <w:p>
      <w:pPr>
        <w:pStyle w:val="Heading1"/>
      </w:pPr>
      <w:r>
        <w:t xml:space="preserve">22. Suma de partes</w:t>
      </w:r>
    </w:p>
    <w:p>
      <w:pPr>
        <w:pStyle w:val="Confianza"/>
        <w:spacing w:after="100"/>
      </w:pPr>
      <w:r>
        <w:t xml:space="preserve">Confianza: Media</w:t>
      </w:r>
    </w:p>
    <w:p>
      <w:pPr>
        <w:spacing w:after="100"/>
      </w:pPr>
      <w:r>
        <w:t xml:space="preserve">No la hacemos: BSE tiene un solo negocio con costes comunes. La participación en CDSL (15 %) se suma en el puente a precio de mercado neto de impuestos, y la caja propia a su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INR) · precio actual 3.33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3.352,68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1.282,15 INR (-61,6 % sobre 3.336,00).</w:t>
      </w:r>
    </w:p>
    <w:p>
      <w:pPr>
        <w:spacing w:after="100"/>
      </w:pPr>
      <w:r>
        <w:t xml:space="preserve">Pesamos el DCF un 50 %, los escenarios un 30 % y los comparables un 20 %. El DCF da 1.130 INR por acción con un WACC del 15,05 % (bono indio al 7,06 % [32], beta de 1,27 [30]) y un 6 % a perpetuidad en rupias; los escenarios van de 728 a 1.460 INR; los comparables, 1.765 INR por EV/EBITDA (mediana 18,2x) y 1.917 por PER (23,0x, mediana de las bolsas indias y mundiales) [15]. El valor ponderado es de 1.282 INR, un 62 % por debajo del precio; con la prima implícita del mercado (4,2 % [34]) el valor real sube a 1.446 INR. La distancia no es de supuestos finos: el precio de 3.336 INR exige crecer un 33 % anual durante ocho años con un margen del 66 %, cuando el regulador está recortando el producto que hizo crecer a BSE. Puente a 31-mar-2026: sin deuda; caja propia de 60.772 M (sin márgenes de miembros ni Core SGF) [1]; el 15 % de CDSL a precio de mercado neto de impuestos (34.120 M) y el resto de asociadas a valor contable (872 M) [1, 35]; el dividendo final de julio (4.120 M) como pasivo [13]; minoritarios a valor contable (1.225 M).</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(41.9x) ÷ 1.1 (tope: la mediana de 5 años, 30.3x,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3.935,35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spacing w:after="100"/>
      </w:pPr>
      <w:r>
        <w:rPr>
          <w:b/>
          <w:bCs/>
        </w:rPr>
        <w:t xml:space="preserve">Objetivo a 12 meses (ponderado):</w:t>
      </w:r>
      <w:r>
        <w:t xml:space="preserve"> 2.959,20 INR · rentabilidad -11,0 % (base +3,4 %) · señal Vender.</w:t>
      </w:r>
    </w:p>
    <w:p>
      <w:pPr>
        <w:spacing w:after="100"/>
      </w:pPr>
      <w:r>
        <w:t xml:space="preserve">Para comparar, con la regla v2 (historia al cierre, mismo precio): 26,9x / 41,9x / 46,7x, 7,4 % Mantener; con el tope anterior del base (×1,3, 14-oct mediodía): -16,3 %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(79,58 INR) está un 10,1 % por debajo del consenso de Yahoo (88,50, 19 analistas) y el de FY2027e (72,65) un 5,5 % por debajo (76,88) [31]. Casi todo es de ingresos: damos 62.127 M en FY2028e frente a 72.490 M (−14 %) porque metemos un año entero de subasta de cierre, STT más alto y normas del RBI, y un 2T FY27 con un 20 % menos de ingresos de derivados que el 1T [41]; el margen y la caja compensan en parte. El consenso viene recortando desde agosto (Jefferies −5-12 %, Nuvama −15 % en FY2028) [19, 20]. Nuestro objetivo ponderado (2.959 INR) queda por debajo del objetivo medio de los analistas (3.698; rango 2.820-4.500) porque el bajista usa el PER mínimo de cinco años (14,4x), de antes de los derivados.</w:t>
      </w:r>
    </w:p>
    <w:p>
      <w:pPr>
        <w:keepNext/>
        <w:spacing w:after="100"/>
      </w:pPr>
      <w:r>
        <w:rPr>
          <w:b/>
          <w:bCs/>
        </w:rPr>
        <w:t xml:space="preserve">Del valor intrínseco al objetivo a 12 meses.</w:t>
      </w:r>
    </w:p>
    <w:p>
      <w:pPr>
        <w:spacing w:after="100"/>
      </w:pPr>
      <w:r>
        <w:t xml:space="preserve">El objetivo a 12 meses (2.959 INR) da un −11,0 % con dividendo; el base, un +3,4 %. El base es un PER de 38,1x (el actual, 41,9x, recortado un 10 %, el tope de la regla; la mediana de cinco años es 30,3x) sobre un BPA de FY2029e de 90,31 INR, que crece un 14 % al año desde FY2026, más un 0,3 % de dividendo (10 INR). El bajista (14,4x, el mínimo de marzo de 2023, sobre 70,82) pierde un 69 %; el alcista (38,1x, porque ni la historia ni los comparables pagan más que el base, sobre 103,29) gana un 18 %. La regla da Vender, pero por poco: el umbral es −10 % y la cifra depende de un bajista que vuelve al múltiplo de una BSE sin derivados. Con la regla v2 (historia al cierre) sale +7,4 % (Mantener). Con un BPA un 10 % menor, la ponderada baja a ≈ −20 %.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FY27 (el 2T FY26 se publicó el 11-nov-2025 [12]; sin fecha anunciada)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subasta de cierre: el foro estima −20 % de ingresos de derivados frente al 1T [41]; sería la primera caída de ingresos en más de ocho trimestres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SEBI sobre los vencimientos semanales y la estructura revisada de la subasta de cierre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Suprimirlos sería el bajista; mantener uno por bolsa, el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BSE vende directamente sus datos de mercado a clientes internacionales (fin del acuerdo con Deutsche Börse) [17]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ingresos de datos; pequeño frente a los derivados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sobre índices MSCI y sectoriales (Focused IT, Midcap, Sensex Next 30) [16,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 fuera del Sensex semanal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pasivos tras la entrada en el Nifty 50 (30-sep-2026) y cotización de la NSE (24-sep-2026) [29]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NSE cotizada puede revalorizar o abaratar el grupo; los fondos indexados ya compraron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SEBI suprime o recorta los vencimientos semanales de opciones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 el bajista: BPA de FY2029e de 70,82 INR (−22 %) y −69 % a 12 meses con el PER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propuesta de mayo de 2026 aún conserva un vencimiento semanal por bolsa; BSE empuja contratos mensuales (×5 desde enero de 2025) [7,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Circulares o consultas de SEBI sobre derivados de índices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cierre, STT y normas del RBI reducen la actividad de los operadores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base: −20 % de ingresos de derivados en el 2T FY27 y +8 % en FY2028e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prima en septiembre y octubre según el foro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diaria media mensual por debajo de 20.000 crore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la NSE (vencimientos, tasas, productos)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Perder 10 puntos de cuota de prima ≈ −25 % de los ingresos de derivados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BSE ganó cuota con contratos más pequeños y tasas más bajas; la NSE cotiza desde septiembre y tiene que crecer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prima de opciones de BSE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Manipulación o fallo técnico en un vencimiento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Multas, cambios de reglas y pérdida de confianza de los operadores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Vigilancia de mercado propia y de SEBI (caso del 13-ago-2026 contra dos entidades, no contra BSE)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Órdenes de SEBI que mencionen a la bolsa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41,9 veces nuestro BPA de FY2028e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Volver a la mediana de cinco años (30,3x) es −28 % sobre el mismo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NSE cotiza a 37,5x y MCX a 41,1x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BPA del consenso tras el 2T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0 % a 3-5 años en el base;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bolsa cobra por cada contrato, lo haga una persona o un algoritmo; la licencia y la cámara no se pueden sustituir con software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el regulador limite el comercio algorítmico de minoristas o que la IA desplace volumen a productos fuera de bolsa</w:t>
            </w:r>
          </w:p>
        </w:tc>
      </w:tr>
    </w:tbl>
    <w:p>
      <w:pPr>
        <w:spacing w:after="160" w:before="0"/>
      </w:pPr>
    </w:p>
    <w:p>
      <w:pPr>
        <w:pStyle w:val="Heading2"/>
      </w:pPr>
      <w:r>
        <w:t xml:space="preserve">Pre-mortem</w:t>
      </w:r>
    </w:p>
    <w:p>
      <w:pPr>
        <w:spacing w:after="100"/>
      </w:pPr>
      <w:r>
        <w:t xml:space="preserve">Octubre de 2027: la acción ha perdido un 60 %. En diciembre de 2026 SEBI publicó la norma que dejaba los vencimientos semanales solo para un índice de la NSE; la prima diaria de BSE cayó a menos de 10.000 crore y los ingresos de FY2028 fueron un 30 % menores que los de FY2026. La NSE, ya cotizada, bajó sus tasas para recuperar cuota. El mercado volvió a pagar a BSE lo que pagaba en 2023, unas 15-20 veces un beneficio que había dejado de crecer. Las señales estaban: el 2T FY27 con la primera caída de ingresos en ocho trimestres, la consulta de SEBI y las rebajas de los analistas en agosto.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en el base; no se recoge en ningún escenario</w:t>
      </w:r>
    </w:p>
    <w:p>
      <w:pPr>
        <w:spacing w:after="100"/>
      </w:pPr>
      <w:r>
        <w:t xml:space="preserve">BSE es una infraestructura regulada: cobra por cada contrato que pasa por su motor y su cámara, y la IA no sustituye la licencia, la liquidez ni la garantía de liquidación. La IA ya está en los dos lados del mercado: los operadores algorítmicos hacen la mayor parte del volumen de opciones (si la IA abarata operar, puede subir el volumen), y la bolsa la usa en vigilancia y en atención a miembros. Los riesgos indirectos son dos: que el regulador, para proteger al minorista, limite el comercio algorítmico o con IA de particulares (lo que recortaría volumen) y que los datos e índices (ingresos pequeños para BSE) pierdan valor frente a proveedores con IA. La señal: normas de SEBI sobre algoritmos para minoristas.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de gobierno: integridad del mercado (vigilancia, manipulación en vencimientos), ciberseguridad y continuidad del servicio, y la protección del inversor minorista (SEBI estima que nueve de cada diez minoristas pierden en opciones) [1].</w:t>
      </w:r>
    </w:p>
    <w:p>
      <w:pPr>
        <w:pStyle w:val="Heading2"/>
      </w:pPr>
      <w:r>
        <w:t xml:space="preserve">Controversias</w:t>
      </w:r>
    </w:p>
    <w:p>
      <w:pPr>
        <w:spacing w:after="100"/>
      </w:pPr>
      <w:r>
        <w:t xml:space="preserve">Orden de GST de 72,5 M recurrida (diciembre de 2025) [nota A]. En agosto de 2026 SEBI prohibió operar a dos entidades por manipular un vencimiento del Sensex (13-ago) e intervino 3,67 crore: el caso no es contra BSE, pero muestra el riesgo regulatorio del día de vencimiento [19]. Calificación ESG comunicada a la NSE en octubre de 2026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prima de opciones viene de contratos que vencen en la semana y qué pasaría con un solo vencimiento semanal en el mercado?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decide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cierre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cayeron la prima y los ingresos de derivados del 2T FY27 y qué cambia la estructura revisada de SEBI?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la CAS.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margen para subir las tasas de opciones, que son una fracción de las de la NSE?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que el foro ve y la empresa no comenta.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propia (60.772 M) es capital regulatorio mínimo y qué parte se podría repartir?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Rinde un 5-6 % y baja el ROE.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ingresos esperan de la negociación de acciones de la NSE en BSE?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en BSE desde el 24-sep-2026.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ValuePickr (hilo de BSE)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sigue la prima diaria mes a mes: tras la caída de agosto con la subasta de cierre (≈ 18.700 crore), los foreros ven recuperación en septiembre (≈ 23.200) y en la primera quincena de octubre; estiman que los ingresos de derivados del 2T FY27 bajarán un 18-20 % frente al 1T. Unos ven la caída como oportunidad por la entrada en el Nifty 50 y la cotización de la NSE; otros temen que SEBI suprima los vencimientos semanales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financiera india (Business Today, Business Standard, Outlook Business)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rebajas de Jefferies y Nuvama y −9 % en una semana; septiembre: entrada en el Nifty 50 con ventas en bloque y −4 % el día del cambio; objetivo de consenso ≈ 3.790 INR [19, 36,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los vencimientos semanales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SEBI lo ha dicho en público; la propuesta de mayo de 2026 aún los conserva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cierre y normas del RBI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Agosto bajó; septiembre y octubre recuperan según el foro, sin cifra oficial aún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Nifty 50 y flujos pasivos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ocurrió (30-sep); los vendedores fueron fondos que replicaban otros índices (nota 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más cara que la NSE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 41 veces nuestro BPA de FY2028e frente a 37,5 la NSE (nota D).</w:t>
            </w:r>
          </w:p>
        </w:tc>
      </w:tr>
    </w:tbl>
    <w:p>
      <w:pPr>
        <w:spacing w:after="160" w:before="0"/>
      </w:pPr>
    </w:p>
    <w:p>
      <w:pPr>
        <w:spacing w:after="100"/>
      </w:pPr>
      <w:r>
        <w:t xml:space="preserve">El inversor particular sigue el volumen día a día y está dividido: la acción ha subido 31 veces en tres años y medio y la discusión es si la regulación ya ha hecho todo el daño. La prensa y los analistas giraron a negativo en agosto. Coincide con los datos en que el 2T FY27 será peor que el 1T y en que el riesgo grande es regulatorio, no de competencia.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41 (24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17,9 % en FY2031e frente al 20,0 %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8,7 % real: genera una variación de circulante de 379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6,00 %. Explicación: El DCF está en rupias, con un bono a 10 años del 7,06 % [32] y una inflación india del 4-5 %: un 6 % nominal a perpetuidad equivale a un 1,5-2 % real, por debajo del crecimiento real de la economía india y del bono menos medio punto (6,56 %). Con un 5 % el valor baja a ≈ 1.075 INR por acción; no cambia ninguna conclusión.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27.175 M de flujo libre medio en sus tres primeros años, frente a 9.137 M de media real en los tres últimos: justifica el salto (circulante, inversión, márgenes) o ajusta los supuestos. Explicación: El flujo libre medio de FY2027e-FY2029e (≈ 27.200 M) triplica la media de FY2024-FY2026 (9.137 M) porque los ingresos se multiplicaron por 3,5 en esos tres años (13.900 a 48.340 M) y el margen EBITDA pasó del 29 % al 64 % [1, 6]. Comparado con el último año real (flujo operativo ajustado de 23.760 M menos capex de 5.152 M = 18.608 M), el FY2027e (23.826 M en el año entero) sube un 28 % con unos ingresos un 19 % mayores y un capex menor (7 % frente al 10,7 %): coherente con un negocio de costes fijos.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-61,3 % (-56,4 % con la prima del mercado) y el precio pide 22,3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26, 27, 28,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el consenso vigente); 2) presentaciones (no lo dan); 3) prensa de cada publicación (cifras dispares)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línea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(un solo segmento); 2) presentaciones (solo ingresos por línea); 3) transcripciones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ingresos por línea de la presentación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de crédito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tiene deuda calificada); 2) anuncios a la NSE; 3) web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(sin deuda)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de ingresos de las bolsas indias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BSE (datos de volumen, no de ingresos del sector); 2) cuentas de NSE (cotiza desde sep-2026; solo LTM en Yahoo); 3) SEBI (estadística de volúmenes)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el 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ESG concreta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a la NSE (no da la nota en el texto extraído); 2) informe anual; 3) web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escrutador de la junta de 2026 (no hay punto de remuneración); 2) informe anual; 3) votación postal de julio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la remuneración no se vota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y ventas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la NSE (sin comunicaciones de directivos en 12 meses); 2) informe anual (los directivos no tienen acciones relevantes);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operaciones de bolsas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BSE; 2) prensa de operaciones mundiales (LSEG-Refinitiv, ICE-Black Knight: otro negocio); 3) Yahoo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FY2029e y de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dos ejercicios); 2) prensa (objetivos, no BPA de FY2029); 3) MarketScreener (sin acceso a la tabla)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NSE (sin saldo agregado público); 2) Yahoo;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Reddit (bloqueada desde este entorno); 2) búsqueda web (sin hilos recientes con datos); 3) ValuePickr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2025-26: estados consolidados Ind AS de FY2026 y FY2025, notas (Core SGF, fondos de clientes, inversiones «owned»), informe del auditor,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https://nsearchives.nseindia.com/corporate/BSE1_23072026103414_NSEintimationNoticeandAR2026.pdf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2024-25: estados consolidados de FY2025 y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https://nsearchives.nseindia.com/annual_reports/AR_27090_BSE_2024_2025_A_24072025103555.pdf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2023-24: estados consolidados de FY2024 y FY2023 (provisión de tasas a SEBI, venta parcial de CDSL)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https://nsearchives.nseindia.com/annual_reports/AR_24153_BSE_2023_2024_2006202415751.pdf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2021-22: estados consolidados de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https://nsearchives.nseindia.com/annual_reports/AR_20066_BSE_2021_2022_17062022161215.zip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no auditados del trimestre a 30-jun-2026 (1T FY27) y salida del consejo del 4-ago-2026 (nuevo auditor KKC &amp; Associates)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https://nsearchives.nseindia.com/corporate/BSE1_04082026184424_NSEIntimation.pdf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1T FY27: cuenta consolidada por líneas de ingreso, EBITDA operativo con y sin Core SGF, derivados (prima diaria, ingresos), accionariado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https://nsearchives.nseindia.com/corporate/BSE1_04082026185534_NSEintimation.pdf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 FY27 (subasta de cierre, normas del RBI, ingresos de inversiones)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https://nsearchives.nseindia.com/corporate/BSE1_10082026115817_NSEIntimation.pdf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auditados de FY2026 y del 4T FY26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https://nsearchives.nseindia.com/corporate/BSE1_07052026173203_NSEintimation07052026.pdf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4T FY26 (FY2026 por líneas, márgenes, Core SGF)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https://nsearchives.nseindia.com/corporate/BSE1_07052026174401_NSEintimation.pdf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https://nsearchives.nseindia.com/corporate/BSE1_13052026172037_NSEintimation.pdf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del 3T FY26 (a 31-dic-2025) y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https://nsearchives.nseindia.com/corporate/BSE1_09022026183921_NSEIntimation.pdf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del 2T FY26 (a 30-sep-2025) y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https://nsearchives.nseindia.com/corporate/BSE1_11112025180026_NSEIntimation.pdf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dividendo final de FY2026 (10 INR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https://nsearchives.nseindia.com/corporate/BSE1_07052026174613_NSEintimation07052026.pdf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orden de GST de 7,25 crore (recurso)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https://nsearchives.nseindia.com/corporate/BSE1_23122025105317_NSEIntimation.pdf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NSE, MCX, CDSL, CAMS, CME, ICE, Cboe, Nasdaq, HKEX, Deutsche Börse y LSEG (ventas, márgenes,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https://finance.yahoo.com/quote/NSE.BO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acuerdo con MSCI sobre varios de sus índices; BSE estudiará lanzar derivados en India ligados a ellos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https://nsearchives.nseindia.com/corporate/BSE1_19082026193321_NSEIntimation.pdf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desde el 1-ene-2027 BSE vende directamente sus datos de mercado a clientes internacionales (hasta ahora lo hacía Deutsche Börse, desde 2013)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https://nsearchives.nseindia.com/corporate/BSE1_29062026173741_NSEIntimation.pdf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Anuncios a la NSE: aprobación de SEBI para derivados sobre los índices Focused Midcap, Sensex Next 30 y Focused 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https://nsearchives.nseindia.com/corporate/BSE1_09042026173337_NSEIntimation.pdf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Standard: «BSE hits 4-month low after Jefferies, Nuvama downgrade stock on CAS risks» (subasta de cierre, cuota de prima)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Standard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https://www.business-standard.com/markets/news/bse-hits-4-month-low-after-jefferies-nuvama-downgrade-stock-on-cas-risks-126081801046_1.html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«BSE shares: Jefferies downgrades rating to Underperform» (normas del RBI, recorte de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https://www.businesstoday.in/markets/stocks/story/bse-shares-jefferies-downgrades-rating-to-underperform-lowers-target-price-549492-2026-08-17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«BSE shares fall nearly 2 %; what is dragging the stock?» (volúmenes de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https://www.businesstoday.in/markets/stocks/story/bse-shares-fall-nearly-2-what-is-dragging-the-stock-550364-2026-08-20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calificación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https://nsearchives.nseindia.com/corporate/BSE1_16102026120419_NSEintimation.pdf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resultados de la junta de 2026 (informe del escrutador)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https://nsearchives.nseindia.com/corporate/BSE1_19082026213255_NSEintimationresults2026.pdf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salida del consejo de junio de 2026 (consejeros ejecutivos de las verticales)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https://nsearchives.nseindia.com/corporate/BSE1_16062026182713_NSEIntimation.pdf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cambios en el consejo y en la dirección (diciembre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https://nsearchives.nseindia.com/corporate/BSE1_17122025183307_NSEintimation.pdf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nombramiento de consejero de interés público (diciembre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https://nsearchives.nseindia.com/corporate/BSE1_16122025190837_NSEintimation.pdf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nuevo auditor (KKC &amp; Associates LLP) y más participación en IIBH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https://nsearchives.nseindia.com/corporate/BSE1_04082026191701_NSEIntimation.pdf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a la NSE: votación postal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 Limited / 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https://nsearchives.nseindia.com/corporate/BSE1_24072026210738_NSEIntimation2026.pdf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Kotak Neo: Goldman Sachs y BNP Paribas venden 68,33 lakh acciones (1,67 %) a ≈ 3.200 INR al entrar en el Nifty 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Kotak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https://www.kotakneo.com/news/stocks/bse-shares-fall-after-goldman-sachs-bnp-paribas-stake-sale/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BSE.NS y del Nifty 50 (^NSEI); cierres de cada ejercicio, beta y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https://finance.yahoo.com/quote/BSE.NS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BSE.NS: consenso de BPA e ingresos de FY2027 y FY2028 (19 analistas) y precio objetivo medio (earningsTrend, financialData)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https://finance.yahoo.com/quote/BSE.NS/analysis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India (INDIRLTLT01STM), septiembre de 2026: 7,06 %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https://fred.stlouisfed.org/series/INDIRLTLT01STM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USDINR, EURINR, GBPINR y HKDINR,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https://finance.yahoo.com/quote/USDINR=X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CDSL (CDSL.NS): precio de 1.270 INR; BSE tiene 31,35 M de acciones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https://finance.yahoo.com/quote/CDSL.NS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«BSE shares enter Nifty club, stock tanks 4 %; what consensus target suggests» (objetivo de consenso 3.787,68 INR)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https://www.businesstoday.in/markets/trending-stocks/story/bse-shares-enter-nifty-club-stock-tanks-4-what-consensus-target-suggests-558670-2026-09-30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«BSE share price targets: Buy, sell or hold? What Jefferies, UBS, JPMorgan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https://www.businesstoday.in/markets/stocks/story/bse-share-price-targets-buy-sell-or-hold-what-jefferies-ubs-jpmorgan-say-547235-2026-08-05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Outlook Business: «BSE Shares Extend Fall, Down 9 % In A Week After Broker Downgrades»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Outlook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https://www.outlookbusiness.com/markets/bse-shares-extend-fall-down-9-in-a-week-after-broker-downgrades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Equentis: Macquarie ve un 28 % de potencial (Outperform, 4.000 INR)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Equentis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https://www.equentis.com/blog/bse-share-price-falls-4-as-it-enters-nifty-50-macquarie-sees-28-upside/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base de conocimiento: acceso a la NSE solo para no residentes indios (NRI) e intermediarios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https://www.interactivebrokers.com/en/index.php?f=1152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ValuePickr, hilo «BSE Ltd» (posts de agosto a octubre de 2026: prima de septiembre y octubre, efecto de la 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ValuePickr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https://forum.valuepickr.com/t/bse-ltd/13699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84,5 %</w:t>
      </w:r>
      <w:r>
        <w:t xml:space="preserve"> · Secciones con menos del 60 % de campos cubiertos: </w:t>
      </w:r>
      <w:r>
        <w:rPr>
          <w:b/>
          <w:bCs/>
        </w:rPr>
        <w:t xml:space="preserve">directivos, balance</w:t>
      </w:r>
      <w:r>
        <w:t xml:space="preserve"> · Generado el 20 oct 2026.</w:t>
      </w:r>
    </w:p>
    <w:p>
      <w:pPr>
        <w:pStyle w:val="Nota"/>
        <w:spacing w:after="100"/>
      </w:pPr>
      <w:r>
        <w:t xml:space="preserve">Cuentas consolidadas Ind AS en millones de INR (los estados vienen en lakhs: ÷ 10). Ejercicio de abril a marzo: FY2026 = abril de 2025 a marzo de 2026. India no tiene XBRL en herramientas/cuentas.mjs: FY2022-FY2026 salen de los informes anuales auditados [1, 2, 3, 4] (FY2023 de las comparativas del de FY2024) y los trimestres de los resultados y presentaciones publicados en la NSE [5, 6, 7, 8, 9, 10, 11, 12]. BSE tiene un solo segmento contable; las líneas de ingreso son las de su presentación. La caja de la valoración es solo la propia: los márgenes de los miembros y el fondo de garantía (Core SGF, 12.468 M) no son de la empresa y se quitan de la caja y del flujo operativo [1]. Acciones: 411,98 M, las del BPA publicado, que incluyen las acciones en suspenso de la desmutualización de 2005 (406,13 M en circulación) [1]. Precios ajustados por las ampliaciones gratuitas 2:1 de 2022 y 2025. Precio: cierre del 19-oct-2026 en la NSE (3.336 INR) [30]; el 20-oct-2026 la NSE está cerrada por Dussehra (calendario de festivos de la NSE), así que es también el precio de hoy. Los resultados del 2T FY27 aún no tienen fecha (ventana de operaciones cerrada desde el 30-sep).</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BSE Limited (BSE)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(INR) · precio actual 3.336,00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(2.326,10 – 4.446,80)</c:v>
                </c:pt>
                <c:pt idx="1">
                  <c:v>Precio objetivo de los analistas (2.820,00 – 4.500,00)</c:v>
                </c:pt>
                <c:pt idx="2">
                  <c:v>Comparables: PER NTM (1.704,43 – 2.746,26)</c:v>
                </c:pt>
                <c:pt idx="3">
                  <c:v>DCF (WACC y g ± 0,5) (1.056,46 – 1.221,83)</c:v>
                </c:pt>
                <c:pt idx="4">
                  <c:v>Escenarios (bajista – alcista) (728,49 – 1.459,59)</c:v>
                </c:pt>
                <c:pt idx="5">
                  <c:v>DCF con la prima implícita del mercado (4,2 %)</c:v>
                </c:pt>
                <c:pt idx="6">
                  <c:v>Precio actual (3.336,00)</c:v>
                </c:pt>
              </c:strCache>
            </c:strRef>
          </c:cat>
          <c:val>
            <c:numRef>
              <c:f>Hoja1!$B$2:$B$8</c:f>
              <c:numCache>
                <c:formatCode>#,##0</c:formatCode>
                <c:ptCount val="7"/>
                <c:pt idx="0">
                  <c:v>2326.1</c:v>
                </c:pt>
                <c:pt idx="1">
                  <c:v>2820</c:v>
                </c:pt>
                <c:pt idx="2">
                  <c:v>1704.43</c:v>
                </c:pt>
                <c:pt idx="3">
                  <c:v>1056.46</c:v>
                </c:pt>
                <c:pt idx="4">
                  <c:v>728.49</c:v>
                </c:pt>
                <c:pt idx="5">
                  <c:v>1265.07</c:v>
                </c:pt>
                <c:pt idx="6">
                  <c:v>3319.32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(2.326,10 – 4.446,80)</c:v>
                </c:pt>
                <c:pt idx="1">
                  <c:v>Precio objetivo de los analistas (2.820,00 – 4.500,00)</c:v>
                </c:pt>
                <c:pt idx="2">
                  <c:v>Comparables: PER NTM (1.704,43 – 2.746,26)</c:v>
                </c:pt>
                <c:pt idx="3">
                  <c:v>DCF (WACC y g ± 0,5) (1.056,46 – 1.221,83)</c:v>
                </c:pt>
                <c:pt idx="4">
                  <c:v>Escenarios (bajista – alcista) (728,49 – 1.459,59)</c:v>
                </c:pt>
                <c:pt idx="5">
                  <c:v>DCF con la prima implícita del mercado (4,2 %)</c:v>
                </c:pt>
                <c:pt idx="6">
                  <c:v>Precio actual (3.336,00)</c:v>
                </c:pt>
              </c:strCache>
            </c:strRef>
          </c:cat>
          <c:val>
            <c:numRef>
              <c:f>Hoja1!$C$2:$C$8</c:f>
              <c:numCache>
                <c:formatCode>#,##0</c:formatCode>
                <c:ptCount val="7"/>
                <c:pt idx="0">
                  <c:v>2120.7000000000003</c:v>
                </c:pt>
                <c:pt idx="1">
                  <c:v>1680</c:v>
                </c:pt>
                <c:pt idx="2">
                  <c:v>1041.8300000000002</c:v>
                </c:pt>
                <c:pt idx="3">
                  <c:v>165.3699999999999</c:v>
                </c:pt>
                <c:pt idx="4">
                  <c:v>731.0999999999999</c:v>
                </c:pt>
                <c:pt idx="5">
                  <c:v>154.18000000000006</c:v>
                </c:pt>
                <c:pt idx="6">
                  <c:v>33.35999999999967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(INR, millones)</a:t>
            </a:r>
          </a:p>
        </c:rich>
      </c:tx>
      <c:overlay val="0"/>
    </c:title>
    <c:autoTitleDeleted val="0"/>
    <c:plotArea>
      <c:layout/>
      <c:barChart>
        <c:barDir val="col"/>
        <c:grouping val="stacked"/>
        <c:varyColors val="0"/>
        <c:ser>
          <c:idx val="0"/>
          <c:order val="0"/>
          <c:tx>
            <c:strRef>
              <c:f>Hoja1!$B$1</c:f>
              <c:strCache>
                <c:ptCount val="1"/>
                <c:pt idx="0">
                  <c:v>Tasas de negociación</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7089</c:v>
                </c:pt>
                <c:pt idx="1">
                  <c:v>20299</c:v>
                </c:pt>
                <c:pt idx="2">
                  <c:v>37950</c:v>
                </c:pt>
              </c:numCache>
            </c:numRef>
          </c:val>
        </c:ser>
        <c:ser>
          <c:idx val="1"/>
          <c:order val="1"/>
          <c:tx>
            <c:strRef>
              <c:f>Hoja1!$C$1</c:f>
              <c:strCache>
                <c:ptCount val="1"/>
                <c:pt idx="0">
                  <c:v>Rendimiento de los fondos de compensación</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1840</c:v>
                </c:pt>
                <c:pt idx="1">
                  <c:v>2178</c:v>
                </c:pt>
                <c:pt idx="2">
                  <c:v>1714</c:v>
                </c:pt>
              </c:numCache>
            </c:numRef>
          </c:val>
        </c:ser>
        <c:ser>
          <c:idx val="2"/>
          <c:order val="2"/>
          <c:tx>
            <c:strRef>
              <c:f>Hoja1!$D$1</c:f>
              <c:strCache>
                <c:ptCount val="1"/>
                <c:pt idx="0">
                  <c:v>Servicios de cotización</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3497</c:v>
                </c:pt>
                <c:pt idx="1">
                  <c:v>4900</c:v>
                </c:pt>
                <c:pt idx="2">
                  <c:v>5190</c:v>
                </c:pt>
              </c:numCache>
            </c:numRef>
          </c:val>
        </c:ser>
        <c:ser>
          <c:idx val="3"/>
          <c:order val="3"/>
          <c:tx>
            <c:strRef>
              <c:f>Hoja1!$E$1</c:f>
              <c:strCache>
                <c:ptCount val="1"/>
                <c:pt idx="0">
                  <c:v>Otros ingresos de explotación</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1285</c:v>
                </c:pt>
                <c:pt idx="1">
                  <c:v>2197</c:v>
                </c:pt>
                <c:pt idx="2">
                  <c:v>3485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Tasas de negociación</c:v>
                </c:pt>
                <c:pt idx="1">
                  <c:v>Rendimiento de los fondos de compensación</c:v>
                </c:pt>
                <c:pt idx="2">
                  <c:v>Servicios de cotización</c:v>
                </c:pt>
                <c:pt idx="3">
                  <c:v>Otros ingresos de explotación</c:v>
                </c:pt>
              </c:strCache>
            </c:strRef>
          </c:cat>
          <c:val>
            <c:numRef>
              <c:f>Hoja1!$B$2:$B$5</c:f>
              <c:numCache>
                <c:formatCode>General</c:formatCode>
                <c:ptCount val="4"/>
                <c:pt idx="0">
                  <c:v>78.5</c:v>
                </c:pt>
                <c:pt idx="1">
                  <c:v>3.5</c:v>
                </c:pt>
                <c:pt idx="2">
                  <c:v>10.7</c:v>
                </c:pt>
                <c:pt idx="3">
                  <c:v>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India</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INR)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LTM jun-2026</c:v>
                </c:pt>
              </c:strCache>
            </c:strRef>
          </c:cat>
          <c:val>
            <c:numRef>
              <c:f>Hoja1!$B$2</c:f>
              <c:numCache>
                <c:formatCode>#,##0</c:formatCode>
                <c:ptCount val="1"/>
                <c:pt idx="0">
                  <c:v>273600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BSE</c:v>
                </c:pt>
                <c:pt idx="1">
                  <c:v>National Stock Exchange of India</c:v>
                </c:pt>
                <c:pt idx="2">
                  <c:v>Multi Commodity Exchange of India</c:v>
                </c:pt>
                <c:pt idx="3">
                  <c:v>Metropolitan Stock Exchange</c:v>
                </c:pt>
              </c:strCache>
            </c:strRef>
          </c:cat>
          <c:val>
            <c:numRef>
              <c:f>Hoja1!$B$2:$B$5</c:f>
              <c:numCache>
                <c:formatCode>0.0"%"</c:formatCode>
                <c:ptCount val="4"/>
                <c:pt idx="0">
                  <c:v>60.4</c:v>
                </c:pt>
                <c:pt idx="1">
                  <c:v>82.3</c:v>
                </c:pt>
                <c:pt idx="2">
                  <c:v>73.9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2</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(INR,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7431.5</c:v>
                </c:pt>
                <c:pt idx="1">
                  <c:v>8155.3</c:v>
                </c:pt>
                <c:pt idx="2">
                  <c:v>13900.3</c:v>
                </c:pt>
                <c:pt idx="3">
                  <c:v>29573</c:v>
                </c:pt>
                <c:pt idx="4">
                  <c:v>48340</c:v>
                </c:pt>
                <c:pt idx="5">
                  <c:v>57525</c:v>
                </c:pt>
                <c:pt idx="6">
                  <c:v>62127</c:v>
                </c:pt>
                <c:pt idx="7">
                  <c:v>69582</c:v>
                </c:pt>
                <c:pt idx="8">
                  <c:v>77932</c:v>
                </c:pt>
                <c:pt idx="9">
                  <c:v>86504</c:v>
                </c:pt>
                <c:pt idx="10">
                  <c:v>95154</c:v>
                </c:pt>
                <c:pt idx="11">
                  <c:v>103243</c:v>
                </c:pt>
                <c:pt idx="12">
                  <c:v>110470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0">
                  <c:v>2131.4</c:v>
                </c:pt>
                <c:pt idx="1">
                  <c:v>1974.4</c:v>
                </c:pt>
                <c:pt idx="2">
                  <c:v>3997</c:v>
                </c:pt>
                <c:pt idx="3">
                  <c:v>14997</c:v>
                </c:pt>
                <c:pt idx="4">
                  <c:v>30787</c:v>
                </c:pt>
                <c:pt idx="5">
                  <c:v>37103</c:v>
                </c:pt>
                <c:pt idx="6">
                  <c:v>40072</c:v>
                </c:pt>
                <c:pt idx="7">
                  <c:v>45228</c:v>
                </c:pt>
                <c:pt idx="8">
                  <c:v>51045</c:v>
                </c:pt>
                <c:pt idx="9">
                  <c:v>57093</c:v>
                </c:pt>
                <c:pt idx="10">
                  <c:v>62802</c:v>
                </c:pt>
                <c:pt idx="11">
                  <c:v>68140</c:v>
                </c:pt>
                <c:pt idx="12">
                  <c:v>72910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28.7</c:v>
                </c:pt>
                <c:pt idx="1">
                  <c:v>24.2</c:v>
                </c:pt>
                <c:pt idx="2">
                  <c:v>28.8</c:v>
                </c:pt>
                <c:pt idx="3">
                  <c:v>50.7</c:v>
                </c:pt>
                <c:pt idx="4">
                  <c:v>63.7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28.7</c:v>
                </c:pt>
                <c:pt idx="1">
                  <c:v>24.2</c:v>
                </c:pt>
                <c:pt idx="2">
                  <c:v>28.8</c:v>
                </c:pt>
                <c:pt idx="3">
                  <c:v>50.7</c:v>
                </c:pt>
                <c:pt idx="4">
                  <c:v>63.7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22.2</c:v>
                </c:pt>
                <c:pt idx="1">
                  <c:v>16.8</c:v>
                </c:pt>
                <c:pt idx="2">
                  <c:v>21.9</c:v>
                </c:pt>
                <c:pt idx="3">
                  <c:v>46.9</c:v>
                </c:pt>
                <c:pt idx="4">
                  <c:v>60.4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34.2</c:v>
                </c:pt>
                <c:pt idx="1">
                  <c:v>27.1</c:v>
                </c:pt>
                <c:pt idx="2">
                  <c:v>29.6</c:v>
                </c:pt>
                <c:pt idx="3">
                  <c:v>44.7</c:v>
                </c:pt>
                <c:pt idx="4">
                  <c:v>51.4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FY25</c:v>
                </c:pt>
                <c:pt idx="1">
                  <c:v>3T FY25</c:v>
                </c:pt>
                <c:pt idx="2">
                  <c:v>4T FY25</c:v>
                </c:pt>
                <c:pt idx="3">
                  <c:v>1T FY26</c:v>
                </c:pt>
                <c:pt idx="4">
                  <c:v>2T FY26</c:v>
                </c:pt>
                <c:pt idx="5">
                  <c:v>3T FY26</c:v>
                </c:pt>
                <c:pt idx="6">
                  <c:v>4T FY26</c:v>
                </c:pt>
                <c:pt idx="7">
                  <c:v>1T FY27</c:v>
                </c:pt>
              </c:strCache>
            </c:strRef>
          </c:cat>
          <c:val>
            <c:numRef>
              <c:f>Hoja1!$B$2:$B$9</c:f>
              <c:numCache>
                <c:formatCode>0.0"%"</c:formatCode>
                <c:ptCount val="8"/>
                <c:pt idx="3">
                  <c:v>59.2</c:v>
                </c:pt>
                <c:pt idx="4">
                  <c:v>44.2</c:v>
                </c:pt>
                <c:pt idx="5">
                  <c:v>62</c:v>
                </c:pt>
                <c:pt idx="6">
                  <c:v>84.7</c:v>
                </c:pt>
                <c:pt idx="7">
                  <c:v>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31</c:v>
                </c:pt>
                <c:pt idx="1">
                  <c:v>41</c:v>
                </c:pt>
                <c:pt idx="2">
                  <c:v>55</c:v>
                </c:pt>
                <c:pt idx="3">
                  <c:v>36</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50</c:v>
                </c:pt>
                <c:pt idx="1">
                  <c:v>47</c:v>
                </c:pt>
                <c:pt idx="2">
                  <c:v>70</c:v>
                </c:pt>
                <c:pt idx="3">
                  <c:v>29</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(INR,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1648.4</c:v>
                </c:pt>
                <c:pt idx="1">
                  <c:v>-319.20000000000005</c:v>
                </c:pt>
                <c:pt idx="2">
                  <c:v>2563.8</c:v>
                </c:pt>
                <c:pt idx="3">
                  <c:v>6237.7</c:v>
                </c:pt>
                <c:pt idx="4">
                  <c:v>18608.4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2543.3</c:v>
                </c:pt>
                <c:pt idx="1">
                  <c:v>2206.7</c:v>
                </c:pt>
                <c:pt idx="2">
                  <c:v>4108.7</c:v>
                </c:pt>
                <c:pt idx="3">
                  <c:v>13206</c:v>
                </c:pt>
                <c:pt idx="4">
                  <c:v>24850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20.2</c:v>
                </c:pt>
                <c:pt idx="1">
                  <c:v>13.6</c:v>
                </c:pt>
                <c:pt idx="2">
                  <c:v>35.8</c:v>
                </c:pt>
                <c:pt idx="3">
                  <c:v>161.4</c:v>
                </c:pt>
                <c:pt idx="4">
                  <c:v>269.3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15</c:v>
                </c:pt>
                <c:pt idx="1">
                  <c:v>15</c:v>
                </c:pt>
                <c:pt idx="2">
                  <c:v>15</c:v>
                </c:pt>
                <c:pt idx="3">
                  <c:v>15</c:v>
                </c:pt>
                <c:pt idx="4">
                  <c:v>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9.6</c:v>
                </c:pt>
                <c:pt idx="1">
                  <c:v>8.2</c:v>
                </c:pt>
                <c:pt idx="2">
                  <c:v>13.7</c:v>
                </c:pt>
                <c:pt idx="3">
                  <c:v>34.2</c:v>
                </c:pt>
                <c:pt idx="4">
                  <c:v>44.8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-10.23</c:v>
                </c:pt>
                <c:pt idx="1">
                  <c:v>-10.37</c:v>
                </c:pt>
                <c:pt idx="2">
                  <c:v>-7.68</c:v>
                </c:pt>
                <c:pt idx="3">
                  <c:v>-2.45</c:v>
                </c:pt>
                <c:pt idx="4">
                  <c:v>-1.97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(INR,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195.8</c:v>
                </c:pt>
                <c:pt idx="1">
                  <c:v>88.5</c:v>
                </c:pt>
                <c:pt idx="2">
                  <c:v>0</c:v>
                </c:pt>
                <c:pt idx="3">
                  <c:v>247.5</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962</c:v>
                </c:pt>
                <c:pt idx="1">
                  <c:v>1855.1</c:v>
                </c:pt>
                <c:pt idx="2">
                  <c:v>1649</c:v>
                </c:pt>
                <c:pt idx="3">
                  <c:v>2059.9</c:v>
                </c:pt>
                <c:pt idx="4">
                  <c:v>3158.5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142</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Life Insurance Corporation of India</c:v>
                </c:pt>
                <c:pt idx="1">
                  <c:v>Kotak Flexicap Fund</c:v>
                </c:pt>
                <c:pt idx="2">
                  <c:v>Siddharth Balachandran</c:v>
                </c:pt>
                <c:pt idx="3">
                  <c:v>SBI Life Insurance</c:v>
                </c:pt>
                <c:pt idx="4">
                  <c:v>Tata AIA Life Insurance</c:v>
                </c:pt>
                <c:pt idx="5">
                  <c:v>Inversores extranjeros y no residentes</c:v>
                </c:pt>
                <c:pt idx="6">
                  <c:v>Fondos de inversión indios</c:v>
                </c:pt>
                <c:pt idx="7">
                  <c:v>Particulares</c:v>
                </c:pt>
                <c:pt idx="8">
                  <c:v>Miembros (intermediarios)</c:v>
                </c:pt>
              </c:strCache>
            </c:strRef>
          </c:cat>
          <c:val>
            <c:numRef>
              <c:f>Hoja1!$B$2:$B$10</c:f>
              <c:numCache>
                <c:formatCode>0.0"%"</c:formatCode>
                <c:ptCount val="9"/>
                <c:pt idx="0">
                  <c:v>5.57</c:v>
                </c:pt>
                <c:pt idx="1">
                  <c:v>1.79</c:v>
                </c:pt>
                <c:pt idx="2">
                  <c:v>1.7</c:v>
                </c:pt>
                <c:pt idx="3">
                  <c:v>1.65</c:v>
                </c:pt>
                <c:pt idx="4">
                  <c:v>1.43</c:v>
                </c:pt>
                <c:pt idx="5">
                  <c:v>24.7</c:v>
                </c:pt>
                <c:pt idx="6">
                  <c:v>11.8</c:v>
                </c:pt>
                <c:pt idx="7">
                  <c:v>33.9</c:v>
                </c:pt>
                <c:pt idx="8">
                  <c:v>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-34.2</c:v>
                </c:pt>
                <c:pt idx="1">
                  <c:v>-16.2</c:v>
                </c:pt>
                <c:pt idx="2">
                  <c:v>23.5</c:v>
                </c:pt>
                <c:pt idx="3">
                  <c:v>209.8</c:v>
                </c:pt>
                <c:pt idx="4">
                  <c:v>-14.8</c:v>
                </c:pt>
                <c:pt idx="5">
                  <c:v>307.6</c:v>
                </c:pt>
                <c:pt idx="6">
                  <c:v>139.8</c:v>
                </c:pt>
                <c:pt idx="7">
                  <c:v>48.3</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3.2</c:v>
                </c:pt>
                <c:pt idx="1">
                  <c:v>12</c:v>
                </c:pt>
                <c:pt idx="2">
                  <c:v>14.9</c:v>
                </c:pt>
                <c:pt idx="3">
                  <c:v>24.1</c:v>
                </c:pt>
                <c:pt idx="4">
                  <c:v>4.3</c:v>
                </c:pt>
                <c:pt idx="5">
                  <c:v>20</c:v>
                </c:pt>
                <c:pt idx="6">
                  <c:v>8.8</c:v>
                </c:pt>
                <c:pt idx="7">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51.2</c:v>
                </c:pt>
                <c:pt idx="1">
                  <c:v>20.2</c:v>
                </c:pt>
                <c:pt idx="2">
                  <c:v>79.1</c:v>
                </c:pt>
                <c:pt idx="3">
                  <c:v>47.8</c:v>
                </c:pt>
                <c:pt idx="4">
                  <c:v>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47.8</c:v>
                </c:pt>
                <c:pt idx="1">
                  <c:v>47.8</c:v>
                </c:pt>
                <c:pt idx="2">
                  <c:v>47.8</c:v>
                </c:pt>
                <c:pt idx="3">
                  <c:v>47.8</c:v>
                </c:pt>
                <c:pt idx="4">
                  <c:v>47.8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BSE</c:v>
                </c:pt>
                <c:pt idx="1">
                  <c:v>National Stock Exchange of India</c:v>
                </c:pt>
                <c:pt idx="2">
                  <c:v>Multi Commodity Exchange of India</c:v>
                </c:pt>
                <c:pt idx="3">
                  <c:v>Central Depository Services (India)</c:v>
                </c:pt>
                <c:pt idx="4">
                  <c:v>Computer Age Management Services</c:v>
                </c:pt>
                <c:pt idx="5">
                  <c:v>CME Group</c:v>
                </c:pt>
                <c:pt idx="6">
                  <c:v>Intercontinental Exchange</c:v>
                </c:pt>
                <c:pt idx="7">
                  <c:v>Cboe Global Markets</c:v>
                </c:pt>
                <c:pt idx="8">
                  <c:v>Nasdaq Inc.</c:v>
                </c:pt>
                <c:pt idx="9">
                  <c:v>Hong Kong Exchanges and Clearing</c:v>
                </c:pt>
                <c:pt idx="10">
                  <c:v>Deutsche Börse</c:v>
                </c:pt>
                <c:pt idx="11">
                  <c:v>London Stock Exchange Group</c:v>
                </c:pt>
              </c:strCache>
            </c:strRef>
          </c:cat>
          <c:val>
            <c:numRef>
              <c:f>Hoja1!$B$2:$B$13</c:f>
              <c:numCache>
                <c:formatCode>0.0"x"</c:formatCode>
                <c:ptCount val="12"/>
                <c:pt idx="1">
                  <c:v>24.2</c:v>
                </c:pt>
                <c:pt idx="2">
                  <c:v>31.7</c:v>
                </c:pt>
                <c:pt idx="3">
                  <c:v>35.1</c:v>
                </c:pt>
                <c:pt idx="4">
                  <c:v>21.1</c:v>
                </c:pt>
                <c:pt idx="5">
                  <c:v>20.8</c:v>
                </c:pt>
                <c:pt idx="6">
                  <c:v>14.7</c:v>
                </c:pt>
                <c:pt idx="8">
                  <c:v>16.2</c:v>
                </c:pt>
                <c:pt idx="9">
                  <c:v>12.1</c:v>
                </c:pt>
                <c:pt idx="11">
                  <c:v>14.9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National Stock Exchange of India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24.2</c:v>
                </c:pt>
              </c:numCache>
            </c:numRef>
          </c:yVal>
          <c:smooth val="0"/>
        </c:ser>
        <c:ser>
          <c:idx val="1"/>
          <c:order val="1"/>
          <c:tx>
            <c:strRef>
              <c:f>Hoja1!$A$3</c:f>
              <c:strCache>
                <c:ptCount val="1"/>
                <c:pt idx="0">
                  <c:v>Multi Commodity Exchange of India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18.7</c:v>
                </c:pt>
              </c:numCache>
            </c:numRef>
          </c:xVal>
          <c:yVal>
            <c:numRef>
              <c:f>Hoja1!$C$3</c:f>
              <c:numCache>
                <c:formatCode>0.0"x"</c:formatCode>
                <c:ptCount val="1"/>
                <c:pt idx="0">
                  <c:v>31.7</c:v>
                </c:pt>
              </c:numCache>
            </c:numRef>
          </c:yVal>
          <c:smooth val="0"/>
        </c:ser>
        <c:ser>
          <c:idx val="2"/>
          <c:order val="2"/>
          <c:tx>
            <c:strRef>
              <c:f>Hoja1!$A$4</c:f>
              <c:strCache>
                <c:ptCount val="1"/>
                <c:pt idx="0">
                  <c:v>Central Depository Services (India)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9.7</c:v>
                </c:pt>
              </c:numCache>
            </c:numRef>
          </c:xVal>
          <c:yVal>
            <c:numRef>
              <c:f>Hoja1!$C$4</c:f>
              <c:numCache>
                <c:formatCode>0.0"x"</c:formatCode>
                <c:ptCount val="1"/>
                <c:pt idx="0">
                  <c:v>35.1</c:v>
                </c:pt>
              </c:numCache>
            </c:numRef>
          </c:yVal>
          <c:smooth val="0"/>
        </c:ser>
        <c:ser>
          <c:idx val="3"/>
          <c:order val="3"/>
          <c:tx>
            <c:strRef>
              <c:f>Hoja1!$A$5</c:f>
              <c:strCache>
                <c:ptCount val="1"/>
                <c:pt idx="0">
                  <c:v>Computer Age Management Services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16.9</c:v>
                </c:pt>
              </c:numCache>
            </c:numRef>
          </c:xVal>
          <c:yVal>
            <c:numRef>
              <c:f>Hoja1!$C$5</c:f>
              <c:numCache>
                <c:formatCode>0.0"x"</c:formatCode>
                <c:ptCount val="1"/>
                <c:pt idx="0">
                  <c:v>21.1</c:v>
                </c:pt>
              </c:numCache>
            </c:numRef>
          </c:yVal>
          <c:smooth val="0"/>
        </c:ser>
        <c:ser>
          <c:idx val="4"/>
          <c:order val="4"/>
          <c:tx>
            <c:strRef>
              <c:f>Hoja1!$A$6</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8.1</c:v>
                </c:pt>
              </c:numCache>
            </c:numRef>
          </c:xVal>
          <c:yVal>
            <c:numRef>
              <c:f>Hoja1!$C$6</c:f>
              <c:numCache>
                <c:formatCode>0.0"x"</c:formatCode>
                <c:ptCount val="1"/>
                <c:pt idx="0">
                  <c:v>20.8</c:v>
                </c:pt>
              </c:numCache>
            </c:numRef>
          </c:yVal>
          <c:smooth val="0"/>
        </c:ser>
        <c:ser>
          <c:idx val="5"/>
          <c:order val="5"/>
          <c:tx>
            <c:strRef>
              <c:f>Hoja1!$A$7</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9.8</c:v>
                </c:pt>
              </c:numCache>
            </c:numRef>
          </c:xVal>
          <c:yVal>
            <c:numRef>
              <c:f>Hoja1!$C$7</c:f>
              <c:numCache>
                <c:formatCode>0.0"x"</c:formatCode>
                <c:ptCount val="1"/>
                <c:pt idx="0">
                  <c:v>14.7</c:v>
                </c:pt>
              </c:numCache>
            </c:numRef>
          </c:yVal>
          <c:smooth val="0"/>
        </c:ser>
        <c:ser>
          <c:idx val="6"/>
          <c:order val="6"/>
          <c:tx>
            <c:strRef>
              <c:f>Hoja1!$A$8</c:f>
              <c:strCache>
                <c:ptCount val="1"/>
                <c:pt idx="0">
                  <c:v>Nasdaq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12.2</c:v>
                </c:pt>
              </c:numCache>
            </c:numRef>
          </c:xVal>
          <c:yVal>
            <c:numRef>
              <c:f>Hoja1!$C$8</c:f>
              <c:numCache>
                <c:formatCode>0.0"x"</c:formatCode>
                <c:ptCount val="1"/>
                <c:pt idx="0">
                  <c:v>16.2</c:v>
                </c:pt>
              </c:numCache>
            </c:numRef>
          </c:yVal>
          <c:smooth val="0"/>
        </c:ser>
        <c:ser>
          <c:idx val="7"/>
          <c:order val="7"/>
          <c:tx>
            <c:strRef>
              <c:f>Hoja1!$A$9</c:f>
              <c:strCache>
                <c:ptCount val="1"/>
                <c:pt idx="0">
                  <c:v>Hong Kong Exchanges and Clearing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3.7</c:v>
                </c:pt>
              </c:numCache>
            </c:numRef>
          </c:xVal>
          <c:yVal>
            <c:numRef>
              <c:f>Hoja1!$C$9</c:f>
              <c:numCache>
                <c:formatCode>0.0"x"</c:formatCode>
                <c:ptCount val="1"/>
                <c:pt idx="0">
                  <c:v>12.1</c:v>
                </c:pt>
              </c:numCache>
            </c:numRef>
          </c:yVal>
          <c:smooth val="0"/>
        </c:ser>
        <c:ser>
          <c:idx val="8"/>
          <c:order val="8"/>
          <c:tx>
            <c:strRef>
              <c:f>Hoja1!$A$10</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c:v>
                </c:pt>
              </c:numCache>
            </c:numRef>
          </c:xVal>
          <c:yVal>
            <c:numRef>
              <c:f>Hoja1!$C$10</c:f>
              <c:numCache>
                <c:formatCode>0.0"x"</c:formatCode>
                <c:ptCount val="1"/>
                <c:pt idx="0">
                  <c:v>14.9</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(INR,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23826</c:v>
                </c:pt>
                <c:pt idx="1">
                  <c:v>27016</c:v>
                </c:pt>
                <c:pt idx="2">
                  <c:v>30682</c:v>
                </c:pt>
                <c:pt idx="3">
                  <c:v>35045</c:v>
                </c:pt>
                <c:pt idx="4">
                  <c:v>39279</c:v>
                </c:pt>
                <c:pt idx="5">
                  <c:v>43459</c:v>
                </c:pt>
                <c:pt idx="6">
                  <c:v>47464</c:v>
                </c:pt>
                <c:pt idx="7">
                  <c:v>51011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(INR,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164620</c:v>
                </c:pt>
                <c:pt idx="1">
                  <c:v>210594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(INR) · precio actual 3.336,00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728.49</c:v>
                </c:pt>
                <c:pt idx="1">
                  <c:v>1130.23</c:v>
                </c:pt>
                <c:pt idx="2">
                  <c:v>1459.59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(INR) · precio actual 3.336,00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(2.326,10 – 4.446,80)</c:v>
                </c:pt>
                <c:pt idx="1">
                  <c:v>Precio objetivo de los analistas (2.820,00 – 4.500,00)</c:v>
                </c:pt>
                <c:pt idx="2">
                  <c:v>Comparables: PER NTM (1.704,43 – 2.746,26)</c:v>
                </c:pt>
                <c:pt idx="3">
                  <c:v>DCF (WACC y g ± 0,5) (1.056,46 – 1.221,83)</c:v>
                </c:pt>
                <c:pt idx="4">
                  <c:v>Escenarios (bajista – alcista) (728,49 – 1.459,59)</c:v>
                </c:pt>
                <c:pt idx="5">
                  <c:v>DCF con la prima implícita del mercado (4,2 %)</c:v>
                </c:pt>
                <c:pt idx="6">
                  <c:v>Precio actual (3.336,00)</c:v>
                </c:pt>
              </c:strCache>
            </c:strRef>
          </c:cat>
          <c:val>
            <c:numRef>
              <c:f>Hoja1!$B$2:$B$8</c:f>
              <c:numCache>
                <c:formatCode>#,##0</c:formatCode>
                <c:ptCount val="7"/>
                <c:pt idx="0">
                  <c:v>2326.1</c:v>
                </c:pt>
                <c:pt idx="1">
                  <c:v>2820</c:v>
                </c:pt>
                <c:pt idx="2">
                  <c:v>1704.43</c:v>
                </c:pt>
                <c:pt idx="3">
                  <c:v>1056.46</c:v>
                </c:pt>
                <c:pt idx="4">
                  <c:v>728.49</c:v>
                </c:pt>
                <c:pt idx="5">
                  <c:v>1265.07</c:v>
                </c:pt>
                <c:pt idx="6">
                  <c:v>3319.32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(2.326,10 – 4.446,80)</c:v>
                </c:pt>
                <c:pt idx="1">
                  <c:v>Precio objetivo de los analistas (2.820,00 – 4.500,00)</c:v>
                </c:pt>
                <c:pt idx="2">
                  <c:v>Comparables: PER NTM (1.704,43 – 2.746,26)</c:v>
                </c:pt>
                <c:pt idx="3">
                  <c:v>DCF (WACC y g ± 0,5) (1.056,46 – 1.221,83)</c:v>
                </c:pt>
                <c:pt idx="4">
                  <c:v>Escenarios (bajista – alcista) (728,49 – 1.459,59)</c:v>
                </c:pt>
                <c:pt idx="5">
                  <c:v>DCF con la prima implícita del mercado (4,2 %)</c:v>
                </c:pt>
                <c:pt idx="6">
                  <c:v>Precio actual (3.336,00)</c:v>
                </c:pt>
              </c:strCache>
            </c:strRef>
          </c:cat>
          <c:val>
            <c:numRef>
              <c:f>Hoja1!$C$2:$C$8</c:f>
              <c:numCache>
                <c:formatCode>#,##0</c:formatCode>
                <c:ptCount val="7"/>
                <c:pt idx="0">
                  <c:v>2120.7000000000003</c:v>
                </c:pt>
                <c:pt idx="1">
                  <c:v>1680</c:v>
                </c:pt>
                <c:pt idx="2">
                  <c:v>1041.8300000000002</c:v>
                </c:pt>
                <c:pt idx="3">
                  <c:v>165.3699999999999</c:v>
                </c:pt>
                <c:pt idx="4">
                  <c:v>731.0999999999999</c:v>
                </c:pt>
                <c:pt idx="5">
                  <c:v>154.18000000000006</c:v>
                </c:pt>
                <c:pt idx="6">
                  <c:v>33.35999999999967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