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Booking Holdings Inc.</w:t>
      </w:r>
    </w:p>
    <w:p>
      <w:pPr>
        <w:spacing w:after="60"/>
        <w:rPr>
          <w:color w:val="52514E"/>
          <w:sz w:val="22"/>
          <w:szCs w:val="22"/>
        </w:rPr>
      </w:pPr>
      <w:r>
        <w:rPr>
          <w:color w:val="52514E"/>
          <w:sz w:val="22"/>
          <w:szCs w:val="22"/>
        </w:rPr>
        <w:t xml:space="preserve">BKNG · Nasdaq Global Select Market · ISIN US09857L1089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158,43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197,80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+25,9 % (base +22,0 %)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192,17 USD · mercado 226,44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121.199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Booking Holdings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BKNG / US09857L1089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Hoteles, restaurantes y ocio (comercio y viajes en línea)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Norwalk, Connecticut (EE. UU.) · 1997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https://www.bookingholdings.com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158,43 (12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150,16 – 233,58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121.199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123.717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197,80 USD</w:t>
      </w:r>
      <w:r>
        <w:t xml:space="preserve"> frente a 158,43 · Rentabilidad a 12 meses </w:t>
      </w:r>
      <w:r>
        <w:rPr>
          <w:b/>
          <w:bCs/>
        </w:rPr>
        <w:t xml:space="preserve">+25,9 % (base +22,0 %)</w:t>
      </w:r>
      <w:r>
        <w:t xml:space="preserve"> · Valor intrínseco 192,17 USD · con la prima implícita del mercado: 226,44 (+42,9 %) · Alcista / bajista +37,7 % / -5,7 %</w:t>
      </w:r>
    </w:p>
    <w:p>
      <w:pPr>
        <w:spacing w:after="100"/>
      </w:pPr>
      <w:r>
        <w:rPr>
          <w:b/>
        </w:rPr>
        <w:t xml:space="preserve">La recomendación y por qué.</w:t>
      </w:r>
      <w:r>
        <w:t xml:space="preserve"> Mantener, con convicción media, en el límite de la compra. Con nuestro BPA y la regla común de múltiplos, el objetivo a 12 meses es de 179,63 USD frente a 158,43 USD (cierre del 12 de octubre): +14,4 % con el dividendo y +11,1 % en el caso base, a un punto de los umbrales de compra (15 % y 12 %). El valor intrínseco es de 192,17 USD (+21,3 %) y el objetivo medio de los analistas, de 233,83 USD, cerca de nuestro alcista. La convicción es media porque las cifras salen de extractos de búsqueda y porque el base depende casi solo del crecimiento del BPA (el PER base es el actual, 14,1x); subiría si el 3T26 (27 de octubre) muestra noches por encima del +5 % y bajaría si el marketing pasa del 31 % de los ingresos.</w:t>
      </w:r>
    </w:p>
    <w:p>
      <w:pPr>
        <w:spacing w:after="100"/>
      </w:pPr>
      <w:r>
        <w:rPr>
          <w:b/>
        </w:rPr>
        <w:t xml:space="preserve">El negocio.</w:t>
      </w:r>
      <w:r>
        <w:t xml:space="preserve"> La mayor agencia de viajes en línea del mundo: 186.100 M USD de reservas y 26.917 M de ingresos en 2025, con un margen EBITDA ajustado del 36,9 % y una caja libre de 9.100 M [1]. Cobra el 14,5 % de lo que reserva y esa comisión sube con los pagos y el viaje conectado. El ROIC contable no sirve (capital invertido negativo por recompras y por el circulante del modelo merchant), pero sobre el fondo de comercio y los intangibles el NOPAT rinde más del 150 % frente a un WACC del 10,2 %. </w:t>
      </w:r>
      <w:r>
        <w:rPr>
          <w:b/>
        </w:rPr>
        <w:t xml:space="preserve">Sostenibilidad: Sí</w:t>
      </w:r>
      <w:r>
        <w:t xml:space="preserve">: la proyección (6,3 % anual) no necesita capital y se apoya en poder de precios demostrado; proyectamos menos que la guía y que la historia.</w:t>
      </w:r>
    </w:p>
    <w:p>
      <w:pPr>
        <w:spacing w:after="100"/>
      </w:pPr>
      <w:r>
        <w:rPr>
          <w:b/>
        </w:rPr>
        <w:t xml:space="preserve">Finanzas.</w:t>
      </w:r>
      <w:r>
        <w:t xml:space="preserve"> Ingresos +13 % y BPA ajustado +22 % en 2025 (9,12 USD), con un 6 % menos de acciones al año [1]. La caja (17.214 M) casi cubre la deuda (20.180 M) a junio de 2026: deuda neta de unos 2.500 M y patrimonio negativo por más de 30.000 M de recompras en 2022-2025 [17]. El BPA contable (6,62 USD en 2025) está deprimido por la revaluación de la deuda en euros, sin caja. Altman Z de 4,28 y Piotroski de 7.</w:t>
      </w:r>
    </w:p>
    <w:p>
      <w:pPr>
        <w:spacing w:after="100"/>
      </w:pPr>
      <w:r>
        <w:rPr>
          <w:b/>
        </w:rPr>
        <w:t xml:space="preserve">Valoración.</w:t>
      </w:r>
      <w:r>
        <w:t xml:space="preserve"> DCF de 194,48 USD (WACC 10,19 %, terminal 3 %), escenarios 189,15 y comparables 191,49: los métodos coinciden. El DCF inverso dice que el precio descuenta un crecimiento del 3,0 % anual en 2027-2035, la mitad del que proyectamos (6,1 %) y menos que el objetivo de la empresa (8 %), o un margen del 31,3 % frente al 36,9 % actual. Cotiza a 13,2x el BPA de los próximos 12 meses, frente a 20-26x en 2022-2025 y 16x de mediana de los comparables. Discrepamos del mercado en la IA: hoy no se ve en las cifras.</w:t>
      </w:r>
    </w:p>
    <w:p>
      <w:pPr>
        <w:spacing w:after="100"/>
      </w:pPr>
      <w:r>
        <w:rPr>
          <w:b/>
        </w:rPr>
        <w:t xml:space="preserve">Riesgos y catalizadores.</w:t>
      </w:r>
      <w:r>
        <w:t xml:space="preserve"> El riesgo principal es la desintermediación por asistentes de IA de Google u OpenAI: en el bajista (crecimiento 2,5 puntos menor y margen 2 puntos más bajo) el valor intrínseco cae a 149,39 USD (−5,7 %) y el precio a 12 meses a 133,44 USD (−16 %). Le siguen la regulación (posible acción de la FTC con multas de más de 500 M USD, investigación italiana, DMA) y el ciclo de largo radio por Oriente Medio [8, 30]. Catalizadores: 3T26 el 27 de octubre y guía de 2027 en febrero. Los foros están divididos y empeoran: ven el valor, pero temen una trampa por IA y regulación; no señalan nada que el informe no recoja.</w:t>
      </w:r>
    </w:p>
    <w:p>
      <w:pPr>
        <w:spacing w:after="100"/>
      </w:pPr>
      <w:r>
        <w:rPr>
          <w:b/>
        </w:rPr>
        <w:t xml:space="preserve">Qué cambiaría la decisión.</w:t>
      </w:r>
      <w:r>
        <w:t xml:space="preserve"> Compraríamos por debajo de 157,18 USD (con el PER actual fijo) o si el 3T26 confirma noches por encima del +5 % y una guía de 2027 de ingresos de al menos +8 %. Venderíamos por encima de 201,39 USD, o si la comisión implícita baja del 14,2 % o el margen EBITDA ajustado cae por debajo del 35 %.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197,80 USD</w:t>
      </w:r>
      <w:r>
        <w:t xml:space="preserve"> (rentabilidad +25,9 % (base +22,0 %)) · Valor intrínseco: 192,17 USD (+21,3 % sobre 158,43) · con la prima implícita del mercado: 226,44 (+42,9 %)</w:t>
      </w:r>
    </w:p>
    <w:p>
      <w:pPr>
        <w:spacing w:after="100"/>
      </w:pPr>
      <w:r>
        <w:t xml:space="preserve">Booking es la mayor agencia de viajes en línea del mundo, con 186.100 M USD de reservas en 2025, una comisión del 14,5 % que sube, un margen EBITDA ajustado del 36,9 % y una caja libre de 9.100 M que dedica casi entera a recompras y dividendos [1, 22]. Su ventaja es un efecto de red de dos lados (4,4 millones de proveedores y cientos de millones de viajeros) más pagos y servicio en decenas de idiomas [7].</w:t>
      </w:r>
    </w:p>
    <w:p>
      <w:pPr>
        <w:spacing w:after="100"/>
      </w:pPr>
      <w:r>
        <w:t xml:space="preserve">El precio de 158,43 USD descuenta un crecimiento de los ingresos del 3,0 % anual en 2027-2035 con un margen del 38 %, o un margen del 31 % con nuestro crecimiento: un escenario de desintermediación. Cotiza a 13,2x el BPA de los próximos 12 meses, el menor múltiplo en años y un 40 % por debajo de su mediana de 2022-2025.</w:t>
      </w:r>
    </w:p>
    <w:p>
      <w:pPr>
        <w:spacing w:after="100"/>
      </w:pPr>
      <w:r>
        <w:t xml:space="preserve">Para invertir hay que creer que la IA será un canal y no un sustituto: que los asistentes necesitan el inventario, los pagos y el servicio de Booking, como pasó con Google en la década pasada. Hasta ahora las cifras lo apoyan (noches +5 % con Oriente Medio en contra, comisión al alza, marketing a la baja). El problema a 12 meses es que, sin un catalizador que mueva el múltiplo, la rentabilidad sale del crecimiento del BPA (≈10 %) y del dividendo, justo por debajo de nuestro umbral.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 × 11,12 = 137,89 · 15,5x × 12,37 = 191,74 · 20,9x × 12,91 = 269,82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 / 22,0 %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233,83 (nuestro base -18,0 %)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 /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 frente a 10,2 % y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226,44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172,64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172,64 y 221,58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221,58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157,18 USD sin cambio en las cifras, pasaríamos a Comprar.</w:t>
      </w:r>
    </w:p>
    <w:p>
      <w:pPr>
        <w:pStyle w:val="ListParagraph"/>
        <w:numPr>
          <w:ilvl w:val="0"/>
          <w:numId w:val="2"/>
        </w:numPr>
        <w:spacing w:after="60"/>
      </w:pPr>
      <w:r>
        <w:t xml:space="preserve">Si el 3T26 (27-oct) da noches por encima del +5 % y una guía de 2027 de ingresos de al menos +8 %, revisaríamos a Comprar.</w:t>
      </w:r>
    </w:p>
    <w:p>
      <w:pPr>
        <w:pStyle w:val="ListParagraph"/>
        <w:numPr>
          <w:ilvl w:val="0"/>
          <w:numId w:val="2"/>
        </w:numPr>
        <w:spacing w:after="60"/>
      </w:pPr>
      <w:r>
        <w:t xml:space="preserve">Si el marketing supera el 31 % de los ingresos dos trimestres seguidos, pasaríamos a Vender.</w:t>
      </w:r>
    </w:p>
    <w:p>
      <w:pPr>
        <w:pStyle w:val="ListParagraph"/>
        <w:numPr>
          <w:ilvl w:val="0"/>
          <w:numId w:val="2"/>
        </w:numPr>
        <w:spacing w:after="60"/>
      </w:pPr>
      <w:r>
        <w:t xml:space="preserve">Si la UE o la FTC limitan comisiones o la paridad de precios, revisaríamos el bajista y la recomendación.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generativa erosionará la posición de Booking: crecimiento del 3 % anual o un margen 6 puntos menor, y un PER de 13-14x, como el de una agencia sin foso (Expedia, 11x).</w:t>
      </w:r>
    </w:p>
    <w:p>
      <w:pPr>
        <w:keepNext/>
        <w:spacing w:after="100"/>
      </w:pPr>
      <w:r>
        <w:rPr>
          <w:b/>
          <w:bCs/>
        </w:rPr>
        <w:t xml:space="preserve">Lo que creemos nosotros.</w:t>
      </w:r>
    </w:p>
    <w:p>
      <w:pPr>
        <w:spacing w:after="100"/>
      </w:pPr>
      <w:r>
        <w:t xml:space="preserve">La IA es más un canal de captación que un sustituto a cinco años; Booking crecerá al 6-8 % con margen estable o al alza, y su BPA, con recompras, crecerá al 12-15 % anual.</w:t>
      </w:r>
    </w:p>
    <w:p>
      <w:pPr>
        <w:keepNext/>
        <w:spacing w:after="100"/>
      </w:pPr>
      <w:r>
        <w:rPr>
          <w:b/>
          <w:bCs/>
        </w:rPr>
        <w:t xml:space="preserve">Por qué podemos tener razón.</w:t>
      </w:r>
    </w:p>
    <w:p>
      <w:pPr>
        <w:spacing w:after="100"/>
      </w:pPr>
      <w:r>
        <w:t xml:space="preserve">Las cifras de 2025-2026 no muestran erosión (comisión implícita al alza, marketing a la baja, noches por encima de la guía) y el inventario y los pagos son difíciles de replicar. Podemos equivocarnos en el plazo: la desintermediación, si llega, empezaría por el tráfico gratuito, que la empresa no publica.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8,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el DCF inverso pide un 3,0 % de crecimiento, frente al 8 % que guía la empresa.</w:t>
      </w:r>
    </w:p>
    <w:p>
      <w:pPr>
        <w:pStyle w:val="ListParagraph"/>
        <w:numPr>
          <w:ilvl w:val="0"/>
          <w:numId w:val="2"/>
        </w:numPr>
        <w:spacing w:after="60"/>
      </w:pPr>
      <w:r>
        <w:rPr>
          <w:b/>
        </w:rPr>
        <w:t xml:space="preserve">Rentabilidad excepcional</w:t>
      </w:r>
      <w:r>
        <w:t xml:space="preserve">: margen EBITDA ajustado del 36,9 % y caja libre de 9.100 M en 2025.</w:t>
      </w:r>
    </w:p>
    <w:p>
      <w:pPr>
        <w:pStyle w:val="ListParagraph"/>
        <w:numPr>
          <w:ilvl w:val="0"/>
          <w:numId w:val="2"/>
        </w:numPr>
        <w:spacing w:after="60"/>
      </w:pPr>
      <w:r>
        <w:rPr>
          <w:b/>
        </w:rPr>
        <w:t xml:space="preserve">Recompras masivas</w:t>
      </w:r>
      <w:r>
        <w:t xml:space="preserve">: más de 30.000 M en 2022-2025; un 6 % menos de acciones al año.</w:t>
      </w:r>
    </w:p>
    <w:p>
      <w:pPr>
        <w:pStyle w:val="ListParagraph"/>
        <w:numPr>
          <w:ilvl w:val="0"/>
          <w:numId w:val="2"/>
        </w:numPr>
        <w:spacing w:after="60"/>
      </w:pPr>
      <w:r>
        <w:rPr>
          <w:b/>
        </w:rPr>
        <w:t xml:space="preserve">Múltiplo en mínimos</w:t>
      </w:r>
      <w:r>
        <w:t xml:space="preserve">: 13,2x el BPA de los próximos 12 meses frente a 20-26x en 2022-2025.</w:t>
      </w:r>
    </w:p>
    <w:p>
      <w:pPr>
        <w:pStyle w:val="ListParagraph"/>
        <w:numPr>
          <w:ilvl w:val="0"/>
          <w:numId w:val="2"/>
        </w:numPr>
        <w:spacing w:after="60"/>
      </w:pPr>
      <w:r>
        <w:rPr>
          <w:b/>
        </w:rPr>
        <w:t xml:space="preserve">Asimetría del valor intrínseco</w:t>
      </w:r>
      <w:r>
        <w:t xml:space="preserve">: bajista −5,7 % frente a alcista +37,7 %.</w:t>
      </w:r>
    </w:p>
    <w:p>
      <w:pPr>
        <w:pStyle w:val="Heading2"/>
      </w:pPr>
      <w:r>
        <w:t xml:space="preserve">En contra</w:t>
      </w:r>
    </w:p>
    <w:p>
      <w:pPr>
        <w:pStyle w:val="ListParagraph"/>
        <w:numPr>
          <w:ilvl w:val="0"/>
          <w:numId w:val="2"/>
        </w:numPr>
        <w:spacing w:after="60"/>
      </w:pPr>
      <w:r>
        <w:rPr>
          <w:b/>
        </w:rPr>
        <w:t xml:space="preserve">Riesgo de IA sin cuantificar</w:t>
      </w:r>
      <w:r>
        <w:t xml:space="preserve">: la dirección no publica cuánto tráfico llega de asistentes.</w:t>
      </w:r>
    </w:p>
    <w:p>
      <w:pPr>
        <w:pStyle w:val="ListParagraph"/>
        <w:numPr>
          <w:ilvl w:val="0"/>
          <w:numId w:val="2"/>
        </w:numPr>
        <w:spacing w:after="60"/>
      </w:pPr>
      <w:r>
        <w:rPr>
          <w:b/>
        </w:rPr>
        <w:t xml:space="preserve">Regulación</w:t>
      </w:r>
      <w:r>
        <w:t xml:space="preserve">: posible multa de la FTC de más de 500 M USD e investigación en Italia.</w:t>
      </w:r>
    </w:p>
    <w:p>
      <w:pPr>
        <w:pStyle w:val="ListParagraph"/>
        <w:numPr>
          <w:ilvl w:val="0"/>
          <w:numId w:val="2"/>
        </w:numPr>
        <w:spacing w:after="60"/>
      </w:pPr>
      <w:r>
        <w:rPr>
          <w:b/>
        </w:rPr>
        <w:t xml:space="preserve">Ralentización</w:t>
      </w:r>
      <w:r>
        <w:t xml:space="preserve">: noches +3-5 % en la guía del 3T26 frente a +8 % en 2025.</w:t>
      </w:r>
    </w:p>
    <w:p>
      <w:pPr>
        <w:pStyle w:val="ListParagraph"/>
        <w:numPr>
          <w:ilvl w:val="0"/>
          <w:numId w:val="2"/>
        </w:numPr>
        <w:spacing w:after="60"/>
      </w:pPr>
      <w:r>
        <w:rPr>
          <w:b/>
        </w:rPr>
        <w:t xml:space="preserve">Base a 12 meses del 11,1 %</w:t>
      </w:r>
      <w:r>
        <w:t xml:space="preserve">, por debajo del umbral del 12 %: sin recompras ni revalorización no llega.</w:t>
      </w:r>
    </w:p>
    <w:p>
      <w:pPr>
        <w:pStyle w:val="ListParagraph"/>
        <w:numPr>
          <w:ilvl w:val="0"/>
          <w:numId w:val="2"/>
        </w:numPr>
        <w:spacing w:after="60"/>
      </w:pPr>
      <w:r>
        <w:rPr>
          <w:b/>
        </w:rPr>
        <w:t xml:space="preserve">Deuda creciente</w:t>
      </w:r>
      <w:r>
        <w:t xml:space="preserve"> para financiar recompras: 20.300 M de bonos a junio de 2026 (18.900 M en diciembre).</w:t>
      </w:r>
    </w:p>
    <w:p>
      <w:pPr>
        <w:pStyle w:val="Heading2"/>
      </w:pPr>
      <w:r>
        <w:t xml:space="preserve">Qué tiene que pasar para que la tesis funcione</w:t>
      </w:r>
    </w:p>
    <w:p>
      <w:pPr>
        <w:spacing w:after="100"/>
      </w:pPr>
      <w:r>
        <w:t xml:space="preserve">La tesis depende de que la IA no erosione la captación: la señal sería un marketing por encima del 31 % de los ingresos o una comisión implícita por debajo del 14,2 %. A corto plazo, las noches del 3T26 (guía +3-5 %) y la guía de 2027: por debajo del +6 % de ingresos, el crecimiento del 8 % del base no se sostiene.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Noches reservadas (crecimiento)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madurez de lo cíclico.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implícita (ingresos / reservas)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14,2 %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frente a la IA y los reguladores.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Marketing /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desintermediación.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38 % en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anuales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≈6.400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Explican un tercio del crecimiento del BPA.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17,5x / 13,2x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1997 por Jay Walker como Priceline.com, con el modelo «ponga usted el precio» para billetes de avión; salió a bolsa en 1999 y casi quebró tras la burbuja puntocom [2]. La compra de Booking.com (2005, unos 133 M USD) y de Agoda (2007) la convirtió en la mayor agencia de alojamiento en línea del mundo; después compró KAYAK (2013) y OpenTable (2014), ambas con deterioros posteriores [2, 26]. En 2018 cambió su nombre a Booking Holdings. Desde 2016 la dirige Glenn Fogel. La pandemia hundió las reservas en 2020; desde 2022 supera los niveles de 2019 y desde 2024 paga dividendo. En abril de 2026 desdobló la acción 25 por 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Priceline.com (precio ofrecido por el cliente)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Booking.com (Países Bajos), el origen del negocio actual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Agoda (Asia)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KAYAK y OpenTable; ambas sufrieron deterioros del fondo de comercio después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nombre a Booking Holdings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caída de reservas y pérdidas; ayudas públicas en varios países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Comisión Europea prohíbe la compra de Etraveli y la UE designa a Booking como guardián de acceso (DMA) en 2024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y día del inversor con objetivos a medio plazo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Desdoblamiento 25 por 1 (2-abr) y programa de transformación ampliado a unos 650 M USD de ahorro [9, 17].</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Booking Holdings es la mayor agencia de viajes en línea del mundo por reservas brutas: 186.100 M USD de reservas y 1.235 M de noches de hotel en 2025 [1]. Opera Booking.com (alojamiento, más del 85 % del negocio por su peso histórico en noches), Priceline (EE. UU., hoteles y paquetes), Agoda (Asia), KAYAK y OpenTable (metabuscador y reservas de restaurantes) [1, 2]. Vende a viajeros particulares y cobra a hoteles, apartamentos, aerolíneas y alquiladoras de coches. Su estrategia es el «viaje conectado»: juntar vuelo, alojamiento, coche y pagos en una sola reserva, y gestionar los pagos (modelo merchant) además del modelo agencia [3].</w:t>
      </w:r>
    </w:p>
    <w:p>
      <w:pPr>
        <w:pStyle w:val="Heading2"/>
      </w:pPr>
      <w:r>
        <w:t xml:space="preserve">Cómo gana dinero</w:t>
      </w:r>
    </w:p>
    <w:p>
      <w:pPr>
        <w:spacing w:after="100"/>
      </w:pPr>
      <w:r>
        <w:t xml:space="preserve">Cobra una comisión sobre el valor de la reserva: los ingresos (26.917 M USD) son el 14,5 % de las reservas brutas de 2025 [1]. En el modelo agencia el hotel paga la comisión tras la estancia; en el modelo merchant Booking cobra al viajero, paga al proveedor más tarde y gana además el margen de pago y la financiación del circulante (los anticipos de viajeros financian el negocio) [4]. El gasto principal es el marketing de pago y de marca (8.186 M en 2025, el 30 % de los ingresos), cada vez menor en proporción porque crece el tráfico directo y de la app [5]. El margen depende de la mezcla directo/pagado, del crecimiento de pagos y vuelos (de menor margen) y de la escala: el margen EBITDA ajustado pasó del 35,0 % al 36,9 % en 2025 [1]. Estacionalidad fuerte: el tercer trimestre (verano) concentra un tercio de los ingresos y la mitad del beneficio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(monosegmento)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(monosegmento)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26.917</w:t>
            </w:r>
          </w:p>
        </w:tc>
      </w:tr>
    </w:tbl>
    <w:p>
      <w:pPr>
        <w:spacing w:after="160" w:before="0"/>
      </w:pPr>
    </w:p>
    <w:p>
      <w:pPr>
        <w:pStyle w:val="Heading2"/>
      </w:pPr>
      <w:r>
        <w:t xml:space="preserve">Clientes, recurrencia y poder de precios</w:t>
      </w:r>
    </w:p>
    <w:p>
      <w:pPr>
        <w:spacing w:after="100"/>
      </w:pPr>
      <w:r>
        <w:t xml:space="preserve">Sin concentración: millones de viajeros y unos 4,4 millones de proveedores (hoteles, apartamentos y otros) según la dirección en marzo de 2026 [7]. El poder de precios se ve en la comisión implícita (ingresos sobre reservas) estable o al alza mientras crece la parte merchant: 14,2 % en 2023 (150.600 M de reservas), 14,3 % en 2024 y 14,5 % en 2025 (estimación propia con ingresos y reservas publicados) [1, 5]. La repetición es alta y crece el tráfico directo; los hoteles europeos discuten las comisiones ante reguladores (DMA, Italia, España), lo que limita la subida de tarifas [7,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Noches reservadas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+6 % y 2T26 +5 %; la guía del 3T26 es +3-5 % por Oriente Medio [1,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brutas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51.000 M, +9 % (+8 % sin divisa)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transformación: ahorro anual de unos 650 M USD a final de 2027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la financiación del circulante de los pagos merchant [1, 4].</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relevante: la distribución en línea de viajes (alojamiento sobre todo, más vuelos, coches y experiencias) a escala mundial, donde Booking compite con agencias en línea (Expedia, Trip.com, MakeMyTrip, Despegar), con plataformas de alquiler vacacional (Airbnb), con la venta directa de cadenas hoteleras y aerolíneas, y con buscadores (Google Travel) y, desde 2025-26, asistentes de IA con capacidad de reserva [7, 27]. No se ha podido cuantificar el tamaño con dos fuentes desde la nube; la referencia de escala es la propia Booking: 186.100 M USD de reservas brutas en 2025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gasto en viajes y migración al canal en línea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Noches de Booking +8 % en 2025 y +5-6 % en el 1S26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y largo radio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 puntos de noches en el 1T26 y guía del 3T26 de +3-5 % [9,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y buscadores con reserva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cayó un 24 % en febrero de 2026 por el temor a la desintermediación; la dirección ve beneficios en nuevos canales de referencia [7,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plataformas (DMA, competencia en Italia y España, FTC)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italiana de abril de 2026 y posible acción de la FTC con multas de más de 500 M USD según Reuters [8,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y viaje conectado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comisión implícita pasa del 14,2 % al 14,5 % de las reservas en 2023-2025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agencias (Booking, Expedia, Trip.com) más Airbnb y Google; Booking gana cuota con más del doble de reservas que Expedia [1,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Viajeros atomizados, pero con costes de cambio nulos y comparadores; la fidelidad (Genius) y la app reducen la dependencia del marketing de pago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Hoteles independientes dependen de Booking; las grandes cadenas empujan la venta directa y presionan las comisiones ante los reguladores europeos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escala (4,4 millones de proveedores, pagos multimoneda, servicio en decenas de idiomas), pero los gigantes tecnológicos con IA podrían entrar en la reserva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 directa con el hotel o la aerolínea, Google Travel y asistentes de IA; hoy actúan más como canales de captación que como sustitutos [7, 29].</w:t>
            </w:r>
          </w:p>
        </w:tc>
      </w:tr>
    </w:tbl>
    <w:p>
      <w:pPr>
        <w:spacing w:after="160" w:before="0"/>
      </w:pPr>
    </w:p>
    <w:p>
      <w:pPr>
        <w:pStyle w:val="Heading2"/>
      </w:pPr>
      <w:r>
        <w:t xml:space="preserve">Ciclo</w:t>
      </w:r>
    </w:p>
    <w:p>
      <w:pPr>
        <w:spacing w:after="100"/>
      </w:pPr>
      <w:r>
        <w:t xml:space="preserve">Tras la recuperación de 2022-2024 (noches por encima de 2019), el crecimiento se modera: noches +8 % en 2025 y +3-5 % previsto en el 3T26 [1, 9]. El sector es cíclico: en 2008-09 las reservas de Priceline siguieron creciendo gracias a la cuota ganada en Europa, en 2020 se hundieron con la pandemia (flujo operativo negativo) y en 2022 la inflación de tarifas hoteleras impulsó los ingresos [26]. Indicadores: noches, tarifa media diaria y cancelaciones.</w:t>
      </w:r>
    </w:p>
    <w:p>
      <w:pPr>
        <w:pStyle w:val="Heading2"/>
      </w:pPr>
      <w:r>
        <w:t xml:space="preserve">Regulación</w:t>
      </w:r>
    </w:p>
    <w:p>
      <w:pPr>
        <w:spacing w:after="100"/>
      </w:pPr>
      <w:r>
        <w:t xml:space="preserve">La UE designó a Booking guardián de acceso bajo la Ley de Mercados Digitales (2024): prohíbe cláusulas de paridad de precios y obliga a compartir datos [14]. La CNMC española la multó en 2024 por abuso de posición; la autoridad italiana abrió investigación en abril de 2026 [8]. En EE. UU., según Reuters (7-oct-2026), la FTC prepara una acción por anuncios engañosos de un afiliado (Guest Reservations), con posibles multas de más de 500 M USD [30]. Además, impuestos a servicios digitales y normas de alquiler turístico en ciudades europeas.</w:t>
      </w:r>
    </w:p>
    <w:p>
      <w:pPr>
        <w:pStyle w:val="Heading2"/>
      </w:pPr>
      <w:r>
        <w:t xml:space="preserve">Tendencias y disrupción</w:t>
      </w:r>
    </w:p>
    <w:p>
      <w:pPr>
        <w:spacing w:after="100"/>
      </w:pPr>
      <w:r>
        <w:t xml:space="preserve">La gran tendencia es la IA generativa: buscadores y asistentes (Google, OpenAI) que planifican y reservan. Booking responde integrándose en esos asistentes como proveedor de inventario y con su propio planificador; la dirección afirma que los pagos, el servicio y el inventario son difíciles de replicar y que ChatGPT ha frenado su pago nativo [7, 29]. Segunda tendencia: el alquiler vacacional, donde Booking gana cuota a Airbnb fuera de EE. UU.; tercera, el viaje conectado y los pagos propios, que suben la comisión implícita [1, 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agencia de viajes en línea del mundo por reservas brutas (186.100 M USD en 2025), por delante de Expedia y Trip.com; líder en Europa en alojamiento y 2.ª en alquiler vacacional tras Airbnb [1, 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Expedia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más de 14.000 M USD en 2025 (+8 %); fuerte en EE. UU. y en el canal B2B; cotiza a unas 11x beneficios [31,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Airbnb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ABNB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12.200 M USD en 2025; líder en alquiler vacacional y competidor directo de Booking en apartamentos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Trip.com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TCOM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China y Asia, compite con Agoda; cotiza a 9-14x beneficios futuros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Google (Travel / 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a la vez el mayor proveedor de tráfico de pago de Booking y el competidor potencial más peligroso por la IA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lados: 4,4 millones de proveedores atraen viajeros y viceversa; noches +8 % en 2025 con más del doble de reservas que Expedia [8, 9,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para el viajero; algo mayores para hoteles independientes que dependen del canal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y la app hacen que el tráfico directo crezca y el marketing baje del 35 % al 30 % de los ingresos en 2022-2025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del 36,9 % en 2025, muy por encima de Expedia; escala en marketing y tecnología [9, 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en decenas de monedas y servicio en más de 40 idiomas son caros de replicar [8].</w:t>
            </w:r>
          </w:p>
        </w:tc>
      </w:tr>
    </w:tbl>
    <w:p>
      <w:pPr>
        <w:spacing w:after="160" w:before="0"/>
      </w:pPr>
    </w:p>
    <w:p>
      <w:pPr>
        <w:pStyle w:val="Heading2"/>
      </w:pPr>
      <w:r>
        <w:t xml:space="preserve">Amenazas</w:t>
      </w:r>
    </w:p>
    <w:p>
      <w:pPr>
        <w:spacing w:after="100"/>
      </w:pPr>
      <w:r>
        <w:t xml:space="preserve">La amenaza principal es que los asistentes de IA de Google u OpenAI capturen la intención de viaje y conviertan a Booking en un proveedor de inventario con menos margen (probabilidad media a 5 años). La segunda, la regulación europea (DMA, autoridades de la competencia) que limite comisiones y paridad de precios (probabilidad alta, impacto moderado). La tercera, la venta directa de las grandes cadenas hoteleras. Hasta ahora, las cifras no muestran erosión: la comisión implícita y el margen suben [1, 7, 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25,2 %</w:t>
      </w:r>
      <w:r>
        <w:t xml:space="preserve">, EBITDA </w:t>
      </w:r>
      <w:r>
        <w:rPr>
          <w:b/>
          <w:bCs/>
        </w:rPr>
        <w:t xml:space="preserve">35,8 %</w:t>
      </w:r>
      <w:r>
        <w:t xml:space="preserve">, BPA </w:t>
      </w:r>
      <w:r>
        <w:rPr>
          <w:b/>
          <w:bCs/>
        </w:rPr>
        <w:t xml:space="preserve">55,6 %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10.958 M USD en 2021 (aún con la pandemia) a 26.917 M en 2025, +13 % en 2025, casi todo orgánico: la única compra relevante del periodo fue Getaroom en 2021 [1, 11, 12]. El EBIT contable subió de 2.496 M a 8.825 M y el margen EBIT del 22,8 % al 32,8 %: el marketing crece menos que los ingresos (30 % de los ingresos en 2025 frente al 35 % en 2022) y los gastos generales cayeron a 857 M tras el acuerdo fiscal de 2024 [5, 13]. El beneficio neto contable de 2025 (5.404 M, −8 %) está deprimido por la revaluación de la deuda en euros (pérdidas de cambio sin caja) y por variaciones de valor de participaciones: el resultado financiero neto fue de −1.993 M [1, 5]. El BPA ajustado de la empresa subió un 22 %, a 9,12 USD (228,06 antes del desdoblamiento), ayudado por un 6 % menos de acciones [1]. 2021 no es comparable (recuperación de la pandemia y pérdidas en participadas).</w:t>
      </w:r>
    </w:p>
    <w:p>
      <w:pPr>
        <w:pStyle w:val="Heading2"/>
      </w:pPr>
      <w:r>
        <w:t xml:space="preserve">Ajustes y partidas no recurrentes</w:t>
      </w:r>
    </w:p>
    <w:p>
      <w:pPr>
        <w:spacing w:after="100"/>
      </w:pPr>
      <w:r>
        <w:t xml:space="preserve">La empresa publica un EBITDA ajustado (36,9 % de margen en 2025) y un BPA ajustado (9,12 USD) que excluyen: diferencias de cambio por la revaluación de la deuda en euros no cubierta, ganancias y pérdidas de valor razonable de participaciones, costes del programa de transformación, reservas por litigios y sanciones (la multa de la CNMC española y acuerdos fiscales) y sus efectos fiscales [1, 14]. No excluye los pagos en acciones. La diferencia entre el EBITDA ajustado y el EBITDA contable (EBIT + amortización) es de unos 484 M en 2025 y 163 M en 2024 (estimación propia: margen ajustado publicado × ingresos − EBITDA contable), que se registran como no recurrentes [1, 14]. Los costes de transformación se repetirán en 2026-27, así que el ajuste es en parte recurrente; lo tratamos con prudencia en el DCF (margen base por debajo de la guía). Cifras por acción, ajustadas al desdoblamiento 25 por 1 de abril de 2026 [15].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2T26 (4-ago-2026) Glenn Fogel y el director financiero Ewout Steenbergen presentaron noches +5 %, un punto por encima del máximo de su guía, reservas +9 % e ingresos +8 %, frenados por las cancelaciones de marzo por el conflicto de Oriente Medio [9, 10]. Subieron el ahorro anual objetivo del programa de transformación a unos 650 M USD a final de 2027, con 100 M más de compras [9, 16]. Devolvieron 4.100 M en el trimestre (3.700 M en recompras) [16]. La guía del 3T26 es prudente: noches +3-5 % y reservas, ingresos y EBITDA ajustado +4-6 %, suponiendo que siguen el efecto divisa y el de Oriente Medio; la del año, crecimiento de un dígito alto en reservas, ingresos y EBITDA ajustado y BPA ajustado +13-15 % aproximadamente («low to mid-teens») [10]. Frente al 1T26 (28-abr), el discurso pasó del golpe de Oriente Medio (−2 puntos en noches) a la defensa frente a la IA: la dirección insiste en que los pagos, el servicio multilingüe y los 4,4 millones de proveedores son barreras que un agente de IA no replica, y habla de beneficios iniciales de nuevos canales de referencia de IA [7, 16]. Los analistas preguntaron sobre todo por la duración del efecto de Oriente Medio, la desintermediación por agentes de IA y el margen; la dirección no cuantificó cuánto tráfico llega ya desde asistentes de IA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 caja (17.631 M) y la deuda (18.742 M) casi se compensan a cierre de 2025: deuda neta de unos 1.100 M, frente a caja neta de unos 3.100 M en 2021 [20, 21]. La empresa emite bonos para financiar recompras mientras la caja libre (9.100 M en 2025) cubre de sobra los intereses. El patrimonio negativo procede de más de 30.000 M de recompras en 2022-2025 [22]. El circulante comercial es negativo (clientes 3.199 M frente a proveedores 3.824 M en 2024) y crece con el negocio merchant [13].</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32.698</w:t>
      </w:r>
      <w:r>
        <w:t xml:space="preserve">, conversión </w:t>
      </w:r>
      <w:r>
        <w:rPr>
          <w:b/>
          <w:bCs/>
        </w:rPr>
        <w:t xml:space="preserve">165 %</w:t>
      </w:r>
      <w:r>
        <w:t xml:space="preserve"> del beneficio neto; adquisiciones 1.200, dividendos 2.420, recompras 30.063.</w:t>
      </w:r>
    </w:p>
    <w:p>
      <w:pPr>
        <w:spacing w:after="100"/>
      </w:pPr>
      <w:r>
        <w:t xml:space="preserve">La caja libre (flujo operativo menos capex) pasó de unos 2.500 M USD en 2021 a 9.100 M en 2025, +15 % en el último año, por encima del beneficio neto contable (5.404 M) [1, 22]. La conversión es superior al 100 % por tres razones: el capex es mínimo (322 M, 1,2 % de los ingresos, casi todo software capitalizado y equipos), las amortizaciones de intangibles de compras no son caja y el modelo merchant cobra al viajero antes de pagar al hotel, de modo que el circulante aporta caja mientras el negocio crece [4, 22]. Esa última parte se revertiría si las reservas cayeran (2020). Los flujos operativos de 2021-2023 son aproximados (redondeados a la centena por el agregador) [22]. Todo el capex puede considerarse de mantenimiento y desarrollo de producto; la empresa no los separa.</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en US GAAP con opinión favorable [23]. Los ajustes de la empresa (cambio de la deuda en euros, participaciones a valor razonable, transformación, litigios) son explicables y en su mayoría sin caja, pero los costes de transformación y las sanciones regulatorias se repiten varios años: no los tratamos como extraordinarios en el DCF. La remuneración en acciones es moderada para una tecnológica (dentro de personal, 3.403 M en 2025 en total) [5]. El patrimonio negativo distorsiona el ROE y el Altman Z; el Piotroski y el Beneish se leen con las cifras de 2023-2025, que tienen balance más completo. Señales: ingresos reconocidos en la estancia (no en la reserva), sin capitalización relevante de gastos; caja libre por encima del beneficio por el circulante merchant, que conviene vigilar si las reservas se frenan.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por encima del beneficio por el circulante merchant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revierte si caen las reservas; en 2020 el flujo operativo fue negativo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recurrentes (transformación, sanciones)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484 M en 2025 entre EBITDA ajustado y contable; tratados como coste en el DCF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10,2 %.</w:t>
      </w:r>
    </w:p>
    <w:p>
      <w:pPr>
        <w:spacing w:after="100"/>
      </w:pPr>
      <w:r>
        <w:t xml:space="preserve">Booking crea valor con mucho margen, pero el ROIC contable no lo mide: el capital invertido es negativo desde 2023 porque las recompras (más de 30.000 M en 2022-2025) dejaron el patrimonio en −5.578 M y el modelo merchant financia el circulante con dinero de los viajeros [17, 22]. Cuando el capital era positivo, el ROIC fue del 64 % (2021) y del 201 % (2022). Sobre el fondo de comercio y los intangibles (unos 4.200 M) el NOPAT de 2025 (7.363 M) rinde más del 150 %, frente a un WACC del 10,2 %: ROIC − WACC muy por encima de los 5 puntos en cualquier medida razonable. Lo mueve el margen (EBIT del 32,8 %) más que la rotación. Expedia, con márgenes menores, no se acerca [31]. El ROIC incremental no se puede calcular con capital negativo.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17.214 M USD a 30-jun-2026 e inversiones a largo plazo de 448 M; línea de crédito revolvente sin disponer [17, 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Bonos sénior por 20.300 M USD de principal a 30-jun-2026 (18.900 M a cierre de 2025), con una parte relevante en euros: su revaluación genera pérdidas o ganancias de cambio sin caja en la cuenta [1, 17]. Deuda a corto plazo de 2.000 M [18]. Pasivos que no son deuda pero pesan: reservas diferidas de viajeros (anticipos del modelo merchant) y cuentas a pagar a proveedores, que financian el circulante y explican parte de la caja [4]. Contingencias: la multa de la CNMC española (2024), la investigación de la autoridad italiana de la competencia (abril de 2026) y una posible acción de la FTC por anuncios de un afiliado, con multas que la prensa sitúa por encima de 500 M USD (sin confirmar) [8, 19]. El patrimonio neto es negativo (−10.780 M a junio de 2026) por las recompras, no por pérdidas [17].</w:t>
      </w:r>
    </w:p>
    <w:p>
      <w:pPr>
        <w:pStyle w:val="Heading1"/>
      </w:pPr>
      <w:r>
        <w:t xml:space="preserve">12. Asignación de capital</w:t>
      </w:r>
    </w:p>
    <w:p>
      <w:pPr>
        <w:pStyle w:val="Confianza"/>
        <w:spacing w:after="100"/>
      </w:pPr>
      <w:r>
        <w:t xml:space="preserve">Confianza: Media</w:t>
      </w:r>
    </w:p>
    <w:p>
      <w:pPr>
        <w:spacing w:after="100"/>
      </w:pPr>
      <w:r>
        <w:t xml:space="preserve">Prioridades declaradas: invertir en el negocio, compras selectivas y devolver el resto al accionista [24]. Dividendo trimestral desde 2024 (8,75 USD antes del desdoblamiento; 9,60 en 2025, 1,54 USD por acción ajustada en el año) y recompras: autorización adicional de 20.000 M USD aprobada en enero de 2025 [5, 24]. En el 2T26 devolvió 4.100 M (3.700 M en recompras) y en el 1T26 recompró unos 3.600 M, récord trimestral [16, 25]. El desdoblamiento 25 por 1 se hizo el 2-abr-2026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Getaroom (distribución hotelera mayorista)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Priceline; sin deterioros conocidos (importe aproximado)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Etraveli (vuelos)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(no se cerró)</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Prohibida por la Comisión Europea en septiembre de 2023: Booking renunció; refuerza el riesgo regulatorio en la UE [14].</w:t>
            </w:r>
          </w:p>
        </w:tc>
      </w:tr>
    </w:tbl>
    <w:p>
      <w:pPr>
        <w:spacing w:after="160" w:before="0"/>
      </w:pPr>
    </w:p>
    <w:p>
      <w:pPr>
        <w:spacing w:after="100"/>
      </w:pPr>
      <w:r>
        <w:t xml:space="preserve">Asignación de capital disciplinada y muy orientada a recompras: unos 30.000 M USD en 2022-2025, que han reducido las acciones diluidas de 1.034 M en 2021 a 816 M en 2025 (−21 %) [1, 22]. Las compras son pequeñas y la última grande bloqueada (Etraveli). Las grandes compras antiguas (OpenTable, KAYAK) acabaron con deterioros en 2016-2020, lo que justifica la preferencia por recomprar. La deuda bruta sube (de 10.936 M a 18.742 M) para financiar parte de las recompras, sin poner en riesgo el balance gracias a la caja libre.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Glenn D. Fogel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2000 (estrategia y compras, incluida la de Booking.com); CEO desde 2017 tras la salida de su antecesor. Con él los ingresos pasaron de unos 12.700 M USD (2017) a 26.917 M en 2025 y el margen EBITDA ajustado al 36,9 % [1,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Ewout L. Steenbergen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 financiero de S&amp;P Global y de Voya; lidera el programa de transformación, cuyo ahorro anual objetivo subió a unos 650 M USD a final de 2027 [10, 37].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reservas y de ingresos de en torno al 8 % y BPA ajustado de mediados de la decena (objetivo a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+12 %, ingresos +13 %, BPA ajustado +22 %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Noches +2-4 %, EBITDA ajustado +4-6 %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Noches +5 %, EBITDA ajustado +9 %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un dígito alto en reservas e ingresos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+15 %, ingresos +16 % (+10 % sin divisa), BPA ajustado +14 %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la empresa bate su guía de forma sistemática (2T26: noches un punto por encima del máximo de la guía) y suele dar guías prudentes [10, 25]. Fogel lleva casi diez años como CEO y 26 en la empresa; el relevo del director financiero en 2024 (Steenbergen sustituyó a David Goulden) fue ordenado. No hay plan de sucesión público para Fogel [36].</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35,40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Fogel en 2025 fue de 35,4 M USD según el proxy de 2026, un 21 % menos que en 2024, por menores concesiones de acciones; las unidades por resultados de 2023-2025 se liquidaron al doble del objetivo en marzo de 2026 [38]. En 2024 la cifra realizada fue de unos 126 M USD por la consolidación de acciones concedidas antes [39]. El voto consultivo sobre la remuneración cayó al 32 % a favor en 2022 (tras concesiones extraordinarias de la pandemia) y la comisión rediseñó el plan tras consultar a los accionistas; antes había estado en el 90-95 % [40]. No se ha podido leer el resultado de las juntas de 2024-2026.</w:t>
      </w:r>
    </w:p>
    <w:p>
      <w:pPr>
        <w:pStyle w:val="Heading2"/>
      </w:pPr>
      <w:r>
        <w:t xml:space="preserve">Operaciones vinculadas, estructura de control y defensas</w:t>
      </w:r>
    </w:p>
    <w:p>
      <w:pPr>
        <w:spacing w:after="100"/>
      </w:pPr>
      <w:r>
        <w:t xml:space="preserve">Sin accionista de control: capital disperso entre fondos institucionales; una acción, un voto. Presidencia y consejo delegado separados, con un presidente no ejecutivo independiente según los proxies anteriores (no se pudo verificar en el texto del proxy de 2026, del que solo se leyeron extractos) [36]. No hay operaciones vinculadas relevantes conocidas.</w:t>
      </w:r>
    </w:p>
    <w:p>
      <w:pPr>
        <w:pStyle w:val="Heading2"/>
      </w:pPr>
      <w:r>
        <w:t xml:space="preserve">Señales de alerta</w:t>
      </w:r>
    </w:p>
    <w:p>
      <w:pPr>
        <w:pStyle w:val="ListParagraph"/>
        <w:numPr>
          <w:ilvl w:val="0"/>
          <w:numId w:val="2"/>
        </w:numPr>
        <w:spacing w:after="60"/>
      </w:pPr>
      <w:r>
        <w:t xml:space="preserve">Voto de remuneración del 32 % a favor en 2022 (rechazo mayoritario), corregido después.</w:t>
      </w:r>
    </w:p>
    <w:p>
      <w:pPr>
        <w:pStyle w:val="ListParagraph"/>
        <w:numPr>
          <w:ilvl w:val="0"/>
          <w:numId w:val="2"/>
        </w:numPr>
        <w:spacing w:after="60"/>
      </w:pPr>
      <w:r>
        <w:t xml:space="preserve">Investigaciones regulatorias abiertas (Italia, posible FTC).</w:t>
      </w:r>
    </w:p>
    <w:p>
      <w:pPr>
        <w:pStyle w:val="ListParagraph"/>
        <w:numPr>
          <w:ilvl w:val="0"/>
          <w:numId w:val="2"/>
        </w:numPr>
        <w:spacing w:after="60"/>
      </w:pPr>
      <w:r>
        <w:t xml:space="preserve">Remuneración del CEO alta (35,4 M USD en 2025; unos 126 M realizados en 2024).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(4-ago-2026): crecimiento de un dígito alto en reservas brutas, ingresos y EBITDA ajustado y BPA ajustado con crecimiento «low to mid-teens», con el efecto de Oriente Medio y de la divisa incluidos [41, 42]. 3T26: noches +3-5 %; reservas, ingresos y EBITDA ajustado +4-6 % (ingresos de 9.370-9.550 M USD) [42, 43]. Plan a medio plazo (día del inversor de 2024): ingresos +8 % anual, EBITDA ajustado +15 % y BPA ajustado +15 % aproximadamente; el programa de transformación aporta unos 650 M USD de ahorro anual a final de 2027 [41]. Los resultados del 3T26 se esperan el 27-oct-2026 (algunas fuentes dicen 3-4 de noviembre) [19,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32 analistas (BPA ajustado, 10,15-10,80) [45]; Barchart 10,49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(BPA ajustado, 11,42-13,25) [45]; Barchart 12,33 [46]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170,00 – 301,00</w:t>
            </w:r>
          </w:p>
        </w:tc>
      </w:tr>
    </w:tbl>
    <w:p>
      <w:pPr>
        <w:spacing w:after="160" w:before="0"/>
      </w:pPr>
    </w:p>
    <w:p>
      <w:pPr>
        <w:pStyle w:val="Heading2"/>
      </w:pPr>
      <w:r>
        <w:t xml:space="preserve">Revisiones de estimaciones</w:t>
      </w:r>
    </w:p>
    <w:p>
      <w:pPr>
        <w:spacing w:after="100"/>
      </w:pPr>
      <w:r>
        <w:t xml:space="preserve">Las estimaciones de BPA de 2026 apenas se han movido tras el 2T26 (10,45-10,49 USD) porque el recorte de ingresos por Oriente Medio lo compensan el ahorro de costes y las recompras [45, 46]. Los precios objetivo sí bajan: Wells Fargo de 220 a 190 USD (7-oct, por la demanda de larga distancia) y Cantor de 220 a 170 USD (12-oct, neutral) [47, 48]. El objetivo medio sigue en 234-235 USD, con 30 de 37 analistas en comprar o sobreponderar según TIKR [19, 45]. Solo hay una fuente gratuita con estimaciones completas (Yahoo); Barchart y TIKR sirven de contraste.</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2025 en 214,21 USD (ajustado al desdoblamiento) y el 12-oct-2026 en 158,43 USD: −26 % en el año, con el mínimo de 52 semanas cerca de 150 USD [45, 49, 50]. La caída llegó en tres oleadas: febrero (miedo a que los agentes de IA de Google y OpenAI desintermedien a las agencias en línea; −24 % en el mes, el peor desde 2010), marzo-mayo (conflicto de Oriente Medio y guía del 2T26 de noches +2-4 %) y septiembre-octubre (guía prudente del 3T26 y noticia de una posible acción de la FTC) [8, 19, 51]. Los beneficios no han acompañado a la caída: el BPA ajustado sube un 15 % en el 2T26. Rentabilidades anuales de precio calculadas con los cierres de diciembre (2021: 2.399,21; 2022: 2.015,28; 2023: 3.547,22; 2024: 4.968,42; 2025: 5.355,33 USD antes del desdoblamiento) [49, 50]. Beta a 5 años mensual de Yahoo: 1,07 (otras capturas, 1,19-1,23) [52].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el BPA contable de los últimos 12 meses, Booking cotiza a 17,5x frente a 26-32x al cierre de 2022-2025, y a 11,9x el EBITDA frente a 14-21x: el descuento frente a su historia es de casi el 40 %. El PER contable exagera la historia porque el BPA de 2022-2025 estaba deprimido por pérdidas de cambio y de participadas; con el BPA ajustado (el que usamos en el objetivo a 12 meses) la mediana es de 23,4x y el mínimo de 20,1x (2022), todavía muy por encima de los 14x actuales [1, 49]. 2021 queda fuera (pandemia). El cambio estructural que explica el descuento es el miedo a la IA y la ralentización de las noches, no un empeoramiento de las cifras.</w:t>
      </w:r>
    </w:p>
    <w:p>
      <w:pPr>
        <w:pStyle w:val="Heading1"/>
      </w:pPr>
      <w:r>
        <w:t xml:space="preserve">18. Comparables cotizados</w:t>
      </w:r>
    </w:p>
    <w:p>
      <w:pPr>
        <w:pStyle w:val="Confianza"/>
        <w:spacing w:after="100"/>
      </w:pPr>
      <w:r>
        <w:t xml:space="preserve">Confianza: Baja</w:t>
      </w:r>
    </w:p>
    <w:p>
      <w:pPr>
        <w:spacing w:after="100"/>
      </w:pPr>
      <w:r>
        <w:t xml:space="preserve">Agencias y plataformas de viaje en línea cotizadas: Expedia (el rival más directo), Airbnb (alquiler vacacional), Trip.com (Asia) y MakeMyTrip (India), más Amadeus (tecnología de distribución) como referencia lejana. Cifras de proveedores y fechas distintas (mayo-octubre de 2026) y solo el PER futuro es comparable para todas; MakeMyTrip (72x) es un caso aparte por crecimiento y tamaño.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Airbnb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Trip.com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Amadeus IT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MakeMyTrip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 / 16,0x / 29,2x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r>
    </w:tbl>
    <w:p>
      <w:pPr>
        <w:spacing w:after="160" w:before="0"/>
      </w:pPr>
    </w:p>
    <w:p>
      <w:pPr>
        <w:spacing w:after="100"/>
      </w:pPr>
      <w:r>
        <w:t xml:space="preserve">Booking cotiza a 13,2x el BPA de los próximos 12 meses, por debajo de la mediana de los comparables (16,0x) y cerca de Expedia (10,8x) y Trip.com (9,0x), pese a tener el mayor margen (36,9 % de EBITDA ajustado) y la mayor escala del grupo [1, 34, 54]. Airbnb (29,2x) muestra cuánto paga el mercado por crecimiento con marca propia [55]. El valor implícito con la mediana (191,49 USD) coincide con el DCF; el rango es amplio (129-349 USD) porque el grupo es heterogéneo, por eso pesa poco (15 %). Con la mediana sin MakeMyTrip (13,4x), el valor implícito bajaría a unos 160 USD.</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+8,5 % (fijo: dos trimestres publicados, +11 % en el 1S26, y guía de un dígito alto con el 3T26 a +4-6 %) [9, 42]. 2027-2028 +8 %, el objetivo a medio plazo de la empresa y por debajo del +13 % de 2025 y del consenso de 2027 (+9,3 %) [45]. Después bajamos hasta el 4 % en 2035: el mercado madura y la IA y la regulación limitan la comisión. El crecimiento medio (6,1 % en 2027-2035) está muy por debajo del histórico (+11-13 % en 2024-2025).</w:t>
      </w:r>
    </w:p>
    <w:p>
      <w:pPr>
        <w:keepNext/>
        <w:spacing w:after="100"/>
      </w:pPr>
      <w:r>
        <w:rPr>
          <w:b/>
          <w:bCs/>
        </w:rPr>
        <w:t xml:space="preserve">Márgenes.</w:t>
      </w:r>
    </w:p>
    <w:p>
      <w:pPr>
        <w:spacing w:after="100"/>
      </w:pPr>
      <w:r>
        <w:t xml:space="preserve">Margen EBITDA ajustado del 36,9 % en 2025 (35,0 % en 2024) [1]. Lo subimos al 37 % en 2026 y al 38 % en 2028 con el ahorro del programa de transformación (unos 650 M USD anuales a final de 2027, ≈2 puntos de margen sobre los ingresos de 2027) y lo dejamos ahí: no suponemos más apalancamiento operativo. Los costes de transformación y las sanciones van dentro del margen (no los excluimos).</w:t>
      </w:r>
    </w:p>
    <w:p>
      <w:pPr>
        <w:keepNext/>
        <w:spacing w:after="100"/>
      </w:pPr>
      <w:r>
        <w:rPr>
          <w:b/>
          <w:bCs/>
        </w:rPr>
        <w:t xml:space="preserve">Inversión y circulante.</w:t>
      </w:r>
    </w:p>
    <w:p>
      <w:pPr>
        <w:spacing w:after="100"/>
      </w:pPr>
      <w:r>
        <w:t xml:space="preserve">Capex del 1,5 % de los ingresos hasta 2030 y del 2,0 % después (1,2 % en 2025; 2,2-2,8 % en 2021-2022), igual a la amortización en los últimos años (2,0 %) [22]. Circulante comercial del −2 % de las ventas: el modelo merchant cobra antes de pagar, de modo que el crecimiento aporta caja; no contamos las reservas diferidas como fuente adicional. Tipo impositivo del 21 % (20,9 % efectivo en 2025) [5].</w:t>
      </w:r>
    </w:p>
    <w:p>
      <w:pPr>
        <w:keepNext/>
        <w:spacing w:after="100"/>
      </w:pPr>
      <w:r>
        <w:rPr>
          <w:b/>
          <w:bCs/>
        </w:rPr>
        <w:t xml:space="preserve">Coste del capital.</w:t>
      </w:r>
    </w:p>
    <w:p>
      <w:pPr>
        <w:spacing w:after="100"/>
      </w:pPr>
      <w:r>
        <w:t xml:space="preserve">Tasa libre del 5,22 % (bono del Tesoro a 10 años, 13-oct-2026) [62]. Beta de 1,10, entre la mensual de 5 años de Yahoo (1,07) y capturas anteriores (1,19-1,23) [52]. Prima de mercado del 5,5 % y sin prima adicional (empresa global y diversificada). Coste de la deuda del 4,5 % antes de impuestos (bonos en dólares y euros) y peso de la deuda del 14 % a valor de mercado (20.300 M frente a 121.199 M de capitalización). WACC: 10,19 %. Con la prima implícita del mercado (4,2 %) el WACC baja al 8,96 %.</w:t>
      </w:r>
    </w:p>
    <w:p>
      <w:pPr>
        <w:keepNext/>
        <w:spacing w:after="100"/>
      </w:pPr>
      <w:r>
        <w:rPr>
          <w:b/>
          <w:bCs/>
        </w:rPr>
        <w:t xml:space="preserve">Valor terminal.</w:t>
      </w:r>
    </w:p>
    <w:p>
      <w:pPr>
        <w:spacing w:after="100"/>
      </w:pPr>
      <w:r>
        <w:t xml:space="preserve">Gordon con crecimiento del 3,0 %: inflación esperada en dólares más algo de crecimiento real, por debajo de la tasa libre menos medio punto (4,7 %). El valor terminal es el 55 % del valor. Implica unas 14x el NOPAT del último año, en línea con el PER actual y muy por debajo del histórico (20-26x).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183,41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234,98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-2.009 M (-2 % del NOPAT)</w:t>
            </w:r>
          </w:p>
        </w:tc>
      </w:tr>
    </w:tbl>
    <w:p>
      <w:pPr>
        <w:spacing w:after="160" w:before="0"/>
      </w:pPr>
    </w:p>
    <w:p>
      <w:pPr>
        <w:spacing w:after="100"/>
      </w:pPr>
      <w:r>
        <w:t xml:space="preserve">La proyección apenas necesita inversión neta de la amortización (reinversión acumulada de -2.009 M, con un capex bruto medio del 1,8 % de las ventas). En un negocio de activos ligeros, el crecimiento medio del 6,3 %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noches +6 % en el 1T26 y +5 % en el 2T26, guía de +3-5 % en el 3T26 [9, 42]. Precio: tarifa media estable. Otros (+2,5): divisa (el euro sumó unos 6 puntos en el 1T26) y más pagos merchant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noches +5-6 % al normalizarse Oriente Medio. Precio: subida de la comisión implícita por pagos y viaje conectado (14,2 % en 2023 → 14,5 % en 2025) [1]. Otros: alquiler vacacional y vuelos.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Como 2027: el objetivo a medio plazo de la empresa es +8 % de ingresos [41].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y comisión +1,5 %: madurez del alojamiento en Europa compensada por Asia y EE. UU.</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+4,5 %, en línea con el crecimiento del gasto mundial en viajes más algo de paso al canal en línea.</w:t>
            </w:r>
          </w:p>
        </w:tc>
      </w:tr>
    </w:tbl>
    <w:p>
      <w:pPr>
        <w:spacing w:after="160" w:before="0"/>
      </w:pPr>
    </w:p>
    <w:p>
      <w:pPr>
        <w:spacing w:after="100"/>
      </w:pPr>
      <w:r>
        <w:t xml:space="preserve">Sí. La proyección (6,3 % anual de media) apenas necesita capital: la reinversión neta es negativa porque el circulante del modelo merchant aporta caja, así que la prueba no es el ROIC (el capital invertido es negativo) sino el poder de precios y la cuota. Las dos aguantan: la comisión implícita sube del 14,2 % al 14,5 % de las reservas en 2023-2025 y las noches crecen más que las de Expedia, con un margen EBITDA ajustado del 36,9 % que ningún competidor iguala [1, 31]. Proyectamos menos crecimiento que el histórico (+11-13 % en 2024-2025) y que el objetivo de la empresa más allá de 2028. La prueba de cuota de mercado no se puede hacer con cifras (no hay tamaño de mercado fiable desde la nube): la hacemos a mano con las noches, que crecen al 5-6 % frente a un mercado que crece algo menos. El riesgo que la pondría en duda es la IA, recogido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(base: 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31,3 % (base: 38,0 %)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 (WACC: 10,2 %)</w:t>
            </w:r>
          </w:p>
        </w:tc>
      </w:tr>
    </w:tbl>
    <w:p>
      <w:pPr>
        <w:spacing w:after="160" w:before="0"/>
      </w:pPr>
    </w:p>
    <w:p>
      <w:pPr>
        <w:spacing w:after="100"/>
      </w:pPr>
      <w:r>
        <w:t xml:space="preserve">El DCF da 194,48 USD por acción, un 22,8 % por encima del precio, con un WACC del 10,19 % y el valor terminal como el 55 % del valor. El DCF inverso dice que el precio de 158,43 USD descuenta un crecimiento de los ingresos del 3,0 % anual en 2027-2035 con nuestro margen del 38 %, o un margen del 31,3 % con nuestro crecimiento (6,1 %), y una rentabilidad implícita del 11,8 % frente a un WACC del 10,2 % y el 9,0 % que pide hoy el mercado. Es una expectativa conservadora: Booking ha crecido al 11-13 % en 2024-2025 y su propio objetivo es el 8 %; para que el precio esté bien, el crecimiento tendría que caer a la mitad de lo que hoy guían la empresa y el consenso, o el margen tendría que perder casi 6 puntos frente al de 2025. Eso solo pasa si la IA desintermedia de verdad. Con la prima implícita del mercado (4,2 %), el DCF sube a 235,51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asistentes de IA y Google capturan parte de la intención de viaje y Booking paga más por el tráfico; la UE y la FTC limitan comisiones y prácticas. Crecimiento 2,5 puntos menor cada año y margen 2 puntos más bajo (36 %, el de 2025), terminal del 2,5 %. Es lo que le pasó a Expedia con Google en 2015-2019 (márgenes a la baja).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Noches +5-6 % y comisión al alza por pagos y viaje conectado, ingresos +8 % hasta 2028 y luego una desaceleración gradual; el margen sube al 38 % con el programa de transformación y se queda ahí.</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se convierte en un canal más barato que la búsqueda de pago, el alquiler vacacional gana cuota a Airbnb fuera de EE. UU. y los pagos suben la comisión: crecimiento 1,5 puntos mayor y margen 0,5 puntos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USD) · precio actual 158,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189,15 USD (+19,4 %).</w:t>
      </w:r>
    </w:p>
    <w:p>
      <w:pPr>
        <w:spacing w:after="100"/>
      </w:pPr>
      <w:r>
        <w:t xml:space="preserve">El valor intrínseco va de 149,39 USD en el bajista (−5,7 %) a 218,23 USD en el alcista (+37,7 %), con el base en 194,48 USD (+22,8 %): asimetría de 6,6x a favor. El bajista pierde poco porque el precio ya descuenta un crecimiento del 3 %, por debajo incluso de nuestro bajista. En el horizonte de 12 meses la lectura es menos favorable: con nuestro BPA de 2028e y la regla común de múltiplos, el bajista pierde un 16 % y el alcista gana un 49 % (asimetría de 3x).</w:t>
      </w:r>
    </w:p>
    <w:p>
      <w:pPr>
        <w:pStyle w:val="Heading1"/>
      </w:pPr>
      <w:r>
        <w:t xml:space="preserve">22. Suma de partes</w:t>
      </w:r>
    </w:p>
    <w:p>
      <w:pPr>
        <w:pStyle w:val="Confianza"/>
        <w:spacing w:after="100"/>
      </w:pPr>
      <w:r>
        <w:t xml:space="preserve">Confianza: Media</w:t>
      </w:r>
    </w:p>
    <w:p>
      <w:pPr>
        <w:spacing w:after="100"/>
      </w:pPr>
      <w:r>
        <w:t xml:space="preserve">Booking informa un solo segmento y sus marcas (Booking.com, Priceline, Agoda, KAYAK, OpenTable) comparten modelo de comisión y no publican beneficio por separado: no aplica.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USD) · precio actual 158,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192,17 USD (+21,3 % sobre 158,43).</w:t>
      </w:r>
    </w:p>
    <w:p>
      <w:pPr>
        <w:spacing w:after="100"/>
      </w:pPr>
      <w:r>
        <w:t xml:space="preserve">El DCF pesa la mitad (50 %) porque es un negocio predecible, con caja libre de 9.100 M y sin necesidad de inversión. Los escenarios (35 %) recogen el riesgo de la IA y la regulación; los comparables pesan solo un 15 % porque el grupo es heterogéneo (de 9x a 72x) y sus cifras son de fechas y proveedores distintos. No hay transacciones con múltiplo publicadas (la compra de Etraveli se prohibió) ni suma de partes. Los métodos coinciden: DCF 194,48, escenarios 189,15 y comparables 191,49 USD; el valor objetivo ponderado es de 192,17 USD (+21,3 %). La dispersión es baja. Con la prima del mercado (4,2 %) el valor sube a 226,44 USD: la conclusión depende sobre todo de la tasa de descuento, que con una tasa libre del 5,2 % es exigente.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(14.1x) × 1.1 (tope: la mediana de 5 años, 25.3x,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+71,3 %</w:t>
            </w:r>
          </w:p>
        </w:tc>
      </w:tr>
    </w:tbl>
    <w:p>
      <w:pPr>
        <w:spacing w:after="160" w:before="0"/>
      </w:pPr>
    </w:p>
    <w:p>
      <w:pPr>
        <w:spacing w:after="100"/>
      </w:pPr>
      <w:r>
        <w:rPr>
          <w:b/>
          <w:bCs/>
        </w:rPr>
        <w:t xml:space="preserve">Objetivo a 12 meses (ponderado):</w:t>
      </w:r>
      <w:r>
        <w:t xml:space="preserve"> 197,80 USD · rentabilidad +25,9 % (base +22,0 %) · señal Comprar.</w:t>
      </w:r>
    </w:p>
    <w:p>
      <w:pPr>
        <w:spacing w:after="100"/>
      </w:pPr>
      <w:r>
        <w:t xml:space="preserve">Para comparar, con la regla v2 (historia al cierre, mismo precio): 12,0x / 14,1x / 18,3x, 14,4 % Mantener; con el tope anterior del base (×1,3, 14-oct mediodía): 48,6 % Comprar. Decide la regla vigente (v3 con tope ×1,1; METODO-VIGENTE.md).</w:t>
      </w:r>
    </w:p>
    <w:p>
      <w:pPr>
        <w:keepNext/>
        <w:spacing w:after="100"/>
      </w:pPr>
      <w:r>
        <w:rPr>
          <w:b/>
          <w:bCs/>
        </w:rPr>
        <w:t xml:space="preserve">Frente al consenso (solo contraste).</w:t>
      </w:r>
    </w:p>
    <w:p>
      <w:pPr>
        <w:spacing w:after="100"/>
      </w:pPr>
      <w:r>
        <w:t xml:space="preserve">Nuestro BPA de 2028e (12,37 USD) apenas se aleja del que implica el consenso de 2027e (12,38 USD) un año antes: la diferencia es de acciones, no de negocio. El consenso descuenta recompras de unos 6.000 M al año (un 5-6 % menos de acciones al año) y nosotros mantenemos 765 M de acciones, como pide el método; con 690 M de acciones nuestro BPA de 2028e sería de 13,7 USD. Nuestro precio base (174,42 USD) queda un 25 % por debajo del objetivo medio (233,83 USD) por eso y porque usamos el PER actual (14,1x) y no la media histórica de 20-26x que suelen aplicar los analistas. El objetivo medio está dentro de nuestro rango (133-236 USD), cerca del alcista.</w:t>
      </w:r>
    </w:p>
    <w:p>
      <w:pPr>
        <w:keepNext/>
        <w:spacing w:after="100"/>
      </w:pPr>
      <w:r>
        <w:rPr>
          <w:b/>
          <w:bCs/>
        </w:rPr>
        <w:t xml:space="preserve">Del valor intrínseco al objetivo a 12 meses.</w:t>
      </w:r>
    </w:p>
    <w:p>
      <w:pPr>
        <w:spacing w:after="100"/>
      </w:pPr>
      <w:r>
        <w:t xml:space="preserve">El objetivo a 12 meses (179,63 USD, +14,4 % con el dividendo) queda un 6,5 % por debajo del valor intrínseco (192,17 USD): la distancia es pequeña. La regla común deja el PER base en el actual (14,1x), así que la rentabilidad del base sale casi entera del crecimiento del BPA (+10 % de 2027e a 2028e) más el dividendo; lo que la acercaría al 12 % es una recompra (no la contamos) o una revalorización del múltiplo, cuyo catalizador es el 3T26 del 27-oct y la guía de 2027. Ojo: la compra «por debajo de 157,18 USD» supone el PER actual fijo; si el precio baja, el PER actual baja con él y la rentabilidad del base no cambia.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 (por confirmar; algunas fuentes dicen 3-4 de noviembre)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del 4T26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las noches superan el +5 % y el margen sube, se disipa la tesis de «trampa de valor»; la guía del 4T26 marcará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acción de la FTC por anuncios de un afiliado (Reuters)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de más de 500 M USD según la prensa (menos del 1 % del valor) y cambios de prácticas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posible nuevo plan de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de transformación (≈650 M) y recompras de unos 6.000 M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autoridad italiana de la competencia y aplicación de la DMA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sobre comisiones y paridad en Europa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Verano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Normalización del tráfico de largo radio en Oriente Medio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Recuperar los ≈2 puntos de noches perdidos en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asistentes de IA (Google, OpenAI) que capturan la búsqueda de viajes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(bajista a 12 meses) y −5,7 % (valor intrínseco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Inventario de 4,4 millones de proveedores, pagos y servicio; integración como proveedor de los asistentes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Marketing por encima del 31 % de los ingresos o comisión implícita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en la UE (DMA, competencia en Italia y España) y en EE. UU. (FTC)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cumple la DMA desde 2024; multas pequeñas frente a la caja libre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a comisiones o a la paridad de precios en algún país grande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viajes y geopolítica (Oriente Medio, recesión en EE. UU. o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geográfica y modelo variable de costes de marketing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Noches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 de las cadenas hoteleras y presión sobre la comisión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hoteles independientes y apartamentos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sobre reservas por debajo del 14 %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ingresos sobre todo en euros, deuda en euros y cuentas en dólares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naturales parciales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debajo de 1,05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Alquiler vacacional: restricciones municipales en Europa y competencia de Airbnb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Diversificación de inventario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anuncios de apartamentos</w:t>
            </w:r>
          </w:p>
        </w:tc>
      </w:tr>
    </w:tbl>
    <w:p>
      <w:pPr>
        <w:spacing w:after="160" w:before="0"/>
      </w:pPr>
    </w:p>
    <w:p>
      <w:pPr>
        <w:pStyle w:val="Heading2"/>
      </w:pPr>
      <w:r>
        <w:t xml:space="preserve">Pre-mortem</w:t>
      </w:r>
    </w:p>
    <w:p>
      <w:pPr>
        <w:spacing w:after="100"/>
      </w:pPr>
      <w:r>
        <w:t xml:space="preserve">Octubre de 2029: la acción ha perdido un 40 %. Lo que pasó: en 2027 Google integró la reserva de hoteles en su modo de IA con pago propio y OpenAI firmó acuerdos directos con las grandes cadenas. El tráfico gratuito de Booking empezó a caer y la empresa subió el marketing de pago para defender las noches; el margen EBITDA bajó del 37 % al 33 % en dos años. A la vez, la Comisión Europea, a raíz de la investigación italiana, prohibió las cláusulas que ligaban comisiones a la visibilidad, y la comisión implícita cayó del 14,5 % al 13,5 %. Las recompras siguieron, financiadas con deuda, y el mercado pasó a tratar a Booking como Expedia: 10x beneficios. El BPA dejó de crecer en 2028. Lo habrían anticipado tres indicadores: el marketing como porcentaje de los ingresos (subió por encima del 31 %), la comisión implícita (por debajo del 14,2 %) y la proporción de reservas directas que la empresa dejó de publicar.</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con efecto en las cifras son de gobierno y de cumplimiento más que ambientales: protección del consumidor (anuncios, precios finales, reseñas) y competencia en la UE, con multas como la de la CNMC y la posible de la FTC [8, 30]; y la privacidad de datos de viajeros. En lo ambiental, la empresa tiene un objetivo de cero emisiones netas en 2040 y sus emisiones directas son pequeñas; el riesgo es indirecto (impuestos al turismo y límites al alquiler turístico en ciudades europeas) [35].</w:t>
      </w:r>
    </w:p>
    <w:p>
      <w:pPr>
        <w:pStyle w:val="Heading2"/>
      </w:pPr>
      <w:r>
        <w:t xml:space="preserve">Controversias</w:t>
      </w:r>
    </w:p>
    <w:p>
      <w:pPr>
        <w:spacing w:after="100"/>
      </w:pPr>
      <w:r>
        <w:t xml:space="preserve">Multa de la CNMC española (2024) por abuso de posición dominante; prohibición de la compra de Etraveli por la Comisión Europea (2023); investigación de la autoridad italiana (abril de 2026); posible acción de la FTC (octubre de 2026, sin confirmar) [8, 14, 30].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las reservas llega ya desde asistentes de IA y qué comisión neta deja frente a la búsqueda de pago?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explica la caída del múltiplo y la dirección no lo ha cuantificado.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ahorro de 650 M se reinvertirá en marketing o IA y cuánto llegará al margen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 margen del 38 %; cada punto vale unos 5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alcance tiene la posible acción de la FTC y la investigación italiana sobre comisiones y paridad?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limitación de comisiones en Europa movería el valor más que cualquier multa.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importe que queda de la autorización de recompra de 20.000 M y qué apalancamiento máximo aceptan?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explican un tercio del crecimiento del BPA y el consenso las da por hechas.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caja es dinero de viajeros pendiente de pagar a proveedores (modelo merchant)?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una parte relevante no es libre, la deuda neta efectiva es mayor que la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Noches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 la ralentización a +3-5 % es Oriente Medio y cuánto es madurez del alojamiento en Europa?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Separa el riesgo cíclico del estructural en nuestro crecimiento del 8 %.</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y blogs de inversores (Earnout Investor Club, Simply Wall St Narratives)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Tesis de «miedo a la IA exagerado»: la caída de febrero sería una oportunidad porque los pagos, el servicio y el inventario no los replica un asistente [7,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 Nasdaq.com («¿comprar la caída?»)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Defienden comprar: acción −20 % en el año con beneficios al alza y valoración baja frente a su historia [66].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y prensa de inversión minorista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noticia de la FTC y la guía del 3T26, el debate pasa a «¿comprar antes de que decida la FTC?»: unos ven valor y otros, una trampa por regulación e IA [19].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eToro (Deep Dive)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desintermediación por agentes de IA y la búsqueda generativa debilitarían la captación de clientes de Booking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 / Wealth Awesome (movimientos diarios)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corto plazo centrados en la caída del 11 % en un mes y la posible multa; sin debate de fondo [68].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agentes de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no muestran erosión: la comisión implícita sube al 14,5 % y el marketing baja al 30 % de los ingresos en 2025; el riesgo es a varios años y entra en el bajista [7, 67].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Oriente Medio y viajes de largo radio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Restó unos 2 puntos de noches en el 1T26; la guía del 3T26 (+3-5 %) ya lo incluye. Es cíclico, no estructural [19].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(FTC, Italia, DMA)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multa de 500 M USD sería menos del 1 % del valor de mercado; el riesgo real es que limite comisiones en Europa [19, 68].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baja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los datos: unas 15x el BPA de consenso de 2026 frente a más de 20x de media en 2022-2025, y recompras de unos 6.400 M USD al año [66].</w:t>
            </w:r>
          </w:p>
        </w:tc>
      </w:tr>
    </w:tbl>
    <w:p>
      <w:pPr>
        <w:spacing w:after="160" w:before="0"/>
      </w:pPr>
    </w:p>
    <w:p>
      <w:pPr>
        <w:spacing w:after="100"/>
      </w:pPr>
      <w:r>
        <w:t xml:space="preserve">El sentimiento de los particulares está dividido y ha empeorado desde el verano: el entusiasmo de «comprar la caída» de primavera se ha enfriado con la guía prudente del 3T26 y la noticia de la FTC. No hay capitulación ni euforia; el consenso de analistas (30 de 37 en comprar) es más optimista que los foros. Los foros no señalan ningún riesgo que el informe no recoja: la IA y la regulación ya están en el bajista. Aporta una cosa: el catalizador inmediato es el 3T26 (27-oct) y su guía del 4T26, que decidirá si la narrativa de «trampa de valor» o la de «oportunidad» gana.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Fuentes: 68 (18 primarias); citas distintas en el texto: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0,0 % real: genera una variación de circulante de -584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-18,0 %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53, 56, 57, 58, 60, 64,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desglose geográfico del 10-K 2025; 2) búsqueda en agregadores (Statista, Stock Analysis); 3) sin acceso a EDGAR desde la nube (solo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rating, coste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10-Q del 2T26 (solo el principal total, 20.300 M); 2) búsqueda de calificaciones de S&amp;P y Moody's; 3) agregadores de deuda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proveedores de 2021, 2022 y 2025; reservas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anuales (balance resumido); 2) Stock Analysis; 3) Stock Analysis on Net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serie,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Phocuswright sobre el mercado mundial de viajes en línea; 2) Statista y otras consultoras; 3) derivarlo de las reservas de las agencias cotizadas (sin datos de Trip.com ni del resto)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 y márgenes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Expedia y Airbnb (solo ingresos aproximados); 2) agregadores;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2) Sustainalytics; 3) informe de sostenibilidad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accionistas significativos y operaciones de directivos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 2026 (solo extractos); 2) herramientas/form4.mjs (sin red a sec.gov); 3) búsqueda de 13F y de ventas de directivos en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remuneración 2024-2026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la junta de junio de 2026; 2) prensa; 3) proxy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compras de agencias de viaje en línea con múltiplo (Despegar-Prosus, Etraveli-CVC, Trivago); 2) comunicados de los compradores; 3) prensa sectorial (PhocusWire, Skift)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cierre del 13-oct (Nasdaq, Yahoo); 2) agregadores (Digrin, InvestSmart, Kalkine); 3) prensa del día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 el cierre del 12-oct (158,43 USD, Yahoo Finance)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del índice,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herramientas/bolsa.mjs (sin red); 2) búsqueda de rentabilidades del S&amp;P 500;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consenso y estimaciones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2) Stock Analysis (2028 de pago); 3) MarketScreener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comentarios de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r/ValueInvesting y r/stocks sobre BKNG; 2) búsqueda en Stocktwits; 3) comentarios de lectores en Seeking Alpha (sin texto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Booking Holdings Reports Fourth Quarter and Full Year 2025 Financial Results (comunicado, 18-feb-2026)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Booking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https://s201.q4cdn.com/865305287/files/doc_financials/2025/q4/Q4-25-BKNG-Earnings-Release.pdf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 y proxy 2026 (combinado)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Booking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https://s25.q4cdn.com/383369491/files/doc_financials/2026/ar/BKNG_2026-COMBO_WEB.pdf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sees 20% rise in travelers booking multiple trip components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PhocusWire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https://www.phocuswire.com/booking-holdings-q4-full-year-2025-earnings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Booking's Traveler Advances Boost Cash Flow. What Can Shareholders Actually Keep?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https://finance.yahoo.com/markets/stocks/articles/booking-traveler-advances-boost-cash-204848192.html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(extractos de la cuenta de resultados) y cuenta de resultados de Stock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 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https://www.sec.gov/Archives/edgar/data/1075531/000107553126000009/bkng-20251231.htm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Financial Results for 3rd Quarter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https://s201.q4cdn.com/865305287/files/doc_financials/2025/q3/Q3-25-BKNG-Earnings-Release-Final.pdf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AI fears have created a rare entry point (resumen de la conferencia de Morgan Stanley, 3-mar-2026)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Earnout Investor Club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https://earnoutinvestorclub.beehiiv.com/p/booking-holdings-ai-fears-have-created-a-rare-entry-point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Has Fallen 27% From Its 52-Week High. Is BKNG Finally a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https://www.tikr.com/blog/booking-holdings-has-fallen-27-from-its-52-week-high-is-bkng-finally-a-buy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Second Quarter 2026 Financial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https://www.sec.gov/Archives/edgar/data/0001075531/000107553126000036/q2-26bkngearningsrelease.htm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(BKNG)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https://quartr.com/events/booking-holdings-inc-bkng-q2-2026_o0mILYC2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Financial Results for 4th Quarter and Full Year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https://www.sec.gov/Archives/edgar/data/1075531/000107553122000006/ex99112312021.htm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Financial Results for 4th Quarter and Full Year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https://s201.q4cdn.com/865305287/files/doc_financials/2022/q4/BKNG-Earnings-Release-Q4-2022.pdf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Fourth Quarter 2024 Financial Results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https://www.sec.gov/Archives/edgar/data/1075531/000107553125000009/bnkgq42024earningspressr.htm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Financial Results for 4th Quarter and Full Year 2023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https://www.sec.gov/Archives/edgar/data/1075531/000107553124000011/ex991123123.htm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Form 10-Q 1T26 (desdoblamiento 25 por 1 efectivo el 2-abr-2026)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https://www.sec.gov/Archives/edgar/data/0001075531/000107553126000025/bkng-20260331.htm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BKNG 2Q26 AI Summary (resumen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https://transcripts.platformaeronaut.com/summaries/BKNG-2Q26-AI-Summary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Form 10-Q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https://www.sec.gov/Archives/edgar/data/0001075531/000107553126000037/bkng-20260630.htm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(BKNG) Balance Sheet (trimestral y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https://stockanalysis.com/stocks/bkng/financials/balance-sheet/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de Booking Holdings han caído un 14% en tres meses. ¿Deberías comprar antes de que la FTC decida? (cita a Reuters,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https://www.tikr.com/es/blog/booking-holdings-stock-is-down-14-in-three-months-should-you-buy-before-the-ftc-decides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deuda y arrendamientos financieros (valor contable)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on 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https://www.stock-analysis-on.net/NASDAQ/Company/Booking-Holdings-Inc/Analysis/Debt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(BKNG) Financials &amp;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https://stockanalysis.com/stocks/bkng/financials/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(BKNG)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https://stockanalysis.com/stocks/bkng/financials/cash-flow-statement/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Form 10-K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https://www.sec.gov/Archives/edgar/data/1075531/000107553125000010/bkng-20241231.htm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SEC 10-K Report (resumen: recompras y dividendos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https://www.tradingview.com/news/tradingview:a43120c67fbdf:0-booking-holdings-inc-sec-10-k-report/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BKNG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https://s201.q4cdn.com/865305287/files/doc_financials/2026/q1/Q1-2026-BKNG-Earnings-Release.pdf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Form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https://www.sec.gov/Archives/edgar/data/1075531/000107553123000016/bkng-20221231.htm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AI reshaping the travel industry's power dynamics?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Kavout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https://www.kavout.com/market-lens/is-ai-reshaping-the-travel-industry-s-power-dynamics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BKNG 1Q26 AI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Platform Aeronaut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https://transcripts.platformaeronaut.com/summaries/BKNG-1Q26-AI-Summary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algorithm vs the agent: Booking's post-disintermediation defense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https://www.simplywall.st/narratives/wkaxahhl-the-algorithm-vs-the-agent-bookings-post-disintermediation-defense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Booking Holdings stock is tanking today (FTC, Reuters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Wealth Awesome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https://wealthawesome.com/why-booking-holdings-stock-is-tanking-today-10062026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Expedia Group sees double-digit growth in revenue, gross bookings as AI push continues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PhocusWire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https://www.phocuswire.com/expedia-group-q4-full-year-earnings-2025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Expedia Group revenue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https://www.statista.com/statistics/269387/revenue-of-expedia/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 statistics &amp; facts (ingresos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https://www.statista.com/topics/2273/airbnb/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Trip.com Group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https://simplywall.st/stocks/us/consumer-services/nasdaq-tcom/tripcom-group/valuation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Posts $26.9B Revenue While Advancing 2040 Net-Zero Goals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Carbon Credits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https://carboncredits.com/booking-holdings-posts-26-9b-revenue-while-advancing-2040-net-zero-goals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2026 proxy statement (DEF 14A, 21-abr-2026)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Boardroom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https://www.boardroomalpha.com/sec/bkng-def-14a-2026-04-21-0001308179-26-000310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raised its cost savings target after Q2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https://www.tikr.com/blog/booking-holdings-raised-its-cost-savings-target-after-q2-earnings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CEO Glenn Fogel Took Pay Cut in 2025 After 2 Big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Skift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https://skift.com/2026/04/14/booking-ceo-glenn-fogel-took-pay-cut-in-2025-after-2-big-years/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Rekordvergütung: Booking-CEO kassierte 2024 über 126 Millionen Dollar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Tageskarte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https://www.tageskarte.io/hotellerie/detail/rekordverguetung-booking-ceo-kassierte-2024-ueber-126-millionen-dollar.html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DEFA14A 2023 (respuesta al voto de remuneración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https://www.sec.gov/Archives/edgar/data/1075531/000110465923062933/tm2316425d1_defa14a.htm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Second Quarter 2026 Financial Results (comunicado en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https://s201.q4cdn.com/865305287/files/doc_financials/2026/q2/Q2-26-BKNG-Earnings-Release-Final.pdf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Q2 2026 earnings report (guía del 3T26 y del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https://www.tipranks.com/stocks/bkng/earnings/q2-2026-report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(BKNG)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https://stockanalysis.com/stocks/bkng/forecast/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(BKNG) earnings 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Unusual Whales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https://unusualwhales.com/stock/BKNG/earnings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(BKNG) Analyst Ratings, Estimates &amp; Forecasts; cotización (cierre del 12-oct-2026: 158,43 USD; objetivo medio 233,83, máximo 301)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https://finance.yahoo.com/quote/BKNG/analysis/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to Expect From Booking Holdings' Next Quarterly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https://finance.yahoo.com/markets/stocks/articles/expect-booking-holdings-next-quarterly-132242396.html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Wells Fargo cuts target for Booking Holdings stock from USD 220.00 to USD 190.00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https://www.ad-hoc-news.de/boerse/news/corporate-news/wells-fargo-cuts-target-for-booking-holdings-stock-from-usd-220-00-to-usd-190-00/70256015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Cantor cuts target for Booking Holdings stock to USD 170.00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https://www.ad-hoc-news.de/boerse/news/corporate-news/cantor-cuts-target-for-booking-holdings-stock-to-usd-170-00/70313227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(BKNG) – Price History (precio real y ajustado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https://www.digrin.com/stocks/detail/BKNG/price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BKNG Stock Yearly Return 2025 (cierre del 31-dic-2025: 5.355,33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AverageAnnualReturn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https://www.averageannualreturn.com/bkng/2025.html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AI fears and February selloff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https://finviz.com/news/319070/ai-hits-online-travel-stocks-but-wall-street-still-sees-50-upside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Inc. (BKNG) – cotización y beta a 5 años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https://sg.finance.yahoo.com/quote/BKNG/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26 Year Stock Price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https://macrotrends.net/stocks/charts/BKNG/booking-holdings/stock-price-history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 – Expedia Group forecast and statistics (cotización del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https://finviz.com/stock?t=EXPE&amp;ty=fc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vs Expedia: growth, valuation, and which OTA wins on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https://ca.investing.com/news/stock-market-news/airbnb-vs-expedia-growth-valuation-and-which-ota-wins-on-price-93CH-4774719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capitalización de Expedia y Airbnb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FinanceCharts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https://www.financecharts.com/stocks/EXPE/value/ev-to-ebitda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MakeMyTrip Limited (MMYT) – PER futuro y capitalización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https://www.stockanalysis.com/stocks/mmyt/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PER futuro de 16x (página de valoración; URL exacta no recuperada en la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non-GAAP EPS 2018 (92,59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https://www.fool.com/investing/2019/02/28/why-booking-holdings-is-losing-altitude-today.aspx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Reports Financial Results for 4th Quarter and Full Year 2019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https://www.sec.gov/Archives/edgar/data/1075531/000107553120000009/ex991123119.htm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Q4 2019 earnings call transcript (BPA no GAAP +15 % a divisa constante)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https://www.fool.com/earnings/call-transcripts/2020/02/27/booking-holdings-inc-bkng-q4-2019-earnings-call-tr.aspx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falls as energy prices stabilize (13-oct-2026); FRED DGS10 5,24 % el 9-oct; Forbes 5,21 % el 13-oct (extracto de búsqueda, mismo dato que el resto de informes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 / Forbes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del método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Booking Holdings stock trades at EUR 142.93 with USD 124.0 billion value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https://www.ad-hoc-news.de/boerse/news/corporate-news/booking-holdings-stock-trades-at-eur-142-93-with-usd-124-0-billion-value/70282614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$4,000 Stock Is About to Become Affordable: Inside Booking's Historic Split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https://finance.yahoo.com/markets/stocks/articles/4-000-stock-become-affordable-141559947.html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Should you buy the dip in Booking Holdings?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Nasdaq.com / 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https://nasdaq.com/articles/should-you-buy-dip-booking-holdings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Deep Dive: A Beatdown for Booking Holdings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https://www.etoro.com/news-and-analysis/market-insights/deep-dives/deep-dive-a-beatdown-for-booking-holdings/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Booking Holdings (BKNG) dipped more than broader market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Wealth Awesome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https://wealthawesome.com/why-booking-holdings-bkng-dipped-more-than-broader-market-today-10092026-event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77,2 %</w:t>
      </w:r>
      <w:r>
        <w:t xml:space="preserve"> · Secciones con menos del 60 % de campos cubiertos: </w:t>
      </w:r>
      <w:r>
        <w:rPr>
          <w:b/>
          <w:bCs/>
        </w:rPr>
        <w:t xml:space="preserve">gobierno, transacciones, balance</w:t>
      </w:r>
      <w:r>
        <w:t xml:space="preserve"> · Generado el 14 oct 2026.</w:t>
      </w:r>
    </w:p>
    <w:p>
      <w:pPr>
        <w:pStyle w:val="Nota"/>
        <w:spacing w:after="100"/>
      </w:pPr>
      <w:r>
        <w:t xml:space="preserve">Análisis hecho desde la nube con la red limitada a la búsqueda web: sec.gov, la web de la empresa y los proveedores de datos no se pudieron abrir, así que las cifras salen de extractos de búsqueda de los comunicados de resultados (8-K), de los 10-K y 10-Q citados y de agregadores (Stock Analysis, Yahoo Finance), cruzados cuando fue posible; lo que no cuadró está en null y en los huecos. Cuentas en USD con US GAAP; ejercicio natural. </w:t>
      </w:r>
      <w:r>
        <w:rPr>
          <w:b/>
        </w:rPr>
        <w:t xml:space="preserve">Todas las cifras por acción están ajustadas al desdoblamiento 25 por 1 del 2-abr-2026</w:t>
      </w:r>
      <w:r>
        <w:t xml:space="preserve"> (el BPA ajustado de 2025, 228,06 USD, es 9,12 USD). Precio: cierre del 12-oct-2026 (158,43 USD); no se encontró el del 13-oct. Acciones: unas 758 M en circulación a 30-jun-2026 (1.618 M emitidas menos 860 M en autocartera) más unas 7 M de dilución por planes de acciones, 765 M en total (estimación propia). Arrendamientos operativos fuera del puente (US GAAP: el alquiler ya está en el EBITDA). El EBITDA de las cuentas se devuelve al ajustado de la empresa con los no recurrentes (estimados como diferencia entre el margen ajustado publicado y el EBITDA contable). Los flujos operativos de 2021-2023 y la compra de Getaroom (≈1.200 M) son aproximados.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Booking Holdings Inc. (BKNG)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158,43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(150,16 – 233,58)</c:v>
                </c:pt>
                <c:pt idx="1">
                  <c:v>Precio objetivo de los analistas (170,00 – 301,00)</c:v>
                </c:pt>
                <c:pt idx="2">
                  <c:v>Comparables: PER NTM (129,25 – 349,46)</c:v>
                </c:pt>
                <c:pt idx="3">
                  <c:v>DCF (WACC y g ± 0,5) (175,22 – 219,76)</c:v>
                </c:pt>
                <c:pt idx="4">
                  <c:v>Escenarios (bajista – alcista) (149,39 – 218,23)</c:v>
                </c:pt>
                <c:pt idx="5">
                  <c:v>DCF con la prima implícita del mercado (4,2 %)</c:v>
                </c:pt>
                <c:pt idx="6">
                  <c:v>Precio actual (158,43)</c:v>
                </c:pt>
              </c:strCache>
            </c:strRef>
          </c:cat>
          <c:val>
            <c:numRef>
              <c:f>Hoja1!$B$2:$B$8</c:f>
              <c:numCache>
                <c:formatCode>#,##0</c:formatCode>
                <c:ptCount val="7"/>
                <c:pt idx="0">
                  <c:v>150.16</c:v>
                </c:pt>
                <c:pt idx="1">
                  <c:v>170</c:v>
                </c:pt>
                <c:pt idx="2">
                  <c:v>129.25</c:v>
                </c:pt>
                <c:pt idx="3">
                  <c:v>175.22</c:v>
                </c:pt>
                <c:pt idx="4">
                  <c:v>149.39</c:v>
                </c:pt>
                <c:pt idx="5">
                  <c:v>216.93</c:v>
                </c:pt>
                <c:pt idx="6">
                  <c:v>157.64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(150,16 – 233,58)</c:v>
                </c:pt>
                <c:pt idx="1">
                  <c:v>Precio objetivo de los analistas (170,00 – 301,00)</c:v>
                </c:pt>
                <c:pt idx="2">
                  <c:v>Comparables: PER NTM (129,25 – 349,46)</c:v>
                </c:pt>
                <c:pt idx="3">
                  <c:v>DCF (WACC y g ± 0,5) (175,22 – 219,76)</c:v>
                </c:pt>
                <c:pt idx="4">
                  <c:v>Escenarios (bajista – alcista) (149,39 – 218,23)</c:v>
                </c:pt>
                <c:pt idx="5">
                  <c:v>DCF con la prima implícita del mercado (4,2 %)</c:v>
                </c:pt>
                <c:pt idx="6">
                  <c:v>Precio actual (158,43)</c:v>
                </c:pt>
              </c:strCache>
            </c:strRef>
          </c:cat>
          <c:val>
            <c:numRef>
              <c:f>Hoja1!$C$2:$C$8</c:f>
              <c:numCache>
                <c:formatCode>#,##0</c:formatCode>
                <c:ptCount val="7"/>
                <c:pt idx="0">
                  <c:v>83.42000000000002</c:v>
                </c:pt>
                <c:pt idx="1">
                  <c:v>131</c:v>
                </c:pt>
                <c:pt idx="2">
                  <c:v>220.20999999999998</c:v>
                </c:pt>
                <c:pt idx="3">
                  <c:v>44.53999999999999</c:v>
                </c:pt>
                <c:pt idx="4">
                  <c:v>68.84</c:v>
                </c:pt>
                <c:pt idx="5">
                  <c:v>40.599999999999966</c:v>
                </c:pt>
                <c:pt idx="6">
                  <c:v>1.5800000000000125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Grupo (monosegmento)</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10958</c:v>
                </c:pt>
                <c:pt idx="1">
                  <c:v>17090</c:v>
                </c:pt>
                <c:pt idx="2">
                  <c:v>21365</c:v>
                </c:pt>
                <c:pt idx="3">
                  <c:v>23739</c:v>
                </c:pt>
                <c:pt idx="4">
                  <c:v>26917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Grupo (monosegmento)</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Booking</c:v>
                </c:pt>
                <c:pt idx="1">
                  <c:v>Expedia Group</c:v>
                </c:pt>
                <c:pt idx="2">
                  <c:v>Airbnb</c:v>
                </c:pt>
                <c:pt idx="3">
                  <c:v>Trip.com Group</c:v>
                </c:pt>
                <c:pt idx="4">
                  <c:v>Google (Travel / IA)</c:v>
                </c:pt>
              </c:strCache>
            </c:strRef>
          </c:cat>
          <c:val>
            <c:numRef>
              <c:f>Hoja1!$B$2:$B$6</c:f>
              <c:numCache>
                <c:formatCode>0.0"%"</c:formatCode>
                <c:ptCount val="5"/>
                <c:pt idx="0">
                  <c:v>34.6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2</c:v>
                </c:pt>
                <c:pt idx="2">
                  <c:v>4</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10958</c:v>
                </c:pt>
                <c:pt idx="1">
                  <c:v>17090</c:v>
                </c:pt>
                <c:pt idx="2">
                  <c:v>21365</c:v>
                </c:pt>
                <c:pt idx="3">
                  <c:v>23739</c:v>
                </c:pt>
                <c:pt idx="4">
                  <c:v>26917</c:v>
                </c:pt>
                <c:pt idx="5">
                  <c:v>29205</c:v>
                </c:pt>
                <c:pt idx="6">
                  <c:v>31541</c:v>
                </c:pt>
                <c:pt idx="7">
                  <c:v>34065</c:v>
                </c:pt>
                <c:pt idx="8">
                  <c:v>36449</c:v>
                </c:pt>
                <c:pt idx="9">
                  <c:v>38818</c:v>
                </c:pt>
                <c:pt idx="10">
                  <c:v>41147</c:v>
                </c:pt>
                <c:pt idx="11">
                  <c:v>43411</c:v>
                </c:pt>
                <c:pt idx="12">
                  <c:v>45581</c:v>
                </c:pt>
                <c:pt idx="13">
                  <c:v>47632</c:v>
                </c:pt>
                <c:pt idx="14">
                  <c:v>49538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2917</c:v>
                </c:pt>
                <c:pt idx="1">
                  <c:v>5553</c:v>
                </c:pt>
                <c:pt idx="2">
                  <c:v>6339</c:v>
                </c:pt>
                <c:pt idx="3">
                  <c:v>8309</c:v>
                </c:pt>
                <c:pt idx="4">
                  <c:v>9932</c:v>
                </c:pt>
                <c:pt idx="5">
                  <c:v>10806</c:v>
                </c:pt>
                <c:pt idx="6">
                  <c:v>11828</c:v>
                </c:pt>
                <c:pt idx="7">
                  <c:v>12945</c:v>
                </c:pt>
                <c:pt idx="8">
                  <c:v>13851</c:v>
                </c:pt>
                <c:pt idx="9">
                  <c:v>14751</c:v>
                </c:pt>
                <c:pt idx="10">
                  <c:v>15636</c:v>
                </c:pt>
                <c:pt idx="11">
                  <c:v>16496</c:v>
                </c:pt>
                <c:pt idx="12">
                  <c:v>17321</c:v>
                </c:pt>
                <c:pt idx="13">
                  <c:v>18100</c:v>
                </c:pt>
                <c:pt idx="14">
                  <c:v>18824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92</c:v>
                </c:pt>
                <c:pt idx="1">
                  <c:v>89.4</c:v>
                </c:pt>
                <c:pt idx="2">
                  <c:v>87.2</c:v>
                </c:pt>
                <c:pt idx="3">
                  <c:v>86.9</c:v>
                </c:pt>
                <c:pt idx="4">
                  <c:v>87.2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26.6</c:v>
                </c:pt>
                <c:pt idx="1">
                  <c:v>32.5</c:v>
                </c:pt>
                <c:pt idx="2">
                  <c:v>29.7</c:v>
                </c:pt>
                <c:pt idx="3">
                  <c:v>35</c:v>
                </c:pt>
                <c:pt idx="4">
                  <c:v>36.9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22.8</c:v>
                </c:pt>
                <c:pt idx="1">
                  <c:v>29.9</c:v>
                </c:pt>
                <c:pt idx="2">
                  <c:v>27.3</c:v>
                </c:pt>
                <c:pt idx="3">
                  <c:v>32.5</c:v>
                </c:pt>
                <c:pt idx="4">
                  <c:v>34.6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10.6</c:v>
                </c:pt>
                <c:pt idx="1">
                  <c:v>17.9</c:v>
                </c:pt>
                <c:pt idx="2">
                  <c:v>20.1</c:v>
                </c:pt>
                <c:pt idx="3">
                  <c:v>24.8</c:v>
                </c:pt>
                <c:pt idx="4">
                  <c:v>20.1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8</c:v>
                </c:pt>
                <c:pt idx="1">
                  <c:v>16</c:v>
                </c:pt>
                <c:pt idx="2">
                  <c:v>13</c:v>
                </c:pt>
                <c:pt idx="3">
                  <c:v>16</c:v>
                </c:pt>
                <c:pt idx="4">
                  <c:v>16</c:v>
                </c:pt>
                <c:pt idx="5">
                  <c:v>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4">
                  <c:v>10</c:v>
                </c:pt>
                <c:pt idx="5">
                  <c:v>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56</c:v>
                </c:pt>
                <c:pt idx="3">
                  <c:v>49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449</c:v>
                </c:pt>
                <c:pt idx="3">
                  <c:v>447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2516</c:v>
                </c:pt>
                <c:pt idx="1">
                  <c:v>6201</c:v>
                </c:pt>
                <c:pt idx="2">
                  <c:v>7000</c:v>
                </c:pt>
                <c:pt idx="3">
                  <c:v>7894</c:v>
                </c:pt>
                <c:pt idx="4">
                  <c:v>9087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1165</c:v>
                </c:pt>
                <c:pt idx="1">
                  <c:v>3058</c:v>
                </c:pt>
                <c:pt idx="2">
                  <c:v>4289</c:v>
                </c:pt>
                <c:pt idx="3">
                  <c:v>5882</c:v>
                </c:pt>
                <c:pt idx="4">
                  <c:v>5404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63.8</c:v>
                </c:pt>
                <c:pt idx="1">
                  <c:v>200.6</c:v>
                </c:pt>
                <c:pt idx="2">
                  <c:v>-1442.7</c:v>
                </c:pt>
                <c:pt idx="3">
                  <c:v>-229.3</c:v>
                </c:pt>
                <c:pt idx="4">
                  <c:v>-175.1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10.2</c:v>
                </c:pt>
                <c:pt idx="1">
                  <c:v>10.2</c:v>
                </c:pt>
                <c:pt idx="2">
                  <c:v>10.2</c:v>
                </c:pt>
                <c:pt idx="3">
                  <c:v>10.2</c:v>
                </c:pt>
                <c:pt idx="4">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18.9</c:v>
                </c:pt>
                <c:pt idx="1">
                  <c:v>68.3</c:v>
                </c:pt>
                <c:pt idx="2">
                  <c:v>22573.7</c:v>
                </c:pt>
                <c:pt idx="3">
                  <c:v>-173.9</c:v>
                </c:pt>
                <c:pt idx="4">
                  <c:v>-112.6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-1.05</c:v>
                </c:pt>
                <c:pt idx="1">
                  <c:v>-0.35</c:v>
                </c:pt>
                <c:pt idx="2">
                  <c:v>0.2</c:v>
                </c:pt>
                <c:pt idx="3">
                  <c:v>0.01</c:v>
                </c:pt>
                <c:pt idx="4">
                  <c:v>0.11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1200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1170</c:v>
                </c:pt>
                <c:pt idx="4">
                  <c:v>1250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163</c:v>
                </c:pt>
                <c:pt idx="1">
                  <c:v>6600</c:v>
                </c:pt>
                <c:pt idx="2">
                  <c:v>10400</c:v>
                </c:pt>
                <c:pt idx="3">
                  <c:v>6500</c:v>
                </c:pt>
                <c:pt idx="4">
                  <c:v>6400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-16</c:v>
                </c:pt>
                <c:pt idx="1">
                  <c:v>76</c:v>
                </c:pt>
                <c:pt idx="2">
                  <c:v>40.1</c:v>
                </c:pt>
                <c:pt idx="3">
                  <c:v>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33</c:v>
                </c:pt>
                <c:pt idx="1">
                  <c:v>14.2</c:v>
                </c:pt>
                <c:pt idx="2">
                  <c:v>20.6</c:v>
                </c:pt>
                <c:pt idx="3">
                  <c:v>20.4</c:v>
                </c:pt>
                <c:pt idx="4">
                  <c:v>17.7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19</c:v>
                </c:pt>
                <c:pt idx="1">
                  <c:v>19</c:v>
                </c:pt>
                <c:pt idx="2">
                  <c:v>19</c:v>
                </c:pt>
                <c:pt idx="3">
                  <c:v>19</c:v>
                </c:pt>
                <c:pt idx="4">
                  <c:v>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8811</c:v>
                </c:pt>
                <c:pt idx="1">
                  <c:v>9057</c:v>
                </c:pt>
                <c:pt idx="2">
                  <c:v>9916</c:v>
                </c:pt>
                <c:pt idx="3">
                  <c:v>10604</c:v>
                </c:pt>
                <c:pt idx="4">
                  <c:v>11290</c:v>
                </c:pt>
                <c:pt idx="5">
                  <c:v>11749</c:v>
                </c:pt>
                <c:pt idx="6">
                  <c:v>12391</c:v>
                </c:pt>
                <c:pt idx="7">
                  <c:v>13007</c:v>
                </c:pt>
                <c:pt idx="8">
                  <c:v>13588</c:v>
                </c:pt>
                <c:pt idx="9">
                  <c:v>14127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68522</c:v>
                </c:pt>
                <c:pt idx="1">
                  <c:v>82776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158,43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149.39</c:v>
                </c:pt>
                <c:pt idx="1">
                  <c:v>194.48</c:v>
                </c:pt>
                <c:pt idx="2">
                  <c:v>218.23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158,43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(150,16 – 233,58)</c:v>
                </c:pt>
                <c:pt idx="1">
                  <c:v>Precio objetivo de los analistas (170,00 – 301,00)</c:v>
                </c:pt>
                <c:pt idx="2">
                  <c:v>Comparables: PER NTM (129,25 – 349,46)</c:v>
                </c:pt>
                <c:pt idx="3">
                  <c:v>DCF (WACC y g ± 0,5) (175,22 – 219,76)</c:v>
                </c:pt>
                <c:pt idx="4">
                  <c:v>Escenarios (bajista – alcista) (149,39 – 218,23)</c:v>
                </c:pt>
                <c:pt idx="5">
                  <c:v>DCF con la prima implícita del mercado (4,2 %)</c:v>
                </c:pt>
                <c:pt idx="6">
                  <c:v>Precio actual (158,43)</c:v>
                </c:pt>
              </c:strCache>
            </c:strRef>
          </c:cat>
          <c:val>
            <c:numRef>
              <c:f>Hoja1!$B$2:$B$8</c:f>
              <c:numCache>
                <c:formatCode>#,##0</c:formatCode>
                <c:ptCount val="7"/>
                <c:pt idx="0">
                  <c:v>150.16</c:v>
                </c:pt>
                <c:pt idx="1">
                  <c:v>170</c:v>
                </c:pt>
                <c:pt idx="2">
                  <c:v>129.25</c:v>
                </c:pt>
                <c:pt idx="3">
                  <c:v>175.22</c:v>
                </c:pt>
                <c:pt idx="4">
                  <c:v>149.39</c:v>
                </c:pt>
                <c:pt idx="5">
                  <c:v>216.93</c:v>
                </c:pt>
                <c:pt idx="6">
                  <c:v>157.64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(150,16 – 233,58)</c:v>
                </c:pt>
                <c:pt idx="1">
                  <c:v>Precio objetivo de los analistas (170,00 – 301,00)</c:v>
                </c:pt>
                <c:pt idx="2">
                  <c:v>Comparables: PER NTM (129,25 – 349,46)</c:v>
                </c:pt>
                <c:pt idx="3">
                  <c:v>DCF (WACC y g ± 0,5) (175,22 – 219,76)</c:v>
                </c:pt>
                <c:pt idx="4">
                  <c:v>Escenarios (bajista – alcista) (149,39 – 218,23)</c:v>
                </c:pt>
                <c:pt idx="5">
                  <c:v>DCF con la prima implícita del mercado (4,2 %)</c:v>
                </c:pt>
                <c:pt idx="6">
                  <c:v>Precio actual (158,43)</c:v>
                </c:pt>
              </c:strCache>
            </c:strRef>
          </c:cat>
          <c:val>
            <c:numRef>
              <c:f>Hoja1!$C$2:$C$8</c:f>
              <c:numCache>
                <c:formatCode>#,##0</c:formatCode>
                <c:ptCount val="7"/>
                <c:pt idx="0">
                  <c:v>83.42000000000002</c:v>
                </c:pt>
                <c:pt idx="1">
                  <c:v>131</c:v>
                </c:pt>
                <c:pt idx="2">
                  <c:v>220.20999999999998</c:v>
                </c:pt>
                <c:pt idx="3">
                  <c:v>44.53999999999999</c:v>
                </c:pt>
                <c:pt idx="4">
                  <c:v>68.84</c:v>
                </c:pt>
                <c:pt idx="5">
                  <c:v>40.599999999999966</c:v>
                </c:pt>
                <c:pt idx="6">
                  <c:v>1.5800000000000125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