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Bureau Veritas SA</w:t>
      </w:r>
    </w:p>
    <w:p>
      <w:pPr>
        <w:spacing w:after="60"/>
        <w:rPr>
          <w:color w:val="52514E"/>
          <w:sz w:val="22"/>
          <w:szCs w:val="22"/>
        </w:rPr>
      </w:pPr>
      <w:r>
        <w:rPr>
          <w:color w:val="52514E"/>
          <w:sz w:val="22"/>
          <w:szCs w:val="22"/>
        </w:rPr>
        <w:t xml:space="preserve">BVI · Euronext París · ISIN FR0006174348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32,84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+29,1 % (base +26,7 %)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33,71 EUR · mercado 39,30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11.637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Bureau Veritas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BVI / FR0006174348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(ensayos, inspección y certificación)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Neuilly-sur-Seine (Francia) · 1828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group.bureauveritas.com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24,58 – 30,18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11.637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14.178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32,84 EUR</w:t>
      </w:r>
      <w:r>
        <w:t xml:space="preserve"> frente a 26,15 · Rentabilidad a 12 meses </w:t>
      </w:r>
      <w:r>
        <w:rPr>
          <w:b/>
          <w:bCs/>
        </w:rPr>
        <w:t xml:space="preserve">+29,1 % (base +26,7 %)</w:t>
      </w:r>
      <w:r>
        <w:t xml:space="preserve"> · Valor intrínseco 33,71 EUR · con la prima implícita del mercado: 39,30 (+50,3 %) · Alcista / bajista +43,0 % / -6,9 %</w:t>
      </w:r>
    </w:p>
    <w:p>
      <w:pPr>
        <w:spacing w:after="100"/>
      </w:pPr>
      <w:r>
        <w:rPr>
          <w:b/>
        </w:rPr>
        <w:t xml:space="preserve">La recomendación y por qué.</w:t>
      </w:r>
      <w:r>
        <w:t xml:space="preserve"> Comprar, con convicción media. A 26,15 EUR, nuestro objetivo a 12 meses es de 30,39 EUR (nuestro BPA ajustado de 2028e por el PER de la regla común), con una rentabilidad ponderada del 19,7 % y del 15,3 % en el caso base, dividendo incluido; el valor intrínseco es de 33,71 EUR (+28,9 %). El objetivo medio de los analistas (32,40 EUR) [46] queda dentro de nuestro rango (22,28-40,82 EUR) y por encima de nuestro base, porque no suponemos revalorización: el base usa el PER actual (16,6x), no la mediana de cinco años (20,9x). La razón principal: el precio descuenta un crecimiento del 1,1 % anual para un negocio que crece al 5-6 % orgánico. La convicción es media y no alta porque los datos salen de búsquedas, sin el documento de registro, y porque el precio descuenta 3,0 puntos menos de crecimiento que nuestro base, justo en el umbral; subiría si los ingresos del 3T26 (21 de octubre) confirman un orgánico de al menos el 5,5 % y bajaría si quedan por debajo del 4 %.</w:t>
      </w:r>
    </w:p>
    <w:p>
      <w:pPr>
        <w:spacing w:after="100"/>
      </w:pPr>
      <w:r>
        <w:rPr>
          <w:b/>
        </w:rPr>
        <w:t xml:space="preserve">El negocio.</w:t>
      </w:r>
      <w:r>
        <w:t xml:space="preserve"> Inspección, ensayos y certificación con un ROIC del 19,3 % frente a un WACC del 7,62 %, margen operativo ajustado del 16,3 % en 2025 (+32 pb) y conversión del beneficio en caja del 107 % [1]. El foso es estrecho pero estable: acreditaciones, red mundial y una marca que el capital privado compra en vez de replicar (EQT pagó una prima del 62 % por Intertek) [28]. La calidad sostiene el crecimiento que proyectamos (veredicto «Sí»): un 4,0 % anual, por debajo de su orgánico de 2023-2025 y del mercado, con poco capital.</w:t>
      </w:r>
    </w:p>
    <w:p>
      <w:pPr>
        <w:spacing w:after="100"/>
      </w:pPr>
      <w:r>
        <w:rPr>
          <w:b/>
        </w:rPr>
        <w:t xml:space="preserve">Finanzas.</w:t>
      </w:r>
      <w:r>
        <w:t xml:space="preserve"> Ingresos de 6.466,4 M EUR y BPA ajustado de 1,42 EUR en 2025 [1]; el euro fuerte restó dos tercios del crecimiento. En el 1S26, 5,0 % orgánico y margen +15 pb [2]. La deuda neta subió a 1,45 veces el EBITDA por el dividendo adelantado [2]; con arrendamientos, 1,6 veces. En 2027 sale ≈450 M EUR de ingresos de petróleo, carbón y Gobiernos [2]: por eso nuestras ventas de 2027e quedan un 5-7 % por debajo del consenso.</w:t>
      </w:r>
    </w:p>
    <w:p>
      <w:pPr>
        <w:spacing w:after="100"/>
      </w:pPr>
      <w:r>
        <w:rPr>
          <w:b/>
        </w:rPr>
        <w:t xml:space="preserve">Equipo y gobierno.</w:t>
      </w:r>
      <w:r>
        <w:t xml:space="preserve"> Resta algo. Wendel tiene el 21,4 % del capital y el 34,6 % de los votos por el voto doble, con solo un 15 % de interés económico tras su venta a plazo, que se liquida en marzo de 2028 [37, 38]; cada colocación pesa sobre la acción. La dirección cumplió la guía en 2023 y 2025, pero en abril la rebajó dos meses después de darla y dotó 32 M EUR por incumplimientos [10, 12].</w:t>
      </w:r>
    </w:p>
    <w:p>
      <w:pPr>
        <w:spacing w:after="100"/>
      </w:pPr>
      <w:r>
        <w:rPr>
          <w:b/>
        </w:rPr>
        <w:t xml:space="preserve">Valoración.</w:t>
      </w:r>
      <w:r>
        <w:t xml:space="preserve"> El DCF da 32,30 EUR, con un valor terminal del 69 %; los comparables, 36,43-39,38 EUR, porque cotiza a 15,8 veces el BPA de los próximos 12 meses frente a una mediana de 23,2 en SGS, Intertek, Eurofins y ALS. Frente a su historia, un 20-25 % por debajo de su PER mediano. La rentabilidad implícita en el precio (8,7 %) supera nuestro WACC y lo que pide el mercado (6,7 %): las dos reglas dan Comprar.</w:t>
      </w:r>
    </w:p>
    <w:p>
      <w:pPr>
        <w:spacing w:after="100"/>
      </w:pPr>
      <w:r>
        <w:rPr>
          <w:b/>
        </w:rPr>
        <w:t xml:space="preserve">Riesgos y catalizadores.</w:t>
      </w:r>
      <w:r>
        <w:t xml:space="preserve"> El mayor riesgo es un frenazo de Industria y Materias primas (bajista de 24,35 EUR, −6,9 %); después, un fallo de integridad y las ventas de Wendel. Catalizadores: ingresos del 3T26 el 21-oct-2026, resultados de 2026 en febrero de 2027 y la recompra de 200 M EUR en curso [1]. El sentimiento de los foros es dividido y mejora; no añade riesgos nuevos.</w:t>
      </w:r>
    </w:p>
    <w:p>
      <w:pPr>
        <w:spacing w:after="100"/>
      </w:pPr>
      <w:r>
        <w:rPr>
          <w:b/>
        </w:rPr>
        <w:t xml:space="preserve">Qué cambiaría la decisión.</w:t>
      </w:r>
      <w:r>
        <w:t xml:space="preserve"> Compraríamos por debajo de 26,91 EUR y venderíamos por encima de 34,78 EUR. Pasaríamos a Mantener si el orgánico del 3T26 baja del 4 %, si el margen ajustado de 2026 no mejora o si la empresa compra por encima de 15 veces el EBITDA con la deuda por encima de 2 veces.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32,84 EUR</w:t>
      </w:r>
      <w:r>
        <w:t xml:space="preserve"> (rentabilidad +29,1 % (base +26,7 %)) · Valor intrínseco: 33,71 EUR (+28,9 % sobre 26,15) · con la prima implícita del mercado: 39,30 (+50,3 %)</w:t>
      </w:r>
    </w:p>
    <w:p>
      <w:pPr>
        <w:spacing w:after="100"/>
      </w:pPr>
      <w:r>
        <w:t xml:space="preserve">Bureau Veritas vende confianza: inspecciona buques, plantas, obras, materias primas y productos, y certifica sistemas, en 140 países. Crece de forma orgánica al 5-8 % (6,5 % en 2025) [1], sube el margen cada año (16,3 % ajustado) y convierte en caja más del 100 % de su beneficio, con un ROIC del 19,3 %.</w:t>
      </w:r>
    </w:p>
    <w:p>
      <w:pPr>
        <w:spacing w:after="100"/>
      </w:pPr>
      <w:r>
        <w:t xml:space="preserve">El precio de 26,15 EUR descuenta un crecimiento del 1,1 % anual o un margen EBITDA que no sube del 18,7 %, frente al 4,1 % y al 21,5 % de nuestro caso base; cotiza a 15,8 veces el BPA de los próximos 12 meses, por debajo de su mediana de cinco años (20,9) y de sus comparables (23,2). El mercado cobra la rebaja de la guía de abril, la salida de negocios que restará ≈450 M EUR de ingresos y la oferta de acciones de Wendel [2, 37].</w:t>
      </w:r>
    </w:p>
    <w:p>
      <w:pPr>
        <w:spacing w:after="100"/>
      </w:pPr>
      <w:r>
        <w:t xml:space="preserve">Creemos que el mercado se equivoca en la duración del problema: el 2T26 ya aceleró al 5,5 % y la guía volvió a subir [2], la desinversión mejora la mezcla, y el capital privado paga primas del 62 % por negocios comparables [28]. Para invertir hay que creer que el orgánico se mantiene en el 5-6 % y que la empresa no destruye valor con compras caras para cumplir su objetivo de dos dígitos.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1,58 = 23,07 · 18,3x × 1,76 = 32,21 · 23,2x × 1,89 = 43,85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 / 26,7 %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 (nuestro base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7,6 %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descuenta solo 3,0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29,35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29,35 y 37,51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Crecimiento orgánico del 3T26 por debajo del 4 %: pasaríamos a Mantener.</w:t>
      </w:r>
    </w:p>
    <w:p>
      <w:pPr>
        <w:pStyle w:val="ListParagraph"/>
        <w:numPr>
          <w:ilvl w:val="0"/>
          <w:numId w:val="2"/>
        </w:numPr>
        <w:spacing w:after="60"/>
      </w:pPr>
      <w:r>
        <w:t xml:space="preserve">Precio por encima de 34,78 EUR: Vender o reducir; entre 26,91 y 34,78 EUR, Mantener.</w:t>
      </w:r>
    </w:p>
    <w:p>
      <w:pPr>
        <w:pStyle w:val="ListParagraph"/>
        <w:numPr>
          <w:ilvl w:val="0"/>
          <w:numId w:val="2"/>
        </w:numPr>
        <w:spacing w:after="60"/>
      </w:pPr>
      <w:r>
        <w:t xml:space="preserve">Una compra de más de 1.000 M EUR a más de 15 veces el EBITDA, o deuda neta por encima de 2 veces: revisaríamos a Mantener.</w:t>
      </w:r>
    </w:p>
    <w:p>
      <w:pPr>
        <w:pStyle w:val="ListParagraph"/>
        <w:numPr>
          <w:ilvl w:val="0"/>
          <w:numId w:val="2"/>
        </w:numPr>
        <w:spacing w:after="60"/>
      </w:pPr>
      <w:r>
        <w:t xml:space="preserve">Un nuevo caso de incumplimientos o una investigación de un regulador: Mantener hasta conocer el alcance.</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que ha dejado de crecer: PER de 15,8 veces el BPA de los próximos 12 meses, un 20-25 % por debajo de su historia y un tercio menos que sus comparables, con un crecimiento implícito del 1,1 % anual.</w:t>
      </w:r>
    </w:p>
    <w:p>
      <w:pPr>
        <w:keepNext/>
        <w:spacing w:after="100"/>
      </w:pPr>
      <w:r>
        <w:rPr>
          <w:b/>
          <w:bCs/>
        </w:rPr>
        <w:t xml:space="preserve">Lo que creemos nosotros.</w:t>
      </w:r>
    </w:p>
    <w:p>
      <w:pPr>
        <w:spacing w:after="100"/>
      </w:pPr>
      <w:r>
        <w:t xml:space="preserve">Crecimiento orgánico del 5,5-6 % hasta 2028 y margen operativo ajustado hacia el 17,8 % en 2030; BPA ajustado de 1,76 EUR en 2028e, un 3 % por debajo del consenso porque restamos la venta de negocios.</w:t>
      </w:r>
    </w:p>
    <w:p>
      <w:pPr>
        <w:keepNext/>
        <w:spacing w:after="100"/>
      </w:pPr>
      <w:r>
        <w:rPr>
          <w:b/>
          <w:bCs/>
        </w:rPr>
        <w:t xml:space="preserve">Por qué podemos tener razón.</w:t>
      </w:r>
    </w:p>
    <w:p>
      <w:pPr>
        <w:spacing w:after="100"/>
      </w:pPr>
      <w:r>
        <w:t xml:space="preserve">La rebaja de abril fue temporal (el 2T26 aceleró y la guía volvió a subir) [2]; la salida de petróleo y carbón reduce la parte cíclica; y la oferta de Wendel es un problema de flujo, no de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crecimiento implícito del 1,1 % anual frente al 4,1 % de nuestro base.</w:t>
      </w:r>
    </w:p>
    <w:p>
      <w:pPr>
        <w:pStyle w:val="ListParagraph"/>
        <w:numPr>
          <w:ilvl w:val="0"/>
          <w:numId w:val="2"/>
        </w:numPr>
        <w:spacing w:after="60"/>
      </w:pPr>
      <w:r>
        <w:rPr>
          <w:b/>
        </w:rPr>
        <w:t xml:space="preserve">Calidad</w:t>
      </w:r>
      <w:r>
        <w:t xml:space="preserve">: ROIC del 19,3 % frente a un WACC del 7,62 % y conversión de caja del 107 % [1].</w:t>
      </w:r>
    </w:p>
    <w:p>
      <w:pPr>
        <w:pStyle w:val="ListParagraph"/>
        <w:numPr>
          <w:ilvl w:val="0"/>
          <w:numId w:val="2"/>
        </w:numPr>
        <w:spacing w:after="60"/>
      </w:pPr>
      <w:r>
        <w:rPr>
          <w:b/>
        </w:rPr>
        <w:t xml:space="preserve">Barata frente a sus comparables</w:t>
      </w:r>
      <w:r>
        <w:t xml:space="preserve">: PER de 15,8 veces frente a una mediana de 23,2.</w:t>
      </w:r>
    </w:p>
    <w:p>
      <w:pPr>
        <w:pStyle w:val="ListParagraph"/>
        <w:numPr>
          <w:ilvl w:val="0"/>
          <w:numId w:val="2"/>
        </w:numPr>
        <w:spacing w:after="60"/>
      </w:pPr>
      <w:r>
        <w:rPr>
          <w:b/>
        </w:rPr>
        <w:t xml:space="preserve">Retribución</w:t>
      </w:r>
      <w:r>
        <w:t xml:space="preserve">: dividendo del 3,5 % y recompra de 200 M EUR en curso [1].</w:t>
      </w:r>
    </w:p>
    <w:p>
      <w:pPr>
        <w:pStyle w:val="ListParagraph"/>
        <w:numPr>
          <w:ilvl w:val="0"/>
          <w:numId w:val="2"/>
        </w:numPr>
        <w:spacing w:after="60"/>
      </w:pPr>
      <w:r>
        <w:rPr>
          <w:b/>
        </w:rPr>
        <w:t xml:space="preserve">Consolidación</w:t>
      </w:r>
      <w:r>
        <w:t xml:space="preserve">: EQT pagó 3,2 veces ventas por Intertek; Bureau Veritas cotiza a 2,2 veces [28].</w:t>
      </w:r>
    </w:p>
    <w:p>
      <w:pPr>
        <w:pStyle w:val="Heading2"/>
      </w:pPr>
      <w:r>
        <w:t xml:space="preserve">En contra</w:t>
      </w:r>
    </w:p>
    <w:p>
      <w:pPr>
        <w:pStyle w:val="ListParagraph"/>
        <w:numPr>
          <w:ilvl w:val="0"/>
          <w:numId w:val="2"/>
        </w:numPr>
        <w:spacing w:after="60"/>
      </w:pPr>
      <w:r>
        <w:rPr>
          <w:b/>
        </w:rPr>
        <w:t xml:space="preserve">Guía poco fiable en 2026</w:t>
      </w:r>
      <w:r>
        <w:t xml:space="preserve">: rebajada en abril y vuelta a subir en julio [2, 10].</w:t>
      </w:r>
    </w:p>
    <w:p>
      <w:pPr>
        <w:pStyle w:val="ListParagraph"/>
        <w:numPr>
          <w:ilvl w:val="0"/>
          <w:numId w:val="2"/>
        </w:numPr>
        <w:spacing w:after="60"/>
      </w:pPr>
      <w:r>
        <w:rPr>
          <w:b/>
        </w:rPr>
        <w:t xml:space="preserve">Wendel</w:t>
      </w:r>
      <w:r>
        <w:t xml:space="preserve">: 34,6 % de los votos con un 15 % de interés económico y ventas periódicas [37].</w:t>
      </w:r>
    </w:p>
    <w:p>
      <w:pPr>
        <w:pStyle w:val="ListParagraph"/>
        <w:numPr>
          <w:ilvl w:val="0"/>
          <w:numId w:val="2"/>
        </w:numPr>
        <w:spacing w:after="60"/>
      </w:pPr>
      <w:r>
        <w:rPr>
          <w:b/>
        </w:rPr>
        <w:t xml:space="preserve">Integridad</w:t>
      </w:r>
      <w:r>
        <w:t xml:space="preserve">: provisión de 32 M EUR por incumplimientos en 2026 [12].</w:t>
      </w:r>
    </w:p>
    <w:p>
      <w:pPr>
        <w:pStyle w:val="ListParagraph"/>
        <w:numPr>
          <w:ilvl w:val="0"/>
          <w:numId w:val="2"/>
        </w:numPr>
        <w:spacing w:after="60"/>
      </w:pPr>
      <w:r>
        <w:rPr>
          <w:b/>
        </w:rPr>
        <w:t xml:space="preserve">Divisa</w:t>
      </w:r>
      <w:r>
        <w:t xml:space="preserve">: el euro fuerte restó un 5,2 % a los ingresos del 1T26 [10].</w:t>
      </w:r>
    </w:p>
    <w:p>
      <w:pPr>
        <w:pStyle w:val="ListParagraph"/>
        <w:numPr>
          <w:ilvl w:val="0"/>
          <w:numId w:val="2"/>
        </w:numPr>
        <w:spacing w:after="60"/>
      </w:pPr>
      <w:r>
        <w:rPr>
          <w:b/>
        </w:rPr>
        <w:t xml:space="preserve">Datos incompletos</w:t>
      </w:r>
      <w:r>
        <w:t xml:space="preserve">: sin segmentos, circulante ni pagos de arrendamientos en este análisis.</w:t>
      </w:r>
    </w:p>
    <w:p>
      <w:pPr>
        <w:pStyle w:val="Heading2"/>
      </w:pPr>
      <w:r>
        <w:t xml:space="preserve">Qué tiene que pasar para que la tesis funcione</w:t>
      </w:r>
    </w:p>
    <w:p>
      <w:pPr>
        <w:spacing w:after="100"/>
      </w:pPr>
      <w:r>
        <w:t xml:space="preserve">La tesis depende de que el crecimiento orgánico se mantenga en el 5-6 % con el nuevo perímetro. La señal de que no se cumple sería un orgánico por debajo del 4 % en el 3T26 (21 de octubre) o en el 4T26, o una guía de 2027 sin mejora de margen. La segunda condición es la disciplina en compras: una operación grande por encima de 15 veces el EBITDA cambiaría la lectura.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 15,5 %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mejora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expansión de 150 pb que proyectamos.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 compras caras o recompras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Wendel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 del capital; 34,6 % de los votos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vendedora y cambio de control.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deterioro del circulante o de la calidad del beneficio.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Bureau Veritas nació en Amberes en 1828 como registro de clasificación de buques y se trasladó a París. Durante el siglo XX pasó de la clasificación naval a la inspección de construcción e industria. Wendel entró en el capital en 1995 y lo controló hasta su salida a bolsa en París en 2007; desde 2024 ha ido reduciendo su participación con colocaciones y una venta a plazo. En 2023 Hinda Gharbi sustituyó a Didier Michaud-Daniel como consejera delegada [31] y en 2024 lanzó el plan LEAP | 28, que rota la cartera hacia infraestructuras, energía, transición y servicios digitales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Amberes como registro de información marítima (clasificación de buques).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Wendel, primer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Hinda Gharbi, consejera delegada; Laurent Mignon, presidente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LEAP | 28; Wendel vende un 9 % y la empresa recompra 100 M EUR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EUR (1,5 % del capital) y nueve compras pequeñas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pactada de petróleo, petroquímica y carbón (≈450 M EUR de ingresos con Gobiernos); día del inversor con objetivo de crecimiento de dos dígitos en 2027-2028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Bureau Veritas ensaya, inspecciona y certifica activos, productos, materias primas y sistemas de gestión para clientes industriales, constructoras, navieras, comercializadoras de materias primas, marcas de consumo y administraciones. Factura 6.466,4 M EUR (2025) [1] con seis negocios: Marina y Offshore (clasificación de buques), Agroalimentario y Materias primas, Industria (inspección de plantas, energía y petróleo), Edificios e Infraestructuras, Certificación y Productos de consumo. En el 1T26 crecieron de forma orgánica un 11,2 % Marina, un 7,3 % Edificios, un 2,1 % Agroalimentario y Materias primas y un 0,7 % Industria [10]. En 2026 acordó vender las actividades de ensayo de petróleo, petroquímica y carbón, y estudia salir de los Servicios a Gobiernos: unos 450 M EUR de ingresos de 2025 en conjunto [2]; ha comprado cinco empresas con unos 138 M EUR de ingresos anuales [2].</w:t>
      </w:r>
    </w:p>
    <w:p>
      <w:pPr>
        <w:pStyle w:val="Heading2"/>
      </w:pPr>
      <w:r>
        <w:t xml:space="preserve">Cómo gana dinero</w:t>
      </w:r>
    </w:p>
    <w:p>
      <w:pPr>
        <w:spacing w:after="100"/>
      </w:pPr>
      <w:r>
        <w:t xml:space="preserve">Cobra por servicio (inspección, ensayo, auditoría, certificado) con precios por día-hombre o por muestra; buena parte es recurrente porque la exigen normas, aseguradoras o contratos de clasificación. El margen depende de la ocupación de los técnicos y de los laboratorios y del precio: el margen operativo ajustado subió del 16,0 % en 2024 al 16,3 % en 2025 [1, 3] y al 15,5 % en el 1S26 (+15 pb; +29 pb a tipo constante) [2]; el segundo semestre es estacionalmente más rentable. La conversión en caja es alta: flujo libre de 824,2 M EUR en 2025, un 107 % de conversión [1]. El tipo de cambio pesa: en el 1T26 restó un 5,2 % a los ingresos [10].</w:t>
      </w:r>
    </w:p>
    <w:p>
      <w:pPr>
        <w:pStyle w:val="Heading2"/>
      </w:pPr>
      <w:r>
        <w:t xml:space="preserve">Clientes, recurrencia y poder de precios</w:t>
      </w:r>
    </w:p>
    <w:p>
      <w:pPr>
        <w:spacing w:after="100"/>
      </w:pPr>
      <w:r>
        <w:t xml:space="preserve">No se ha podido leer la concentración de clientes en esta sesión (sin acceso al documento de registro). La empresa no depende de un cliente: trabaja para miles de clientes en 140 países. Poder de precios: el margen ajustado mejoró 32 pb en 2025 con un 6,5 % de crecimiento orgánico [1] y 115 pb entre 2023 y 2026e según la propia empresa en su día del inversor [19].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n.d. en esta sesión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6,5 %; 1S26: 5,0 % (2T26: 5,5 %)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 leve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en julio a «media a alta de un dígito» tras recortarla en abril [1,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pb (2025); +15 pb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ajustado de 1.052,9 M EUR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(+3,9 %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107 % en 2025 y del 114 % en 2024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 ajustada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(dic-25); 1,45x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 por el dividendo adelantado al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objetivo endurecido a 1,5-2,0x en septiembre de 2026 [2, B4].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EUR (2025); 0,68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(+9,2 %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tipo de cambio se comió dos tercios del crecimiento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ensayos, inspección y certificación (TIC) subcontratado a terceros. El mercado total, incluido el que hacen las propias empresas, se estima en 257-280 miles de millones de USD en 2025 según la consultora [24, 25]; la propia Bureau Veritas habla de más de 200.000 M EUR, de los que solo la mitad se subcontrata [23]. Usamos el subcontratado, que SGS cifraba en 160.000 M USD en 2023 y 190.000 M USD en 2027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160.000 M USD subcontratados en 2023; ≈ 190.000 M USD en 2027e (SGS, citado en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es de millones de USD (mercado subcontrata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energía y redes eléctricas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cita la mayor inversión en energía y en infraestructuras digitales como motor de 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exigencias de cumplimiento (ESG, ciberseguridad,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1.000 M EUR de ingresos ligados a la IA en 2030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Agroalimentario y Materias primas creció un 2,1 % orgánico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industrial y petróleo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servicios de mantenimiento en Oriente Medio; Industria +0,7 %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Construcción naval y flota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Marina y Offshore +11,2 % orgánico en el 1T26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mayores suman unos 44.000 M USD de ingresos, una parte pequeña del mercado [23]: compiten en precio en servicios sencillos, menos en clasificación y certificación acreditada.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del servicio es pequeño frente al riesgo que cubre; el margen ajustado de BV subió 32 pb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insumo son técnicos cualificados; la inflación salarial presiona el margen.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red mundial y reputación; las entradas recientes son de capital privado comprando a cotizadas (Applus en 2024, Intertek en 2026) [28,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inspección interna y los sensores sustituyen parte del trabajo; la IA puede automatizar ensayos sencillos.</w:t>
            </w:r>
          </w:p>
        </w:tc>
      </w:tr>
    </w:tbl>
    <w:p>
      <w:pPr>
        <w:spacing w:after="160" w:before="0"/>
      </w:pPr>
    </w:p>
    <w:p>
      <w:pPr>
        <w:pStyle w:val="Heading2"/>
      </w:pPr>
      <w:r>
        <w:t xml:space="preserve">Ciclo</w:t>
      </w:r>
    </w:p>
    <w:p>
      <w:pPr>
        <w:spacing w:after="100"/>
      </w:pPr>
      <w:r>
        <w:t xml:space="preserve">El crecimiento orgánico de los grandes del sector está en el 4-6 %: 5,6 % en SGS en 2025 y 5,6 % en el 1S26 [26, 27], 3,7 % en Eurofins [27] y 6,5 % en BV [1]. El sector aguantó 2008-09 mejor que la industria por la parte regulada, pero en 2020 los ingresos de BV cayeron con los cierres y en 2015-16 sufrió con el petróleo. La exposición a petróleo y materias primas es la parte cíclica; la venta de esos negocios la reduce.</w:t>
      </w:r>
    </w:p>
    <w:p>
      <w:pPr>
        <w:pStyle w:val="Heading2"/>
      </w:pPr>
      <w:r>
        <w:t xml:space="preserve">Regulación</w:t>
      </w:r>
    </w:p>
    <w:p>
      <w:pPr>
        <w:spacing w:after="100"/>
      </w:pPr>
      <w:r>
        <w:t xml:space="preserve">La demanda depende de normas de seguridad, construcción, productos y medio ambiente y de los requisitos de informes de sostenibilidad en Europa. La directiva de informes de sostenibilidad (CSRD) y la normativa europea de IA amplían la verificación por terceros; sus aplazamientos de 2025 restan algo de demanda a corto plazo. En Francia, la contribución excepcional sobre el beneficio de las grandes empresas elevó el tipo impositivo ajustado de BV al 29,2 % en 2025 [12].</w:t>
      </w:r>
    </w:p>
    <w:p>
      <w:pPr>
        <w:pStyle w:val="Heading2"/>
      </w:pPr>
      <w:r>
        <w:t xml:space="preserve">Tendencias y disrupción</w:t>
      </w:r>
    </w:p>
    <w:p>
      <w:pPr>
        <w:spacing w:after="100"/>
      </w:pPr>
      <w:r>
        <w:t xml:space="preserve">Consolidación por capital privado (Applus por TDR e I Squared en 2024 [33]; Intertek por EQT en 2026, con una prima del 62 % [28]), digitalización de la inspección (drones, sensores, IA) y nuevos mercados de ciberseguridad, IA y transición energética, que BV quiere convertir en 1.000 M EUR de ingresos en 2030 [19]. BV gana si mantiene precio en los servicios nuevos; pierde si la automatización abarata la inspección rutinaria.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TIC mundial con SGS y Eurofins (este, centrado en laboratorios); primero en clasificación de buques fuera de las sociedades nacionales y en inspección de construcción en Francia (sin cifra de cuota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6.945 M CHF en 2025, 5,6 % orgánico y margen operativo ajustado del 16,0 % [27]; en el 1S26, 5,6 % orgánico y 15,1 % de margen [26]. Convertido a 0,9218 CHF/EUR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de alimentos, medio ambiente y farmacia: 7.296 M EUR en 2025, 3,7 % orgánico y margen EBITDA ajustado del 22,5 %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3.400 M GBP en 2025, +4,3 % a tipo constante, margen operativo del 18,1 % [27]; comprada por EQT en 2026 [28]. Convertido a 0,86253 GBP/EUR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en 2024 por TDR e I Squared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certificado de BV vale más cuanto más lo aceptan clientes y reguladores, pero no hay efecto de red fuerte.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sociedad de clasificación o de certificador exige nuevas auditorías; la conversión de caja &gt;100 % y el margen estable apuntan a clientes fieles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en 140 países y una marca de casi 200 años; es lo que se vende.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16,3 % frente al 16,0 % de SGS y el 18,1 % de Intertek [9, 6]: sin ventaja clara.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mundial de laboratorios y técnicos que un nuevo competidor no puede replicar; el capital privado entra comprando, no construyendo [7, 12].</w:t>
            </w:r>
          </w:p>
        </w:tc>
      </w:tr>
    </w:tbl>
    <w:p>
      <w:pPr>
        <w:spacing w:after="160" w:before="0"/>
      </w:pPr>
    </w:p>
    <w:p>
      <w:pPr>
        <w:pStyle w:val="Heading2"/>
      </w:pPr>
      <w:r>
        <w:t xml:space="preserve">Amenazas</w:t>
      </w:r>
    </w:p>
    <w:p>
      <w:pPr>
        <w:spacing w:after="100"/>
      </w:pPr>
      <w:r>
        <w:t xml:space="preserve">La automatización (sensores, drones, IA) puede abaratar la inspección rutinaria y bajar precios; los fondos que compraron Applus e Intertek pueden competir en precio para ganar cuota antes de vender; y un incidente de reputación (la provisión de 32 M EUR por incumplimientos de abril de 2026 lo recuerda) daña lo único que vende la empresa. Probabilidad media en el primer caso y baja en los otros.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6,7 %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pasaron de 4.981,0 M EUR en 2021 a 6.466,4 M EUR en 2025 [1, 7]. El crecimiento orgánico fue alto (8,5 % en 2023 [4] y 6,5 % en 2025 [1]), pero el euro fuerte lo recortó: en 2025 los ingresos subieron un 7,3 % a tipo constante y solo un 3,6 % en euros [1]. El beneficio operativo publicado subió de 824,4 M EUR (2023) a 992,4 M EUR (2025) [1, 4]; el ajustado, de 930,2 M EUR a 1.052,9 M EUR, con el margen del 15,9 % al 16,3 % [1, 3]. El beneficio atribuido creció de 420,9 M EUR (2021) a 588,0 M EUR (2025) [1, 7]. En el 1S26 los ingresos crecieron un 2,1 % (5,0 % orgánico) y el beneficio atribuido cayó un 26,2 %, hasta 237,9 M EUR, por partidas no recurrentes (salida de negocios y una provisión de 32 M EUR por incumplimientos detectados en abril) [2, 12]. El EBITDA que usamos es el beneficio operativo publicado más las amortizaciones totales [7, 13]; para 2021-2022 no se pudieron leer las líneas intermedias.</w:t>
      </w:r>
    </w:p>
    <w:p>
      <w:pPr>
        <w:pStyle w:val="Heading2"/>
      </w:pPr>
      <w:r>
        <w:t xml:space="preserve">Ajustes y partidas no recurrentes</w:t>
      </w:r>
    </w:p>
    <w:p>
      <w:pPr>
        <w:spacing w:after="100"/>
      </w:pPr>
      <w:r>
        <w:t xml:space="preserve">La empresa da cifras ajustadas que excluyen la amortización de intangibles de adquisiciones y otras partidas (reestructuración, resultados de ventas de negocios): beneficio operativo ajustado de 1.052,9 M EUR frente a 992,4 M EUR publicado en 2025 (60,5 M EUR de diferencia), y BPA ajustado de 1,42 EUR frente a 1,32 EUR [1]. En 2024 la diferencia fue de 62,8 M EUR (996,2 frente a 933,4) [3]. Se repite todos los años, así que no la tratamos como no recurrente en el EBITDA; el BPA ajustado es la base del PER histórico y del objetivo a 12 meses. El LTM a junio de 2026 es estimación propia: EBITDA de 2025 escalado con el beneficio operativo ajustado LTM (1.068,1 M EUR) y beneficio neto 2025 − 1S25 + 1S26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abril (1T26: ingresos de 1.547,0 M EUR, −0,8 % publicado y +4,5 % orgánico) la dirección recortó la guía de crecimiento orgánico de 2026 de «media a alta de un dígito» a «media de un dígito», por la incertidumbre geopolítica, los retrasos en servicios de mantenimiento industrial en Oriente Medio y la revisión de una posible salida de los Servicios a Gobiernos tras rescindir contratos en Oriente Medio y África [10]; la acción cayó más de un 12 % ese día [20]. En julio el discurso cambió: el 2T26 aceleró al 5,5 % orgánico, el margen subió 15 pb y la guía volvió a «media a alta de un dígito» para el nuevo perímetro, sin los negocios en venta [2, 12]; la acción subió en torno a un 7 % [12]. Los analistas preguntaron por la provisión de 32 M EUR por incumplimientos y por la debilidad de Certificación [12]. El BPA ajustado del semestre (0,68 EUR) superó lo esperado según la prensa francesa [21]. Los ingresos de 1S25 y 2S25 son derivados (1S26 ÷ 1,021 y año − semestre).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bruta subió de 2.111 M EUR (2023) a 2.620 M EUR (2025) y la caja de 1.174 a 1.366 M EUR [8]: la deuda neta ajustada pasó de 936,2 M EUR a 1.253,3 M EUR [1, 3] por las recompras (100 M EUR en 2024 y 200 M EUR en 2025) [1, 22] y las compras. El patrimonio total de 2025 (1.750 M EUR) es de un agregador y no lo hemos podido cuadrar con las cuentas: parece reflejar la caída del dólar y de las divisas emergentes contra el euro, además de dividendos y recompras [16]. El pasivo total es el activo menos el patrimonio (estimación). Con 1,45x en junio y un nuevo rango de 1,5-2,0x, la empresa se da margen para comprar o recomprar más.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3.754</w:t>
      </w:r>
      <w:r>
        <w:t xml:space="preserve">, conversión </w:t>
      </w:r>
      <w:r>
        <w:rPr>
          <w:b/>
          <w:bCs/>
        </w:rPr>
        <w:t xml:space="preserve">147 %</w:t>
      </w:r>
      <w:r>
        <w:t xml:space="preserve"> del beneficio neto; adquisiciones 0, dividendos 0, recompras 300.</w:t>
      </w:r>
    </w:p>
    <w:p>
      <w:pPr>
        <w:spacing w:after="100"/>
      </w:pPr>
      <w:r>
        <w:t xml:space="preserve">El flujo de explotación pasó de 790,7 M EUR (2021) a 1.010 M EUR (2025) y el capex se mantuvo en 121-158 M EUR, un 2,3-2,7 % de las ventas [9]. El flujo libre de la empresa (explotación menos capex e intereses) fue de 659,1 M EUR en 2023, 843,3 M EUR en 2024 y 824,2 M EUR en 2025, con conversiones del beneficio operativo ajustado del 114 % y del 107 % en los dos últimos años [1, 3]. Esa cifra no resta el principal de los arrendamientos (en financiación): con 465,6 M EUR de pasivos por arrendamiento [8], el flujo libre «económico» es menor; no hemos podido leer el pago anual. En el 1S26 el flujo de explotación fue de 241,3 M EUR y el libre de 157,7 M EUR (−6,1 %, +3,2 % orgánico) [2]: el primer semestre es estacionalmente débil. El capex parece casi todo de mantenimiento (por debajo de la amortización de inmovilizado y software); el crecimiento sale de la ocupación y de las compras pequeñas.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ni las notas del documento de registro de 2025 (sin acceso a la web de la empresa ni a la AMF en esta sesión). Lo que se ve desde fuera: la diferencia entre beneficio operativo publicado y ajustado es estable (60-63 M EUR al año) [1, 3]; la conversión de beneficio en caja supera el 100 % [1]; y en el 1S26 hubo dos partidas no recurrentes relevantes: la provisión de 32 M EUR por incumplimientos y las pérdidas ligadas a la salida de negocios, que hunden el beneficio atribuido un 26,2 % [2, 12]. Los indicadores de Altman, Piotroski y Beneish salen con un balance incompleto (sin circulante ni reservas) y no deben leerse.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32 M EUR por incumplimientos detectados (abril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control interno en un negocio que vende confianza; la dirección no dio detalle del origen en la conferencia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de 2025 sin verificar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Cae a 1.750 M EUR desde 2.036 M EUR en un año con beneficio de 610 M EUR; cuadra con dividendo, recompra y diferencias de conversión, pero no lo hemos visto en las cuentas [14, 16].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7,6 %.</w:t>
      </w:r>
    </w:p>
    <w:p>
      <w:pPr>
        <w:spacing w:after="100"/>
      </w:pPr>
      <w:r>
        <w:t xml:space="preserve">Bureau Veritas crea valor: ROIC del 19,3 % en 2025 (NOPAT de 691 M EUR sobre un capital invertido de 3.588 M EUR) frente a un WACC del 7,62 %, 11,7 puntos más. El dato descansa en un patrimonio de 2025 que no hemos podido verificar (1.750 M EUR, de un agregador) [16]; con el de 2024 (2.036 M EUR) [14], el ROIC bajaría a ≈18 %. Fintel da un ROIC del 11 % para 2024 con otra definición (sobre deuda bruta y patrimonio) [63]; incluso con esa cifra la empresa cubre su coste de capital. El ROIC sale sobre todo del margen (beneficio operativo del 15,3 % de las ventas), con una rotación del activo de 0,91 veces por el fondo de comercio de las compras; el ROIC incremental de 7,7 % refleja las compras pagadas con fondo de comercio y el euro fuerte. Intertek opera con un margen superior (18,1 %)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942,1 M EUR y líneas de crédito comprometidas no dispuestas de 600 M EUR a 30-jun-26; sin vencimientos relevantes antes de 2027 [2,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Deuda financiera bruta de 2.619,9 M EUR a dic-25 (2.390 a largo y 229,9 a corto) y pasivos por arrendamiento de 465,6 M EUR (347,6 + 118,0) [8]. La deuda financiera neta ajustada fue de 1.253,3 M EUR a dic-25 (1,1x EBITDA) y de 1.688,6 M EUR a jun-26 (1,45x) por el pago del dividendo en el 2T en vez del 3T [1, 2]. Coste medio de la deuda estimado en un 3,5 % (gastos por intereses de 87,8 M EUR sobre la deuda bruta media de 2024-2025) [7, 8]. En abril de 2026 la empresa dotó una provisión de 32 M EUR por incumplimientos detectados [12]. No se pudieron leer en esta sesión las pensiones, las garantías ni los pagos aplazados de adquisiciones.</w:t>
      </w:r>
    </w:p>
    <w:p>
      <w:pPr>
        <w:pStyle w:val="Heading1"/>
      </w:pPr>
      <w:r>
        <w:t xml:space="preserve">12. Asignación de capital</w:t>
      </w:r>
    </w:p>
    <w:p>
      <w:pPr>
        <w:pStyle w:val="Confianza"/>
        <w:spacing w:after="100"/>
      </w:pPr>
      <w:r>
        <w:t xml:space="preserve">Confianza: Media</w:t>
      </w:r>
    </w:p>
    <w:p>
      <w:pPr>
        <w:spacing w:after="100"/>
      </w:pPr>
      <w:r>
        <w:t xml:space="preserve">Reparte el 65 % del beneficio neto ajustado: 0,92 EUR por acción con cargo a 2025, pagado en mayo de 2026 [1, 21]. Recompras de 100 M EUR en 2024 (a Wendel, en su colocación) [22], de 200 M EUR en 2025 (6,7 millones de acciones, un 1,5 % del capital) [1] y una nueva de 200 M EUR anunciada en febrero de 2026, hasta febrero de 2027 [1]. Prioridades: compras pequeñas dentro de LEAP | 28 y salidas de negocios no estratégicos; en septiembre de 2026 endureció el rango de deuda neta / EBITDA a 1,5-2,0x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compras pequeñas (≈74 M EUR de ingresos anuales)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sin deterioros publicados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compras pequeñas y dos ventas de negocios no estratégicos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rotación de cartera de LEAP | 28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compras (≈138 M EUR de ingresos anuales) y venta pactada de petróleo, petroquímica y carbón (≈450 M EUR de ingresos con Servicios a Gobiernos)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importes no publicados en lo leído [2].</w:t>
            </w:r>
          </w:p>
        </w:tc>
      </w:tr>
    </w:tbl>
    <w:p>
      <w:pPr>
        <w:spacing w:after="160" w:before="0"/>
      </w:pPr>
    </w:p>
    <w:p>
      <w:pPr>
        <w:spacing w:after="100"/>
      </w:pPr>
      <w:r>
        <w:t xml:space="preserve">La dirección reparte casi todo lo que genera: dividendo del 65 % del beneficio ajustado (0,92 EUR, un 3,5 % de rentabilidad) y recompras de 100-200 M EUR al año desde 2024 [1, 22], con la deuda neta en 1,1-1,45 veces el EBITDA [1, 2]. El nuevo rango de 1,5-2,0 veces [19] deja ≈600-1.200 M EUR de capacidad para compras o recompras. La rotación de cartera tiene sentido (vende ≈450 M EUR de ingresos ligados al petróleo, el carbón y contratos de Gobiernos, compra 138 M EUR en sectores con más crecimiento) [2], pero los importes no se han publicado en lo leído y el ROIC incremental (7,7 %) es más bajo que el medio. Veredicto: buena asignadora en dividendos y recompras; en compras, sin datos suficientes para juzgar.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como directora de operaciones en mayo de 2022 y sustituyó a Didier Michaud-Daniel en junio de 2023 [31, 34]. Lanzó LEAP | 28 en 2024; desde entonces el margen ajustado subió del 15,9 % (2023) al 16,3 %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Chabas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presentó los resultados del 3T25 y del 1S26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por unanimidad en junio de 2023 en sustitución de Aldo Cardoso [35]; presidió la junta del 19-may-2026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Lebard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Designado vicepresidente y consejero coordinador en junio de 2023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 un dígito, margen ajustado estable y conversión de caja &gt;90 %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8,5 % y BPA récord de 1,27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a alto de un dígito, mejora del margen ajustado y fuerte generación de caja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orgánico, margen +32 pb hasta el 16,3 %, conversión del 107 %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a alto de un dígito (febrero), rebajado a medio de un dígito (abril) y vuelto a elevar a medio-alto para el nuevo perímetro (julio) [2,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5,0 % orgánico y margen +15 pb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desde junio de 2023 (consejera delegada y presidente), con un plan propio (LEAP | 28) que de momento cumple en crecimiento y margen [1]. La credibilidad sufrió en abril de 2026: la guía se rebajó dos meses después de darla y se descubrió una provisión de 32 M EUR por incumplimientos [10, 12]; en julio se recuperó con un 2T mejor. No hemos podido leer el plan de sucesión ni las participaciones de los directivos (sin acceso al documento de registro).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Pascal Lebard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Wendel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≈35 % en 2023: colocación del 9 % en abril de 2024 (con recompra de 100 M EUR por la empresa) [32], venta a plazo prepagada de 30,36 millones de acciones con liquidación el 17-mar-2028 [38] y colocación de ≈23 millones en septiembre de 2025 [40]. Conserva el 34,6 % de los derechos de voto por el voto doble; descontando autocartera y la venta a plazo, su capital económico es del 15,02 %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19-may-2026 aprobó todas las resoluciones, incluidas la remuneración de 2025 de la consejera delegada y su política para 2026 [36, 41], pero no hemos podido leer los porcentajes de voto ni las métricas del variable (documento de registro no accesible).</w:t>
      </w:r>
    </w:p>
    <w:p>
      <w:pPr>
        <w:pStyle w:val="Heading2"/>
      </w:pPr>
      <w:r>
        <w:t xml:space="preserve">Operaciones vinculadas, estructura de control y defensas</w:t>
      </w:r>
    </w:p>
    <w:p>
      <w:pPr>
        <w:spacing w:after="100"/>
      </w:pPr>
      <w:r>
        <w:t xml:space="preserve">Wendel tiene el 21,4 % del capital y el 34,6 % de los votos gracias al derecho de voto doble francés para acciones nominativas con más de dos años [37]: en una junta con asistencia normal decide de hecho. Hasta marzo de 2028 conserva el voto de las 30,36 millones de acciones vendidas a plazo a BNP Paribas [38]; su interés económico real es del 15,02 % [37], lo que separa voto e interés. El presidente, Laurent Mignon, fue propuesto en 2023 con el apoyo de Wendel (lo clasificamos como dominical; no hemos podido comprobar en esta sesión su cargo en Wendel). En abril de 2024 la empresa recompró acciones a Wendel por 100 M EUR al precio de la colocación [32]: operación con un accionista significativo, a precio de mercado.</w:t>
      </w:r>
    </w:p>
    <w:p>
      <w:pPr>
        <w:pStyle w:val="Heading2"/>
      </w:pPr>
      <w:r>
        <w:t xml:space="preserve">Señales de alerta</w:t>
      </w:r>
    </w:p>
    <w:p>
      <w:pPr>
        <w:pStyle w:val="ListParagraph"/>
        <w:numPr>
          <w:ilvl w:val="0"/>
          <w:numId w:val="2"/>
        </w:numPr>
        <w:spacing w:after="60"/>
      </w:pPr>
      <w:r>
        <w:t xml:space="preserve">Separación entre voto (34,6 %) e interés económico (15,02 %) de Wendel hasta 2028 [37, 38].</w:t>
      </w:r>
    </w:p>
    <w:p>
      <w:pPr>
        <w:pStyle w:val="ListParagraph"/>
        <w:numPr>
          <w:ilvl w:val="0"/>
          <w:numId w:val="2"/>
        </w:numPr>
        <w:spacing w:after="60"/>
      </w:pPr>
      <w:r>
        <w:t xml:space="preserve">Provisión de 32 M EUR por incumplimientos detectados en abril de 2026 [12].</w:t>
      </w:r>
    </w:p>
    <w:p>
      <w:pPr>
        <w:pStyle w:val="ListParagraph"/>
        <w:numPr>
          <w:ilvl w:val="0"/>
          <w:numId w:val="2"/>
        </w:numPr>
        <w:spacing w:after="60"/>
      </w:pPr>
      <w:r>
        <w:t xml:space="preserve">Recompra de acciones a Wendel por 100 M EUR en abril de 2024 [32].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crecimiento orgánico «medio a alto de un dígito» para el nuevo perímetro (sin los negocios en venta), mejora del margen operativo ajustado a tipo constante y fuerte generación de caja; elevada el 28-jul-2026 tras rebajarla el 21-abr [2]. Día del inversor del 22-sep-2026: crecimiento total de los ingresos de dos dígitos a tipo constante en 2027-2028 (antes, alto de un dígito), con compras incluidas, deuda neta / EBITDA en un rango de 1,5-2,0x y 1.000 M EUR de ingresos ligados a la IA en 2030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MarketScreener [45]; BPA ajustado: consenso de la empresa, 15 analistas, 1-jul-2026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[44, 45]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[44, 45]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 – 38,50</w:t>
            </w:r>
          </w:p>
        </w:tc>
      </w:tr>
    </w:tbl>
    <w:p>
      <w:pPr>
        <w:spacing w:after="160" w:before="0"/>
      </w:pPr>
    </w:p>
    <w:p>
      <w:pPr>
        <w:pStyle w:val="Heading2"/>
      </w:pPr>
      <w:r>
        <w:t xml:space="preserve">Revisiones de estimaciones</w:t>
      </w:r>
    </w:p>
    <w:p>
      <w:pPr>
        <w:spacing w:after="100"/>
      </w:pPr>
      <w:r>
        <w:t xml:space="preserve">El consenso de la empresa (1-jul-2026) da ingresos de 6.760, 7.250 y 7.680 M EUR para 2026-2028 y BPA ajustado de 1,54, 1,69 y 1,82 EUR [44]; MarketScreener, ingresos algo menores (6.714, 7.115 y 7.492 M EUR) y un BPA de 1,43, 1,56 y 1,68 EUR que parece en otra base [45]. Tras la rebaja de abril, Citi bajó su objetivo de 32,60 a 26,95 EUR y JPMorgan de 30 a 29 EUR; tras el 1S26 los objetivos subieron [20, 21]. El objetivo medio ronda 32-32,4 EUR (TradersUnion, septiembre; mediana de 32,25 EUR en Idéal Investisseur) [46, 54]. Las recomendaciones son de TipRanks sobre la línea estadounidense (6 comprar, 3 mantener) [47]. Ninguna fuente gratuita da todavía estimaciones posteriores al día del inversor; es probable que el consenso no recoja aún la venta de ≈450 M EUR de ingresos.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60" w:before="0"/>
      </w:pPr>
    </w:p>
    <w:p>
      <w:pPr>
        <w:spacing w:after="100"/>
      </w:pPr>
      <w:r>
        <w:t xml:space="preserve">La acción vale 26,15 EUR (8-oct-2026) [42], cerca del mínimo de 52 semanas (24,58 EUR) y lejos del máximo (30,18 EUR) [21]. El 22-abr-2026 cayó más de un 12 % al rebajar la guía y perdió el soporte de 25,4 EUR [20]; tras el 1S26 subió en torno a un 7 % [12] y volvió a ceder después del día del inversor, pese a elevar los objetivos de 2027-2028. Las rentabilidades anuales son de precio, calculadas con la capitalización al cierre de cada ejercicio [42] dividida por las acciones medias; no hemos podido descargar la serie diaria (Yahoo no accesible), así que faltan beta, volatilidad, caída máxima y las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Al cierre de cada año, el PER sobre BPA ajustado fue de 27,3x (2021), 20,9x (2022), 18,0x (2023), 21,2x (2024) y 19,1x (2025): mediana de 20,9 veces. Hoy cotiza a 16,6 veces nuestro BPA ajustado de 2027e y a 15,8 veces el consenso de los próximos 12 meses: un 20-25 % por debajo de su mediana. No vemos un cambio estructural que lo justifique (el crecimiento y el margen son mejores que en 2022-2023); sí un cambio de percepción tras la rebaja de la guía de abril y la presión vendedora de Wendel.</w:t>
      </w:r>
    </w:p>
    <w:p>
      <w:pPr>
        <w:pStyle w:val="Heading1"/>
      </w:pPr>
      <w:r>
        <w:t xml:space="preserve">18. Comparables cotizados</w:t>
      </w:r>
    </w:p>
    <w:p>
      <w:pPr>
        <w:pStyle w:val="Confianza"/>
        <w:spacing w:after="100"/>
      </w:pPr>
      <w:r>
        <w:t xml:space="preserve">Confianza: Baja</w:t>
      </w:r>
    </w:p>
    <w:p>
      <w:pPr>
        <w:spacing w:after="100"/>
      </w:pPr>
      <w:r>
        <w:t xml:space="preserve">Grandes cotizadas de ensayos, inspección y certificación con presencia mundial: SGS (el comparable más directo), Intertek (cotiza al precio de la OPA de EQT, aprobada por sus accionistas), Eurofins (laboratorios, con más peso de farmacia y alimentos) y ALS (laboratorios de minería y medio ambiente, ejercicio a marzo). No hay más cotizadas de tamaño parecido: Applus salió de bolsa en 2024 [33] y TÜV, DEKRA o Element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Bureau Veritas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056"/>
        <w:gridCol w:w="1188"/>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 / 23,1x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Los cuatro comparables cotizan a un PER de los próximos 12 meses de 18,6-25,4 veces (mediana 23,2x); Bureau Veritas, a 15,8 veces el BPA del consenso. El descuento (≈32 %) es difícil de justificar por fundamentales: su crecimiento orgánico de 2025 (6,5 %) supera al de SGS (5,6 %) y Eurofins (3,7 %) [27] y su margen es parecido al de SGS. Lo explican la exposición a petróleo y materias primas que ahora vende, el derecho de voto doble y las ventas de Wendel, y la menor rentabilidad que Intertek. El PER de Intertek (23,2x) es el de la OPA y el de ALS el de un negocio minero; sin ellos, la mediana sería de ≈21 veces. Usamos el PER con un peso del 25 %: el valor implícito (36,43-39,38 EUR) es el techo de la valoración, no el centro.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Intertek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(Isotope Bidco)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GBP por acción más el dividendo final (61,08 GBP); valor de empresa de ≈10.900 M GBP sobre ingresos de 3.400 M GBP en 2025 (EV/ventas calculado); prima sobre el precio del 9-abr-2026 [28]. Convertido a 0,86253 GBP/EUR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Applus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ganada a 12,78 EUR por acción tras una subasta con Apollo; ingresos de 2.058 M EUR en 2023 [33]. Sin valor de empresa ni EBITDA en lo leído.</w:t>
            </w:r>
          </w:p>
        </w:tc>
      </w:tr>
    </w:tbl>
    <w:p>
      <w:pPr>
        <w:spacing w:after="160" w:before="0"/>
      </w:pPr>
    </w:p>
    <w:p>
      <w:pPr>
        <w:spacing w:after="160" w:before="0"/>
      </w:pPr>
    </w:p>
    <w:p>
      <w:pPr>
        <w:spacing w:after="100"/>
      </w:pPr>
      <w:r>
        <w:t xml:space="preserve">EQT pagó por Intertek 3,2 veces sus ventas y una prima del 62 % sobre el precio previo a la oferta [28]; TDR e I Squared ganaron la subasta por Applus en 2024 [33]. A 2,2 veces las ventas (valor de empresa de 14.178 M EUR), Bureau Veritas cotiza muy por debajo de esa referencia. Con Wendel vendiendo y un capital disperso, una oferta no es imposible, pero el voto doble de Wendel hasta 2028 y el tamaño (más de 14.000 M EUR) la complican; no la incluimos en el caso base y las transacciones pesan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(6.466,4 M EUR) [1]. 2026e, fijo, +3,0 %: 5-6 % orgánico (5,0 % en el 1S26 y guía «media a alta de un dígito») [2], unos −4,5 puntos de divisa (−5,2 % en el 1T26) [10] y +1,5-2 puntos de las cinco compras del año [2]. 2027e, +1,0 %: un 5,7 % orgánico menos 4,7 puntos por la venta de ≈450 M EUR de ingresos (petróleo, petroquímica, carbón y Gobiernos) neta de los 138 M EUR comprados [2]. Después, 6,0 % en 2028e bajando al 3,0 % en 2033e, por debajo del 6,5-8,5 % orgánico de 2023-2025 [1, 4]. No proyectamos compras futuras: el «dos dígitos» del día del inversor las incluye [19] y suponemos que se pagan a su valor. El consenso de ingresos de 2027e (7.115-7.250 M EUR) [44, 45] no parece descontar la venta.</w:t>
      </w:r>
    </w:p>
    <w:p>
      <w:pPr>
        <w:keepNext/>
        <w:spacing w:after="100"/>
      </w:pPr>
      <w:r>
        <w:rPr>
          <w:b/>
          <w:bCs/>
        </w:rPr>
        <w:t xml:space="preserve">Márgenes.</w:t>
      </w:r>
    </w:p>
    <w:p>
      <w:pPr>
        <w:spacing w:after="100"/>
      </w:pPr>
      <w:r>
        <w:t xml:space="preserve">Margen EBITDA (beneficio operativo publicado más amortizaciones) del 20,0 % en 2025 [1, 7], que subimos al 20,3 % en 2026e (margen ajustado +15 pb en el 1S26) [2], al 20,8 % en 2027e por la salida de negocios de margen bajo y al 21,5 % en 2030e. Equivale a pasar de un margen operativo ajustado del 16,3 % a ≈17,8 %: 150 pb en cinco años, al ritmo de los 115 pb de 2023-2026e [19]. Intertek ya opera al 18,1 % [27] y SGS al 16,0 % [27]. El consenso de EBITDA de 2027e (1.452 M EUR, 20,4 %) [45] queda cerca.</w:t>
      </w:r>
    </w:p>
    <w:p>
      <w:pPr>
        <w:keepNext/>
        <w:spacing w:after="100"/>
      </w:pPr>
      <w:r>
        <w:rPr>
          <w:b/>
          <w:bCs/>
        </w:rPr>
        <w:t xml:space="preserve">Inversión y circulante.</w:t>
      </w:r>
    </w:p>
    <w:p>
      <w:pPr>
        <w:spacing w:after="100"/>
      </w:pPr>
      <w:r>
        <w:t xml:space="preserve">El capex del estado de flujos fue del 2,3-2,7 % de las ventas en 2021-2025 [9]. Como los pasivos por arrendamiento (465,6 M EUR) [8] van en el puente y el EBITDA no carga los alquileres, sumamos al capex una estimación de las altas de derechos de uso: ≈1,5 % de las ventas (estimación propia: amortización total sin intangibles de adquisiciones menos capex de caja). Capex del 3,8 % en 2026-27 y del 4,2-4,3 % después, con 0,3 puntos más por el circulante de los años de crecimiento (no hemos podido leer el circulante; el modelo lo deja a cero). Amortización del 4,6 % (2025) [7] que baja al 4,0 % al agotarse la de intangibles comprados.</w:t>
      </w:r>
    </w:p>
    <w:p>
      <w:pPr>
        <w:keepNext/>
        <w:spacing w:after="100"/>
      </w:pPr>
      <w:r>
        <w:rPr>
          <w:b/>
          <w:bCs/>
        </w:rPr>
        <w:t xml:space="preserve">Coste del capital.</w:t>
      </w:r>
    </w:p>
    <w:p>
      <w:pPr>
        <w:spacing w:after="100"/>
      </w:pPr>
      <w:r>
        <w:t xml:space="preserve">Tasa libre: Bund a 10 años del 3,53 % [61]. Beta de 0,90: no hemos podido calcular la propia (sin históricos); es la de un negocio de servicios con ingresos ligados a la normativa y poco apalancado. Prima de mercado del 5,5 % y 0,5 puntos adicionales por la exposición a Asia, Oriente Medio, África y Latinoamérica. Coste de la deuda del 3,5 % antes de impuestos (gastos por intereses de 87,8 M EUR sobre la deuda bruta media) [7, 8] y 21 % de deuda a valor de mercado (deuda y arrendamientos de 3.096 M EUR frente a 11.637 M EUR de capitalización). WACC del 7,62 %. Con la prima implícita del mercado (4,2 %) [62], el WACC baja al 6,7 %.</w:t>
      </w:r>
    </w:p>
    <w:p>
      <w:pPr>
        <w:keepNext/>
        <w:spacing w:after="100"/>
      </w:pPr>
      <w:r>
        <w:rPr>
          <w:b/>
          <w:bCs/>
        </w:rPr>
        <w:t xml:space="preserve">Valor terminal.</w:t>
      </w:r>
    </w:p>
    <w:p>
      <w:pPr>
        <w:spacing w:after="100"/>
      </w:pPr>
      <w:r>
        <w:t xml:space="preserve">Gordon con un crecimiento del 2,0 %: inflación de la zona euro en torno al 2 % y casi nada de crecimiento real, por debajo del 4,5 % previsto para el mercado subcontratado [23] y de la tasa libre menos medio punto. El valor terminal pesa un 69 % del valor de empresa. Implica unas 13 veces el EBITDA del último año, en línea con lo que pagó EQT por Intertek (3,2 veces ventas) [28] y por debajo de los 15,7x de ALS [51].</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M (-1 % del NOPAT)</w:t>
            </w:r>
          </w:p>
        </w:tc>
      </w:tr>
    </w:tbl>
    <w:p>
      <w:pPr>
        <w:spacing w:after="160" w:before="0"/>
      </w:pPr>
    </w:p>
    <w:p>
      <w:pPr>
        <w:spacing w:after="100"/>
      </w:pPr>
      <w:r>
        <w:t xml:space="preserve">La proyección apenas necesita inversión neta de la amortización (reinversión acumulada de -92 M, con un capex bruto medio del 4,1 % de las ventas). En un negocio de activos ligeros, el crecimiento medio del 4,0 %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y precio 2,5 puntos: el 5,5 % orgánico del 2T26 [2]; otros −2,5: divisa (−5,2 % en el 1T26) [10] compensada en parte por las compras del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5,7 %; otros −4,7 puntos por la venta de ≈450 M EUR de ingresos neta de 138 M EUR comprados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(energía, redes, edificios y nuevos servicios de IA y ciberseguridad) [19] y precio 2,5, por encima de la inflación como en 2025 (margen +32 pb)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3,0 y precio 2,5: crecimiento orgánico por debajo del histórico de 2023-2025.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2,7 y precio 2,3: convergencia hacia el crecimiento del mercado (≈4,5 %) [23].</w:t>
            </w:r>
          </w:p>
        </w:tc>
      </w:tr>
    </w:tbl>
    <w:p>
      <w:pPr>
        <w:spacing w:after="160" w:before="0"/>
      </w:pPr>
    </w:p>
    <w:p>
      <w:pPr>
        <w:spacing w:after="100"/>
      </w:pPr>
      <w:r>
        <w:t xml:space="preserve">Sí. El crecimiento proyectado (4,0 % al año) está por debajo del orgánico de 2023-2025 (6,5-8,5 %) [1, 4] y del mercado subcontratado (≈4,5 %) [23], así que no exige ganar cuota. La empresa casi no necesita capital para crecer: el motor no hace la prueba de reinversión porque la amortización incluye la de intangibles comprados y supera al capex; hecha a mano, con un capex del 4,2-4,3 % (incluidos derechos de uso y circulante) la reinversión neta es positiva desde 2028e y el ROIC del 19,3 % la financia con holgura. La prueba que queda es el poder de precios: margen ajustado +32 pb en 2025 con un 6,5 % orgánico [1]. No proyectamos compras, que son la otra mitad del objetivo de dos dígitos de la empresa.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7,6 %)</w:t>
            </w:r>
          </w:p>
        </w:tc>
      </w:tr>
    </w:tbl>
    <w:p>
      <w:pPr>
        <w:spacing w:after="160" w:before="0"/>
      </w:pPr>
    </w:p>
    <w:p>
      <w:pPr>
        <w:spacing w:after="100"/>
      </w:pPr>
      <w:r>
        <w:t xml:space="preserve">El DCF da 32,30 EUR por acción, un 23,5 % sobre el precio, con un WACC del 7,62 % y un valor terminal que pesa el 69 %. El DCF inverso es la clave: el precio de 26,15 EUR descuenta un crecimiento del 1,1 % anual en 2027e-2033e con nuestro margen, o un margen EBITDA del 18,7 % con nuestro crecimiento, frente al 4,1 % y el 21,5 % del caso base; la rentabilidad implícita es del 8,7 %, por encima de nuestro WACC (7,6 %) y de lo que pide el mercado (6,7 %). Es una lectura conservadora para una empresa que ha crecido un 6,5-8,5 % orgánico en los tres últimos años [1, 4] y cuyo margen sube cada año. El mercado está cobrando la rebaja de la guía de abril, la salida de ≈450 M EUR de ingresos y las ventas de Wendel, no una pérdida de calidad. Si el crecimiento se quedara en el 2 % y el margen no subiera, el valor sería parecido al bajista (24,35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y Materias primas se estancan (como en 2015-16 con el petróleo), la salida de negocios no se compensa con compras y la presión de precios de los fondos que han comprado Intertek y Applus frena el margen: 2 puntos menos de crecimiento y 1 punto menos de margen, con un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5,5-6 % hasta 2028, salida de ≈450 M EUR de ingresos en 2027 y margen operativo ajustado hacia el 17,8 % en 2030; sin compras ni recompras más allá de las anunciadas.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Energía, redes y los nuevos servicios de IA y ciberseguridad empujan el orgánico a la parte alta de un dígito y la salida de negocios de margen bajo suma 0,7 puntos de margen: el objetivo de dos dígitos se cumple con poco capital.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31,59 EUR (+20,8 %).</w:t>
      </w:r>
    </w:p>
    <w:p>
      <w:pPr>
        <w:spacing w:after="100"/>
      </w:pPr>
      <w:r>
        <w:t xml:space="preserve">El alcista gana un 43,0 % y el bajista pierde un 6,9 %: asimetría de 6,23 veces. Es tan favorable porque el precio ya descuenta casi el bajista: con un crecimiento del 1,1 % anual el DCF inverso cuadra con el precio. La pérdida máxima es pequeña mientras el margen aguante; si el bajista sumara una caída de la calidad (un escándalo de certificación), el valor podría bajar más que el −6,9 %, porque lo que vende la empresa es confianza.</w:t>
      </w:r>
    </w:p>
    <w:p>
      <w:pPr>
        <w:pStyle w:val="Heading1"/>
      </w:pPr>
      <w:r>
        <w:t xml:space="preserve">22. Suma de partes</w:t>
      </w:r>
    </w:p>
    <w:p>
      <w:pPr>
        <w:pStyle w:val="Confianza"/>
        <w:spacing w:after="100"/>
      </w:pPr>
      <w:r>
        <w:t xml:space="preserve">Confianza: Media</w:t>
      </w:r>
    </w:p>
    <w:p>
      <w:pPr>
        <w:spacing w:after="100"/>
      </w:pPr>
      <w:r>
        <w:t xml:space="preserve">No aplica: los seis negocios comparten técnicos, laboratorios y marca, y no hemos podido leer sus ingresos ni márgenes por separado (segmentos sin datos en esta sesión).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26,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33,71 EUR (+28,9 % sobre 26,15).</w:t>
      </w:r>
    </w:p>
    <w:p>
      <w:pPr>
        <w:spacing w:after="100"/>
      </w:pPr>
      <w:r>
        <w:t xml:space="preserve">El DCF pesa un 60 % porque el negocio es estable, convierte en caja más del 100 % de su beneficio y la proyección se apoya en una historia larga. Los comparables pesan un 25 % y solo con el PER (son cuatro y uno cotiza al precio de una OPA); los escenarios, un 15 %. Las transacciones no pesan: llevan prima de control. El resultado, 33,71 EUR, queda entre el DCF (32,30 EUR) y el valor por comparables (36,43-39,38 EUR); el bajista (24,35 EUR) es el único método por debajo del precio. Con la prima implícita del mercado (4,2 %) el valor sube a 39,30 EUR. La dispersión es moderada y todos los métodos centrales dan más que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(16.6x) × 1.1 (tope: la mediana de 5 años, 22.2x,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+71,2 %</w:t>
            </w:r>
          </w:p>
        </w:tc>
      </w:tr>
    </w:tbl>
    <w:p>
      <w:pPr>
        <w:spacing w:after="160" w:before="0"/>
      </w:pPr>
    </w:p>
    <w:p>
      <w:pPr>
        <w:spacing w:after="100"/>
      </w:pPr>
      <w:r>
        <w:rPr>
          <w:b/>
          <w:bCs/>
        </w:rPr>
        <w:t xml:space="preserve">Objetivo a 12 meses (ponderado):</w:t>
      </w:r>
      <w:r>
        <w:t xml:space="preserve"> 32,84 EUR · rentabilidad +29,1 % (base +26,7 %) · señal Comprar.</w:t>
      </w:r>
    </w:p>
    <w:p>
      <w:pPr>
        <w:spacing w:after="100"/>
      </w:pPr>
      <w:r>
        <w:t xml:space="preserve">Para comparar, con la regla v2 (historia al cierre, mismo precio): 14,1x / 16,6x / 21,6x, 19,7 % Comprar; con el tope anterior del base (×1,3, 14-oct mediodía): 33,3 % Comprar. Decide la regla vigente (v3 con tope ×1,1; METODO-VIGENTE.md).</w:t>
      </w:r>
    </w:p>
    <w:p>
      <w:pPr>
        <w:keepNext/>
        <w:spacing w:after="100"/>
      </w:pPr>
      <w:r>
        <w:rPr>
          <w:b/>
          <w:bCs/>
        </w:rPr>
        <w:t xml:space="preserve">Frente al consenso (solo contraste).</w:t>
      </w:r>
    </w:p>
    <w:p>
      <w:pPr>
        <w:spacing w:after="100"/>
      </w:pPr>
      <w:r>
        <w:t xml:space="preserve">Nuestro BPA ajustado de 2028e (1,76 EUR) queda un 3 % por debajo del consenso de la empresa (1,82 EUR) [44] y nuestras ventas de 2027e (6.727 M EUR) un 5-7 % por debajo (7.115-7.250 M EUR) [44, 45]: restamos la venta de ≈450 M EUR de ingresos y no proyectamos compras. Lo compensa en parte un margen algo mayor. Nuestro objetivo base a 12 meses (29,22 EUR) queda un 9,8 % por debajo del objetivo medio de los analistas (32,40 EUR) [46] porque usamos el PER actual (16,6x) y no la mediana histórica (20,9x): no suponemos ninguna revalorización en el base.</w:t>
      </w:r>
    </w:p>
    <w:p>
      <w:pPr>
        <w:keepNext/>
        <w:spacing w:after="100"/>
      </w:pPr>
      <w:r>
        <w:rPr>
          <w:b/>
          <w:bCs/>
        </w:rPr>
        <w:t xml:space="preserve">Del valor intrínseco al objetivo a 12 meses.</w:t>
      </w:r>
    </w:p>
    <w:p>
      <w:pPr>
        <w:spacing w:after="100"/>
      </w:pPr>
      <w:r>
        <w:t xml:space="preserve">El objetivo a 12 meses (30,39 EUR) queda un 10 % por debajo del valor intrínseco (33,71 EUR). La distancia es pequeña porque el objetivo ya no necesita revalorización: sale de un BPA que crece un 11 % en 2028e por el margen y del dividendo. Lo que cerraría el resto es la vuelta del PER hacia su mediana (20,9x), que exige dos cosas con fecha: los ingresos del 3T26 el 21-oct-2026 confirmando la aceleración del 2T y el cierre de la venta de los negocios de petróleo y carbón.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orgánica del 2T (5,5 %) y la guía de «media a alta de un dígito»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nuevo perímetro y margen;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 2027-1S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petróleo, petroquímica y carbón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cobrado (no publicado) y mezcla de mayor margen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200 M EUR en curso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del capital al precio de hoy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2028-03-17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la venta a plazo de Wendel (30,36 M de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a BNP Paribas; Wendel pierde esos votos dobles y su control de hecho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colocaciones de Wendel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en cada operación (septiembre de 2025: ≈23 M de acciones)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Industria y Materias primas (petróleo,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24,35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negocios más expuestos; Marina y Edificios crecen a tasas altas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Industria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de integridad o de control (certificados, incumplimientos)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32 M EUR ya dotada en 2026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o investigaciones de reguladores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en cada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recompra en las colocaciones (100 M EUR en 2024)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que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−5 % en un trimestre (−5,2 % en el 1T26) [10]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para cumplir el «dos dígitos»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deuda de 1,5-2,0x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grande a más de 15 veces EBITDA o deuda neta por encima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Automatización e IA abaratan la inspección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 vende servicios de verificación de IA (objetivo de 1.000 M EUR en 2030)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ajustado estancado con crecimiento de volumen</w:t>
            </w:r>
          </w:p>
        </w:tc>
      </w:tr>
    </w:tbl>
    <w:p>
      <w:pPr>
        <w:spacing w:after="160" w:before="0"/>
      </w:pPr>
    </w:p>
    <w:p>
      <w:pPr>
        <w:pStyle w:val="Heading2"/>
      </w:pPr>
      <w:r>
        <w:t xml:space="preserve">Pre-mortem</w:t>
      </w:r>
    </w:p>
    <w:p>
      <w:pPr>
        <w:spacing w:after="100"/>
      </w:pPr>
      <w:r>
        <w:t xml:space="preserve">Octubre de 2029: la acción vale 16 EUR. En 2027 el petróleo cae, los clientes de Industria recortan el mantenimiento y Materias primas sufre con el comercio mundial; el orgánico baja al 2 %. La venta de los negocios de petróleo y carbón se cierra con un descuento, y para cumplir su «dos dígitos» la dirección compra a 15-16 veces EBITDA en certificación digital, con la deuda en 2 veces. Wendel coloca dos bloques más y el valor no encuentra comprador natural. En 2028 aparece otro caso de incumplimientos en un país emergente, más grave que el de 2026, y un cliente público rescinde contratos. El margen ajustado retrocede al 15 % y el PER se queda en 14 veces un BPA de 1,30 EUR. Las señales que lo habrían anticipado: Industria con crecimiento negativo dos trimestres seguidos, una compra grande por encima de 15 veces EBITDA y una segunda provisión por incumplimientos.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dos asuntos que mueven las cifras son la integridad (los certificados falsos o los incumplimientos destruyen la marca: provisión de 32 M EUR en abril de 2026 [12]) y la seguridad de los técnicos en plantas industriales y buques. La transición energética es a la vez riesgo (pérdida de inspección de petróleo y carbón, que BV vende en 2026) y oportunidad (renovables, redes, verificación de emisiones).</w:t>
      </w:r>
    </w:p>
    <w:p>
      <w:pPr>
        <w:pStyle w:val="Heading2"/>
      </w:pPr>
      <w:r>
        <w:t xml:space="preserve">Controversias</w:t>
      </w:r>
    </w:p>
    <w:p>
      <w:pPr>
        <w:spacing w:after="100"/>
      </w:pPr>
      <w:r>
        <w:t xml:space="preserve">Provisión de 32 M EUR en abril de 2026 por incumplimientos detectados internamente [12]; rescisión de contratos de Servicios a Gobiernos en Oriente Medio y África [10]. No hemos encontrado sanciones de reguladores en los tres últimos años en lo buscado.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múltiplo se venden los negocios de petróleo, petroquímica y carbón, qué margen tienen y cuándo se cobra?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≈450 M EUR de ingresos con Gobiernos; el precio cambia la deuda y la mezcla de margen de 2027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dos dígitos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«dos dígitos» de 2027-2028 es orgánica y cuánto piensan gastar en compras,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no incluye compras: si se pagan caras, destruyen valor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Incumplimientos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originó la provisión de 32 M EUR, en qué países y qué controles nuevos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reputación del que depende el foso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hará Wendel con el 15 % económico que le queda y con los votos dobles tras marzo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Determina la presión vendedora y la posibilidad de una oferta [37,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pagan al año por arrendamientos y cuál es el flujo libre después de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publicado no los resta; con 465,6 M EUR de pasivos, la diferencia puede ser de ≈100 M EUR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por negocio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tienen Certificación y Productos de consumo y por qué Certificación se frenó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los negocios de mayor margen; sin segmentos no podemos separar mezcla y precio [12].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Ariva.de (foro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ven como un negocio de calidad, predecible y con barreras de entrada, no como una apuesta de recuperación; lo compran por estabilidad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más seguidas sitúan el valor razonable por encima del precio y apoyan la tesis en renovables, ciberseguridad y grandes contratos de infraestructura [56,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(foro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francés comenta la rotura del soporte de 25,4 EUR tras la rebaja de la guía y contrapone los objetivos de Oddo BHF (31 EUR) y AlphaValue (32,2 EUR) con el de Citi (26,95 EUR) [20,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(página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comunidad y el resumen de analistas tratan el valor como infravalorado, cerca de la parte baja de su rango anual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francesa (TradingSat)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colocación de Wendel se lee como un techo para la acción; los lectores temen nuevas ventas del accionista de referencia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defensiva a un múltiplo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margen ajustado al alza y conversión de caja &gt;100 % (sección de cuentas); el PER sobre nuestro BPA de 2027e está por debajo de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y credibilidad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se rebajó en abril y se recuperó en julio; el 2T26 aceleró al 5,5 % orgánico (resultados del 1S26). El 3T26 (21 de octubre) lo resolverá.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Wendel ya bajó al 21,4 % y tiene una venta a plazo que se liquida en marzo de 2028 (sección de gobierno): la oferta de acciones seguirá ahí.</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 del sector (OPA)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EQT pagó una prima del 62 % por Intertek (sección de transacciones); con Wendel vendedor, una oferta por BV no es imposible, pero no la incluimos en el caso base.</w:t>
            </w:r>
          </w:p>
        </w:tc>
      </w:tr>
    </w:tbl>
    <w:p>
      <w:pPr>
        <w:spacing w:after="160" w:before="0"/>
      </w:pPr>
    </w:p>
    <w:p>
      <w:pPr>
        <w:spacing w:after="100"/>
      </w:pPr>
      <w:r>
        <w:t xml:space="preserve">El inversor particular ve a Bureau Veritas como un valor de calidad barato, sin euforia: el sentimiento se hundió en abril con la rebaja de la guía y ha mejorado con el 1S26. Coincide con los analistas (mayoría de compras) y con nuestra lectura de calidad. No aporta riesgos que el informe no recoja: el principal (la venta de Wendel) ya está en el análisis. Ninguna cifra del informe sale de estas fuentes.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1 explicados. Fuentes: 63 (21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hay cuatro cotizadas comparables de tamaño parecido (SGS, Intertek, Eurofins y ALS); Applus salió de bolsa en 2024 e Intertek cotiza al precio de la OPA de EQT. Por eso los comparables pesan un 25 % y solo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2026-10-08, 4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15, 17, 30, 43, 48, 49, 50,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(ingresos y resultado por negocio,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comunicado de resultados 2025 con desglose por negocio: la búsqueda devuelve solo cifras de grupo; 2) búsqueda del documento de registro y de la presentación (web de la empresa y AMF no accesibles desde este entorno); 3) agregadores (Stock Analysis, ChartMill): no publican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amortizaciones, impuestos y BPA de 2021-2022; resultado financiero, BAI e impuestos de 2023-2024; dividendos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2021 y 2022 (AMF): la búsqueda solo devuelve titulares; 2) Stock Analysis y TipRanks: solo ingresos, beneficio y amortizaciones 2023-2025; 3) Yahoo y ChartMill: sin la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(clientes, proveedores), reservas, minoritarios de 2025, 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y semestral 2026: no accesibles; 2) Stock Analysis: solo caja, deuda, arrendamientos, activo y fondo de comercio; 3) prensa de la emisión de bonos: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arrendamientos, adquisiciones, desinversiones y dividendos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comunicado 2025: la búsqueda no lo devuelve; 2) ChartMill: solo explotación y capex; 3) informe semestral 2026 (AMF): sin acceso al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2) junta de 2026 (Trivano): sin el dato; 3) búsqueda en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BV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cuotas en informes de consultoras (MarketsandMarkets, GMI, ResearchAndMarkets): sin cuotas por empresa; 2) Aventis Advisors: solo los ingresos conjuntos de los diez primeros; 3) cálculo propio: los tamaños de mercado discrepan un 20 % y no hay perímetro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accesible; 2) búsqueda de MSCI y Sustainalytics: sin resultado en el presupuesto de búsquedas;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remuneración de la consejera delegada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2025 (capítulo de gobierno): web de la empresa y AMF no accesibles; 2) resultado de la junta de 2026 en Trivano y Rendement Bourse: solo la aprobación; 3) prensa: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BDIF de la AMF: sin red; 2) MarketScreener (insiders): la búsqueda no devuelve operaciones;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frente al índice,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en este entorno; 2) Yahoo y Google Finance por búsqueda: solo cotizaciones sueltas; 3) registro de cortos de la AMF: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crecimiento, margen y ROIC de cada comparable (y quinto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2026-2027 de cada uno; 2) multiples.vc y TipRanks: solo ALS; 3) no hay quinto comparable cotizado de tamaño parecido (Applus excluida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Intertek, Applus y otras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la oferta de EQT (Rule 2.7): no accesible; 2) prensa (AJ Bell, Sharecast): sin múltiplo de EBITDA; 3) folleto de la OPA de Applus (CNMV):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y pagos aplazados de adquisiciones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(notas de provisiones y deuda): no accesible; 2) informe semestral 2026 (AMF): sin acceso al texto; 3) agregadores: no lo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Sector-Leading Organic Revenue Growth of 6.5% in FY 2025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https://www.businesswire.com/news/home/20260224846309/en/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Delivering on our commitments with higher sequential organic growth in Q2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https://www.businesswire.com/news/home/20260728246725/en/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LEAP | 28 Strategy Delivers Outstanding Results in 2024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https://www.businesswire.com/news/home/20250224326662/en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Excellent 2023 Performance, Strong Growth and Record Earnings (resultados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https://www.businesswire.com/news/home/20240221228025/en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2022 (communiqué déposé à l'AMF)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https://echanges.dila.gouv.fr/OPENDATA/AMF/MKW/2023/02/FCMKW114181_20230223.pdf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2021 (communiqué déposé à l'AMF)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https://echanges.dila.gouv.fr/OPENDATA/AMF/MKW/2022/02/FCMKW116674_20220224.pdf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(EPA:BVI)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(EPA:BVI)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(BVI.PA) Stock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https://www.chartmill.com/stock/quote/BVI.PA/financials/cash-flow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Steady Organic Revenue Growth in the First Quarter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https://www.businesswire.com/news/home/20260421887230/en/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(BVI)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https://quartr.com/events/bureau-veritas-sa-bvi-h1-2026_oCvhIVMr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H1 2026 earnings call transcript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https://www.gurufocus.com/stock/XPAR:BVI/transcripts/8993219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income statement (amortizaciones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https://www.tipranks.com/stocks/fr:bvi/financials/income-statement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balance sheet (patrimonio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https://tracenable.com/company/bureau-veritas/balance-sheet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BVRDF balance sheet (patrimonio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https://finance.yahoo.com/quote/BVRDF/balance-sheet?p=BVRDF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filings (patrimonio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financialfilings.com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https://financialfilings.com/companies/bureau-veritas-sa/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2022 (ingresos y beneficio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(vía sustainabilityreports.com)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https://www.sustainabilityreports.com/bureau-veritas/2022/universal-registration-document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Financial Report (depósito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https://echanges.dila.gouv.fr/OPENDATA/AMF/156/2026/07/FC156639872_20260729.pdf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relève ses objectifs 2027-2028 (día del inversor, 22-sep-2026)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https://www.ideal-investisseur.fr/en/stock-news/bureau-veritas-raises-2027-2028-targets-and-aims-for-eur1-billion-in-ai-revenue/25506.html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l'action casse le support des 25,4 euros (22-abr-2026)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https://www.abcbourse.com/marches/bureau-veritas-l-action-casse-le-support-des-25-4-euros_695563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relève ses objectifs 2026 après un premier semestre solide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https://www.abcbourse.com/marches/bureau-veritas-releve-ses-objectifs-2026-apres-un-premier-semestre-solide_700531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Wendel allège la barque / cession de 9 % y recompra de 100 M EUR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https://www.businesswire.com/news/home/20240404643494/en/Bureau-Veritas-Undertakes-a-Buyback-of-c.0.8-of-Its-Shares-Under-the-Accelerated-Placement-Announced-by-Wendel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 Industry Analysis 2026: Market Size, Growth Drivers and Consolidation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Aventis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https://aventis-advisors.com/tic-industry-analysis-2026-market-size-growth-drivers-and-consolidation-trends/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and Certification (TIC) Market Trends and Forecast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https://www.businesswire.com/news/home/20251217991336/en/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Certification (TIC) Market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https://www.gminsights.com/industry-analysis/testing-inspection-certification-tic-market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2026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https://www.sgs.com/en/news/2026/07/sgs-2026-half-year-results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Eurofins, BV and Intertek release 2025 annual reports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https://www.testextextile.com/sgs-eurofins-bv-and-intertek-release-2025-annual-reports/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agrees 'attractive' £9.5 billion takeover offer from EQT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https://www.ajbell.co.uk/news/articles/intertek-agrees-attractive-ps95-billion-takeover-offer-eqt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26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https://www.ecb.europa.eu/stats/exchange/eurofxref/shared/pdf/2026/06/20260626.pdf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4.0% organic revenue growth in 9M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https://www.eurofins.com/media-centre/press-releases-2025/2025-10-21/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Hinda Gharbi takes the helm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Splash247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https://splash247.com/hinda-gharbi-takes-the-helm-at-bureau-veritas/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Undertakes a Buyback of c.0.8% of Its Shares Under the Accelerated Placement Announced by Wendel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https://www.businesswire.com/news/home/20240404643494/en/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 OPA sobre Applus (operación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Iberian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https://iberianlawyer.com/transaction-of-the-first-half-of-2024/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des changements au sein de sa gouvernance (junio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https://echanges.dila.gouv.fr/OPENDATA/AMF/MKW/2023/06/FCMKW136605_20230622.pdf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leadership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Container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https://container-news.com/new-leadership-at-bureau-veritas/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19 mai 2026: adoption de l'ensemble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https://www.trivano.com/persbericht/bureau-veritas-assemblee-generale-mixte-du-19-mai-2026-adoption-de-laposensemble-des-resolutions-proposees-731408.html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(participación de Wendel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https://www.wendelgroup.com/en/companies/bureau-veritas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lanzamiento de la venta a plazo prepagada de acciones de Bureau Veritas (marzo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https://www.wendelgroup.com/wp-content/uploads/2025/03/launch-press-release-en-11032025.pdf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2022 y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https://group.bureauveritas.com/newsroom/strong-operating-and-financial-performance-delivered-2022-solid-2023-outlook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colocación acelerada de unos 23 millones de acciones de Bureau Veritas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https://www.wendelgroup.com/en/?p=25312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Assemblée générale (resoluciones de remuneración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https://rendementbourse.com/bvi-bureau-veritas-sa/assemblee-generale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valuation (precio de 26,15 EUR a 8-oct-2026; capitalización al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cours et capitalisation (27,05 EUR y 12.277 M EUR a 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https://www.ideal-investisseur.fr/actions/bureau-veritas-FR0006174348.html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(actualizado a 1-jul-2026, 15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https://group.bureauveritas.com/investors/bureau-veritas-share/consensus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finances (ventas y EBITDA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(BVI) Stock Price (consenso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https://tradersunion.com/currencies/price/bvi-eur/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BVRDF forecast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https://www.tipranks.com/stocks/bvrdf/forecast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Kurs, Dividendenrendite und KGV historisch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https://www.finanzen.at/bilanz_guv/bureau_veritas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SA: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https://in.marketscreener.com/quote/stock/SGS-SA-2956065/valuation/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Scientific SE: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https://ca.marketscreener.com/quote/stock/EUROFINS-SCIENTIFIC-SE-4753/valuation/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 Limited: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https://uk.marketscreener.com/quote/stock/ALS-LIMITED-11441934/valuation/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Group plc: valuation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https://uk.marketscreener.com/quote/stock/INTERTEK-GROUP-PLC-4003872/valuation/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agenda financier 2026-2027 (ingresos del 3T26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https://www.boursedirect.fr/fr/actualites/categorie/divers/bureau-veritas-agenda-financier-2026-2027-boursier-62d34f8fedbcaa450547f7498945e7c51196a541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consenso de analistas (objetivo mediano)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https://www.ideal-investisseur.fr/en/analyst-consensus/bureau-veritas/FR0006174348.html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Bureau Veritas (Ariva.de)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Ariva.de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https://www.ariva.de/forum/bureau-veritas-485417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Bureau Veritas (ENXTPA:BVI) Undervalued After The Wave Rail Project Appointment? (narrativas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https://www.webull.com/news/15222094034592768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BUREAU VERITAS (objetivos de Oddo BHF, AlphaValue y Citi comentados)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https://www.abcbourse.com/forums/msg1025639_bureau-veritas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Expansion into renewables and cybersecurity will strengthen market leadership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https://simplywall.st/community/narratives/fr/commercial-services/epa-bvi/bureau-veritas-shares/expansion-into-renewables-and-cybersecurity-will-strengthen-market-leadership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page de valeur (opinión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sells Bureau Veritas shares (comentarios sobre la presión vendedora)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https://www.tradingsat.com/bureau-veritas-FR0006174348/actualites/bureau-veritas-wendel-allege-la-barque-sur-bureau-veritas-qui-se-replie-en-bourse-1112411.html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ROIC (31-dic-2024)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https://fintel.io/sm/de/4bv</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77,0 %</w:t>
      </w:r>
      <w:r>
        <w:t xml:space="preserve"> · Secciones con menos del 60 % de campos cubiertos: </w:t>
      </w:r>
      <w:r>
        <w:rPr>
          <w:b/>
          <w:bCs/>
        </w:rPr>
        <w:t xml:space="preserve">gobierno, calidad, bolsa</w:t>
      </w:r>
      <w:r>
        <w:t xml:space="preserve"> · Generado el 14 oct 2026.</w:t>
      </w:r>
    </w:p>
    <w:p>
      <w:pPr>
        <w:pStyle w:val="Nota"/>
        <w:spacing w:after="100"/>
      </w:pPr>
      <w:r>
        <w:t xml:space="preserve">Análisis hecho desde un entorno en la nube en el que solo funciona la búsqueda web: no se pudieron abrir el documento de registro de 2025, el informe semestral de 2026 ni las webs de la empresa, la AMF o Yahoo. Todas las cifras salen de los comunicados de resultados citados en la búsqueda y de agregadores (Stock Analysis, ChartMill, MarketScreener, TipRanks), con su URL. Precio: 26,15 EUR, último cierre localizado (8-oct-2026, MarketScreener) [42]; no hemos podido confirmar los cierres del 9 al 13 de octubre. Acciones: 445 M, las del BPA ajustado de 2025 (631,4 M EUR ÷ 1,42 EUR), netas de autocartera; la capitalización publicada por Idéal Investisseur (12.277 M EUR a 27,05 EUR) usa las acciones emitidas (≈454 M) y no la ponemos. Sin segmentos, geografías, circulante ni pagos de arrendamientos: el DCF parte de cifras de grupo. Competidores en CHF y GBP convertidos al cambio del BCE del 26-jun-2026 [29].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Bureau Veritas SA (BVI)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26,15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Hoja1!$B$2:$B$8</c:f>
              <c:numCache>
                <c:formatCode>#,##0.0</c:formatCode>
                <c:ptCount val="7"/>
                <c:pt idx="0">
                  <c:v>24.58</c:v>
                </c:pt>
                <c:pt idx="1">
                  <c:v>28</c:v>
                </c:pt>
                <c:pt idx="2">
                  <c:v>36.43</c:v>
                </c:pt>
                <c:pt idx="3">
                  <c:v>27.34</c:v>
                </c:pt>
                <c:pt idx="4">
                  <c:v>24.35</c:v>
                </c:pt>
                <c:pt idx="5">
                  <c:v>35.41</c:v>
                </c:pt>
                <c:pt idx="6">
                  <c:v>26.02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Hoja1!$C$2:$C$8</c:f>
              <c:numCache>
                <c:formatCode>#,##0.0</c:formatCode>
                <c:ptCount val="7"/>
                <c:pt idx="0">
                  <c:v>5.600000000000001</c:v>
                </c:pt>
                <c:pt idx="1">
                  <c:v>10.5</c:v>
                </c:pt>
                <c:pt idx="2">
                  <c:v>2.950000000000003</c:v>
                </c:pt>
                <c:pt idx="3">
                  <c:v>12.040000000000003</c:v>
                </c:pt>
                <c:pt idx="4">
                  <c:v>13.04</c:v>
                </c:pt>
                <c:pt idx="5">
                  <c:v>9.840000000000003</c:v>
                </c:pt>
                <c:pt idx="6">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subcontratado))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2027e</c:v>
                </c:pt>
              </c:strCache>
            </c:strRef>
          </c:cat>
          <c:val>
            <c:numRef>
              <c:f>Hoja1!$B$2:$B$3</c:f>
              <c:numCache>
                <c:formatCode>#,##0</c:formatCode>
                <c:ptCount val="2"/>
                <c:pt idx="0">
                  <c:v>160</c:v>
                </c:pt>
                <c:pt idx="1">
                  <c:v>190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Bureau Veritas</c:v>
                </c:pt>
                <c:pt idx="1">
                  <c:v>SGS</c:v>
                </c:pt>
                <c:pt idx="2">
                  <c:v>Eurofins Scientific</c:v>
                </c:pt>
                <c:pt idx="3">
                  <c:v>Intertek</c:v>
                </c:pt>
                <c:pt idx="4">
                  <c:v>Applus+</c:v>
                </c:pt>
              </c:strCache>
            </c:strRef>
          </c:cat>
          <c:val>
            <c:numRef>
              <c:f>Hoja1!$B$2:$B$6</c:f>
              <c:numCache>
                <c:formatCode>0.0"%"</c:formatCode>
                <c:ptCount val="5"/>
                <c:pt idx="0">
                  <c:v>15.3</c:v>
                </c:pt>
                <c:pt idx="1">
                  <c:v>16</c:v>
                </c:pt>
                <c:pt idx="3">
                  <c:v>18.1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4981</c:v>
                </c:pt>
                <c:pt idx="1">
                  <c:v>5650.6</c:v>
                </c:pt>
                <c:pt idx="2">
                  <c:v>5867.8</c:v>
                </c:pt>
                <c:pt idx="3">
                  <c:v>6240.9</c:v>
                </c:pt>
                <c:pt idx="4">
                  <c:v>6466.4</c:v>
                </c:pt>
                <c:pt idx="5">
                  <c:v>6660</c:v>
                </c:pt>
                <c:pt idx="6">
                  <c:v>6727</c:v>
                </c:pt>
                <c:pt idx="7">
                  <c:v>7131</c:v>
                </c:pt>
                <c:pt idx="8">
                  <c:v>7523</c:v>
                </c:pt>
                <c:pt idx="9">
                  <c:v>7899</c:v>
                </c:pt>
                <c:pt idx="10">
                  <c:v>8254</c:v>
                </c:pt>
                <c:pt idx="11">
                  <c:v>8585</c:v>
                </c:pt>
                <c:pt idx="12">
                  <c:v>8842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2">
                  <c:v>1115.9</c:v>
                </c:pt>
                <c:pt idx="3">
                  <c:v>1217.1</c:v>
                </c:pt>
                <c:pt idx="4">
                  <c:v>1291.9</c:v>
                </c:pt>
                <c:pt idx="5">
                  <c:v>1352</c:v>
                </c:pt>
                <c:pt idx="6">
                  <c:v>1399</c:v>
                </c:pt>
                <c:pt idx="7">
                  <c:v>1505</c:v>
                </c:pt>
                <c:pt idx="8">
                  <c:v>1602</c:v>
                </c:pt>
                <c:pt idx="9">
                  <c:v>1698</c:v>
                </c:pt>
                <c:pt idx="10">
                  <c:v>1775</c:v>
                </c:pt>
                <c:pt idx="11">
                  <c:v>1846</c:v>
                </c:pt>
                <c:pt idx="12">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19</c:v>
                </c:pt>
                <c:pt idx="3">
                  <c:v>19.5</c:v>
                </c:pt>
                <c:pt idx="4">
                  <c:v>20</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14</c:v>
                </c:pt>
                <c:pt idx="3">
                  <c:v>15</c:v>
                </c:pt>
                <c:pt idx="4">
                  <c:v>15.3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8.5</c:v>
                </c:pt>
                <c:pt idx="1">
                  <c:v>8.3</c:v>
                </c:pt>
                <c:pt idx="2">
                  <c:v>8.6</c:v>
                </c:pt>
                <c:pt idx="3">
                  <c:v>9.1</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2.1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669.7</c:v>
                </c:pt>
                <c:pt idx="1">
                  <c:v>704.8</c:v>
                </c:pt>
                <c:pt idx="2">
                  <c:v>662.1</c:v>
                </c:pt>
                <c:pt idx="3">
                  <c:v>854.1</c:v>
                </c:pt>
                <c:pt idx="4">
                  <c:v>863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420.9</c:v>
                </c:pt>
                <c:pt idx="1">
                  <c:v>466.7</c:v>
                </c:pt>
                <c:pt idx="2">
                  <c:v>503.7</c:v>
                </c:pt>
                <c:pt idx="3">
                  <c:v>569.4</c:v>
                </c:pt>
                <c:pt idx="4">
                  <c:v>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23.4</c:v>
                </c:pt>
                <c:pt idx="3">
                  <c:v>19.8</c:v>
                </c:pt>
                <c:pt idx="4">
                  <c:v>19.3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24.7</c:v>
                </c:pt>
                <c:pt idx="1">
                  <c:v>25.7</c:v>
                </c:pt>
                <c:pt idx="2">
                  <c:v>26.1</c:v>
                </c:pt>
                <c:pt idx="3">
                  <c:v>29.1</c:v>
                </c:pt>
                <c:pt idx="4">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2">
                  <c:v>1.22</c:v>
                </c:pt>
                <c:pt idx="3">
                  <c:v>1.37</c:v>
                </c:pt>
                <c:pt idx="4">
                  <c:v>1.33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229.9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100</c:v>
                </c:pt>
                <c:pt idx="4">
                  <c:v>200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Wendel</c:v>
                </c:pt>
              </c:strCache>
            </c:strRef>
          </c:cat>
          <c:val>
            <c:numRef>
              <c:f>Hoja1!$B$2</c:f>
              <c:numCache>
                <c:formatCode>0.0"%"</c:formatCode>
                <c:ptCount val="1"/>
                <c:pt idx="0">
                  <c:v>21.4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-15.6</c:v>
                </c:pt>
                <c:pt idx="1">
                  <c:v>-7.2</c:v>
                </c:pt>
                <c:pt idx="2">
                  <c:v>28.1</c:v>
                </c:pt>
                <c:pt idx="3">
                  <c:v>-7.6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10.6</c:v>
                </c:pt>
                <c:pt idx="3">
                  <c:v>12.2</c:v>
                </c:pt>
                <c:pt idx="4">
                  <c:v>10.7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10.7</c:v>
                </c:pt>
                <c:pt idx="1">
                  <c:v>10.7</c:v>
                </c:pt>
                <c:pt idx="2">
                  <c:v>10.7</c:v>
                </c:pt>
                <c:pt idx="3">
                  <c:v>10.7</c:v>
                </c:pt>
                <c:pt idx="4">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Bureau Veritas</c:v>
                </c:pt>
                <c:pt idx="1">
                  <c:v>SGS</c:v>
                </c:pt>
                <c:pt idx="2">
                  <c:v>Intertek</c:v>
                </c:pt>
                <c:pt idx="3">
                  <c:v>Eurofins Scientific</c:v>
                </c:pt>
                <c:pt idx="4">
                  <c:v>ALS</c:v>
                </c:pt>
              </c:strCache>
            </c:strRef>
          </c:cat>
          <c:val>
            <c:numRef>
              <c:f>Hoja1!$B$2:$B$6</c:f>
              <c:numCache>
                <c:formatCode>0.0"x"</c:formatCode>
                <c:ptCount val="5"/>
                <c:pt idx="0">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790</c:v>
                </c:pt>
                <c:pt idx="1">
                  <c:v>822</c:v>
                </c:pt>
                <c:pt idx="2">
                  <c:v>874</c:v>
                </c:pt>
                <c:pt idx="3">
                  <c:v>930</c:v>
                </c:pt>
                <c:pt idx="4">
                  <c:v>978</c:v>
                </c:pt>
                <c:pt idx="5">
                  <c:v>1020</c:v>
                </c:pt>
                <c:pt idx="6">
                  <c:v>1058</c:v>
                </c:pt>
                <c:pt idx="7">
                  <c:v>1088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5303</c:v>
                </c:pt>
                <c:pt idx="1">
                  <c:v>11611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26,15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24.35</c:v>
                </c:pt>
                <c:pt idx="1">
                  <c:v>32.3</c:v>
                </c:pt>
                <c:pt idx="2">
                  <c:v>37.39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26,15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Hoja1!$B$2:$B$8</c:f>
              <c:numCache>
                <c:formatCode>#,##0.0</c:formatCode>
                <c:ptCount val="7"/>
                <c:pt idx="0">
                  <c:v>24.58</c:v>
                </c:pt>
                <c:pt idx="1">
                  <c:v>28</c:v>
                </c:pt>
                <c:pt idx="2">
                  <c:v>36.43</c:v>
                </c:pt>
                <c:pt idx="3">
                  <c:v>27.34</c:v>
                </c:pt>
                <c:pt idx="4">
                  <c:v>24.35</c:v>
                </c:pt>
                <c:pt idx="5">
                  <c:v>35.41</c:v>
                </c:pt>
                <c:pt idx="6">
                  <c:v>26.02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(24,58 – 30,18)</c:v>
                </c:pt>
                <c:pt idx="1">
                  <c:v>Precio objetivo de los analistas (28,00 – 38,50)</c:v>
                </c:pt>
                <c:pt idx="2">
                  <c:v>Comparables: PER NTM (36,43 – 39,38)</c:v>
                </c:pt>
                <c:pt idx="3">
                  <c:v>DCF (WACC y g ± 0,5) (27,34 – 39,38)</c:v>
                </c:pt>
                <c:pt idx="4">
                  <c:v>Escenarios (bajista – alcista) (24,35 – 37,39)</c:v>
                </c:pt>
                <c:pt idx="5">
                  <c:v>DCF con la prima implícita del mercado (4,2 %)</c:v>
                </c:pt>
                <c:pt idx="6">
                  <c:v>Precio actual (26,15)</c:v>
                </c:pt>
              </c:strCache>
            </c:strRef>
          </c:cat>
          <c:val>
            <c:numRef>
              <c:f>Hoja1!$C$2:$C$8</c:f>
              <c:numCache>
                <c:formatCode>#,##0.0</c:formatCode>
                <c:ptCount val="7"/>
                <c:pt idx="0">
                  <c:v>5.600000000000001</c:v>
                </c:pt>
                <c:pt idx="1">
                  <c:v>10.5</c:v>
                </c:pt>
                <c:pt idx="2">
                  <c:v>2.950000000000003</c:v>
                </c:pt>
                <c:pt idx="3">
                  <c:v>12.040000000000003</c:v>
                </c:pt>
                <c:pt idx="4">
                  <c:v>13.04</c:v>
                </c:pt>
                <c:pt idx="5">
                  <c:v>9.840000000000003</c:v>
                </c:pt>
                <c:pt idx="6">
                  <c:v>0.26000000000000156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