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DSV A/S</w:t>
      </w:r>
    </w:p>
    <w:p>
      <w:pPr>
        <w:spacing w:after="60"/>
        <w:rPr>
          <w:color w:val="52514E"/>
          <w:sz w:val="22"/>
          <w:szCs w:val="22"/>
        </w:rPr>
      </w:pPr>
      <w:r>
        <w:rPr>
          <w:color w:val="52514E"/>
          <w:sz w:val="22"/>
          <w:szCs w:val="22"/>
        </w:rPr>
        <w:t xml:space="preserve">DSV · Nasdaq Copenhagen · ISIN DK0060079531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1.137,50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1.440,33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+27,2 % (base +27,4 %)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1.357,81 DKK · mercado 1.747,71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272.065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 DK0060079531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Hedehusene (Dinamarca)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147.222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www.dsv.com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1.137,50 – 1.913,50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272.065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362.066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726 M DKK/día (537.000 acciones; media de 65 sesiones) [55]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1.440,33 DKK</w:t>
      </w:r>
      <w:r>
        <w:t xml:space="preserve"> frente a 1.137,50 · Rentabilidad a 12 meses </w:t>
      </w:r>
      <w:r>
        <w:rPr>
          <w:b/>
          <w:bCs/>
        </w:rPr>
        <w:t xml:space="preserve">+27,2 % (base +27,4 %)</w:t>
      </w:r>
      <w:r>
        <w:t xml:space="preserve"> · Valor intrínseco 1.357,81 DKK · con la prima implícita del mercado: 1.747,71 (+53,6 %) · Alcista / bajista +57,8 % / -24,7 %</w:t>
      </w:r>
    </w:p>
    <w:p>
      <w:pPr>
        <w:spacing w:after="100"/>
      </w:pPr>
      <w:r>
        <w:rPr>
          <w:b/>
        </w:rPr>
        <w:t xml:space="preserve">La recomendación y por qué.</w:t>
      </w:r>
      <w:r>
        <w:t xml:space="preserve"> Comprar, con convicción media. El valor objetivo es de 1.357,81 DKK frente a un cierre de 1.137,5 DKK (+19,4 %; +20,0 % de rentabilidad total con el dividendo), con un alcista que gana 2,34 veces lo que pierde el bajista. Las dos reglas dan Comprar: con nuestro WACC del 7,97 % y con la prima que hoy pide el mercado (objetivo de 1.747,71 DKK). La razón: el precio descuenta que Schenker no mejorará el margen de DSV, y nuestras cifras, que son las del consenso, dicen que sí.</w:t>
      </w:r>
    </w:p>
    <w:p>
      <w:pPr>
        <w:spacing w:after="100"/>
      </w:pPr>
      <w:r>
        <w:rPr>
          <w:b/>
        </w:rPr>
        <w:t xml:space="preserve">El negocio.</w:t>
      </w:r>
      <w:r>
        <w:t xml:space="preserve"> DSV es el primer transitario del mundo, con un 6 % de cuota tras comprar Schenker [1]. Gana sobre el margen bruto, no sobre los ingresos, y su ventaja es convertir más margen bruto en EBIT que nadie: un 29,3 % en 2025, aun diluida por Schenker, frente al 14,1 % de Kuehne+Nagel y el 16,9 % de DHL Global Forwarding [1, 17, 18]. Antes de Schenker era del 37,5 % (2024) [1]. El ROIC antes de impuestos es del 40,4 % sin el fondo de comercio y del 10,8 % con él [2]: la red rinde, la compra todavía no. La calidad sostiene el crecimiento que proyectamos: un 3,2 % orgánico anual, casi todo volumen y poco más que el 2,3 % del mercado [24], sin compras nuevas; lo que pide fe no es el crecimiento sino que la conversión vuelva al 40 %.</w:t>
      </w:r>
    </w:p>
    <w:p>
      <w:pPr>
        <w:spacing w:after="100"/>
      </w:pPr>
      <w:r>
        <w:rPr>
          <w:b/>
        </w:rPr>
        <w:t xml:space="preserve">Finanzas.</w:t>
      </w:r>
      <w:r>
        <w:t xml:space="preserve"> El EBIT antes de partidas especiales pasará de 19.611 M en 2025 a unos 24.240 M en 2026 (guía de 23.500-25.500 M) y a unos 28.100 M en 2027 con las sinergias completas de 9.000 M [1, 2]. La deuda neta ajustada es de 89.631 M, 2,7 veces el EBITDA según DSV, con el objetivo de bajar de 2,0 veces en el 1S27 [2]. El flujo libre ajustado fue de 16.335 M en 2025 pero de solo 786 M en el 2T26, por el circulante [1, 2]. Restamos en el puente los ≈2.300 M de costes de integración pendientes.</w:t>
      </w:r>
    </w:p>
    <w:p>
      <w:pPr>
        <w:spacing w:after="100"/>
      </w:pPr>
      <w:r>
        <w:rPr>
          <w:b/>
        </w:rPr>
        <w:t xml:space="preserve">Equipo y gobierno.</w:t>
      </w:r>
      <w:r>
        <w:t xml:space="preserve"> Resta algo. La dirección cumplió su guía de 2021 a 2025, aunque en la parte baja en los dos últimos años [1, 33]. Pero el consejero delegado cobró 39,0 M DKK en 2025 (+37,8 %), con opciones sin condiciones de rendimiento y un bono sin métrica de sinergias, y los directivos vendieron 265 M en acciones en doce meses tras ejercer opciones [34, 44, 45, 46, 47].</w:t>
      </w:r>
    </w:p>
    <w:p>
      <w:pPr>
        <w:spacing w:after="100"/>
      </w:pPr>
      <w:r>
        <w:rPr>
          <w:b/>
        </w:rPr>
        <w:t xml:space="preserve">Valoración.</w:t>
      </w:r>
      <w:r>
        <w:t xml:space="preserve"> El DCF da 1.423,39 DKK; los escenarios, 1.374,49; los comparables, 1.100,28, con un PER de los próximos 12 meses de 15,8 veces frente a 23,8 de Kuehne+Nagel [62]. El DCF inverso dice que el precio descuenta un crecimiento del 0,4 % anual o un margen EBITDA del 12,9 % en vez del 14,5 %, y una rentabilidad del 9,0 %. Cotiza a 11,2 veces el EBITDA (media histórica: 15,8). Como nuestras cifras están a menos de un 2,5 % del consenso, discrepamos del mercado en la tasa, no en los beneficios: el precio pide un punto más que nuestro coste de capital por el riesgo de la integración. Por eso la convicción no es alta.</w:t>
      </w:r>
    </w:p>
    <w:p>
      <w:pPr>
        <w:spacing w:after="100"/>
      </w:pPr>
      <w:r>
        <w:rPr>
          <w:b/>
        </w:rPr>
        <w:t xml:space="preserve">Riesgos y catalizadores.</w:t>
      </w:r>
      <w:r>
        <w:t xml:space="preserve"> El primer riesgo es Road: si la pérdida de productividad y de clientes en Alemania, Francia y Países Bajos se vuelve permanente, cada punto de margen EBITDA resta un 12,7 % al valor [2]. El segundo, la caída de fletes tras el conflicto de Oriente Medio: el bajista, con una caída como la de 2023, vale 856,02 DKK (−24,7 %). El tercero, la tasa: con un WACC del 8,5 % el DCF baja a 1.276,02 DKK. Los catalizadores tienen fecha: resultados del 3T26 el 21-oct-2026 y guía de 2027 en febrero, la primera con todas las sinergias y sin integración [2].</w:t>
      </w:r>
    </w:p>
    <w:p>
      <w:pPr>
        <w:spacing w:after="100"/>
      </w:pPr>
      <w:r>
        <w:rPr>
          <w:b/>
        </w:rPr>
        <w:t xml:space="preserve">Qué cambiaría la decisión.</w:t>
      </w:r>
      <w:r>
        <w:t xml:space="preserve"> Compraríamos por debajo de 1.299,42 DKK y venderíamos por encima de 1.949,82 DKK. Pasaríamos a Mantener si la guía de 2027 deja el EBIT antes de partidas especiales por debajo de 27.000 M o si la conversión de Road no mejora en el 3T26 y el 4T26.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1.440,33 DKK</w:t>
      </w:r>
      <w:r>
        <w:t xml:space="preserve"> (rentabilidad +27,2 % (base +27,4 %)) · Valor intrínseco: 1.357,81 DKK (+19,4 % sobre 1.137,50) · con la prima implícita del mercado: 1.747,71 (+53,6 %)</w:t>
      </w:r>
    </w:p>
    <w:p>
      <w:pPr>
        <w:spacing w:after="100"/>
      </w:pPr>
      <w:r>
        <w:t xml:space="preserve">DSV es el mayor transitario del mundo tras comprar Schenker por 14.300 M EUR, a 14,0 veces su EBIT [13]. Su ventaja histórica es la productividad: convierte en EBIT más margen bruto que sus rivales (40,2 % en Air &amp; Sea en 2025) y ha sabido subir la conversión de cada compra, del 28,0 % al 43,1 % tras Panalpina [1, 6]. La compra de Schenker duplica el tamaño y promete 9.000 M de sinergias en 2027, más otros 9.000 M de productividad hasta 2030 [2, 15].</w:t>
      </w:r>
    </w:p>
    <w:p>
      <w:pPr>
        <w:spacing w:after="100"/>
      </w:pPr>
      <w:r>
        <w:t xml:space="preserve">A 1.137,5 DKK, el mercado no se cree esa historia. El DCF inverso descuenta un crecimiento del 0,4 % anual o un margen EBITDA del 12,9 %, por debajo del 13,1 % de 2024 sin Schenker. DSV cotiza a 11,2 veces el EBITDA, un 29 % por debajo de su media histórica, y a 15,8 veces el beneficio de los próximos 12 meses frente a 23,8 de Kuehne+Nagel [62]. Los tropiezos de Road en el 2T26 (−14,2 % el día de resultados) y el contrato de logística de AWS que Amazon dio a Kuehne+Nagel en septiembre explican el castigo [2, 28].</w:t>
      </w:r>
    </w:p>
    <w:p>
      <w:pPr>
        <w:spacing w:after="100"/>
      </w:pPr>
      <w:r>
        <w:t xml:space="preserve">Para invertir hay que creer dos cosas. Primero, que los problemas de Road son de una integración en marcha y no de una pérdida de clientes permanente. Segundo, que las sinergias, que en un 55 % ya estarán en la cuenta de 2026, llevan la conversión hacia el 40 % de 2023 aunque no lleguen al 45 % prometido. Con eso, el caso base coincide con el consenso y vale 1.423,39 DKK por DCF. El mercado acierta en que el riesgo es mayor que antes, pero lo cobra dos veces: en el múltiplo y en una tasa implícita del 9,0 %.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1.440,33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51,00 = 663,00 · 16,3x × 88,50 = 1.442,55 · 22,0x × 100,60 = 2.213,20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1.939,00 (nuestro base -25,6 %)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1.357,81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8,0 %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1.747,71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20,0 % (&lt; 25 %); el precio descuenta solo 2,8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1.258,54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1.258,54 y 1.608,14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1.608,14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(febrero) deja el EBIT antes de partidas especiales por debajo de 27.000 M, pasaríamos a Mantener; por debajo de 25.000 M, a Vender.</w:t>
      </w:r>
    </w:p>
    <w:p>
      <w:pPr>
        <w:pStyle w:val="ListParagraph"/>
        <w:numPr>
          <w:ilvl w:val="0"/>
          <w:numId w:val="2"/>
        </w:numPr>
        <w:spacing w:after="60"/>
      </w:pPr>
      <w:r>
        <w:t xml:space="preserve">Si la conversión del grupo del 3T26 o del 4T26 cae por debajo del 30 %, revisaríamos el margen del caso base y probablemente pasaríamos a Mantener.</w:t>
      </w:r>
    </w:p>
    <w:p>
      <w:pPr>
        <w:pStyle w:val="ListParagraph"/>
        <w:numPr>
          <w:ilvl w:val="0"/>
          <w:numId w:val="2"/>
        </w:numPr>
        <w:spacing w:after="60"/>
      </w:pPr>
      <w:r>
        <w:t xml:space="preserve">Si el precio sube por encima de 1.299,42 DKK sin cambios en las cifras, pasaríamos a Mantener; por encima de 1.949,82 DKK, a Vender.</w:t>
      </w:r>
    </w:p>
    <w:p>
      <w:pPr>
        <w:pStyle w:val="ListParagraph"/>
        <w:numPr>
          <w:ilvl w:val="0"/>
          <w:numId w:val="2"/>
        </w:numPr>
        <w:spacing w:after="60"/>
      </w:pPr>
      <w:r>
        <w:t xml:space="preserve">Si DSV anuncia una compra grande antes de bajar de 2,0 veces de deuda neta sobre EBITDA, revisaríamos la tesis a la baja.</w:t>
      </w:r>
    </w:p>
    <w:p>
      <w:pPr>
        <w:pStyle w:val="ListParagraph"/>
        <w:numPr>
          <w:ilvl w:val="0"/>
          <w:numId w:val="2"/>
        </w:numPr>
        <w:spacing w:after="60"/>
      </w:pPr>
      <w:r>
        <w:t xml:space="preserve">Si el margen bruto por TEU baja de 3.800 DKK dos trimestres seguidos, rebajaríamos el crecimiento del margen bruto de 2027.</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Schenker ha roto la máquina de DSV: el precio supone un crecimiento del 0,4 % anual y un margen EBITDA del 12,9 %, una conversión en torno al 35 %, apenas por encima del 30,8 % del 2T26 y lejos del 40 % de DSV antes de la compra. Además exige una rentabilidad del 9,0 %, un punto más que su coste de capital, por el riesgo de ejecución que dejó ver Road en julio.</w:t>
      </w:r>
    </w:p>
    <w:p>
      <w:pPr>
        <w:keepNext/>
        <w:spacing w:after="100"/>
      </w:pPr>
      <w:r>
        <w:rPr>
          <w:b/>
          <w:bCs/>
        </w:rPr>
        <w:t xml:space="preserve">Lo que creemos nosotros.</w:t>
      </w:r>
    </w:p>
    <w:p>
      <w:pPr>
        <w:spacing w:after="100"/>
      </w:pPr>
      <w:r>
        <w:t xml:space="preserve">La integración va más deprisa de lo previsto (fin en 2026 frente a finales de 2028 en el plan inicial) y ya ha recortado más de 8.000 empleados de oficina [2]. Con las sinergias en la cuenta, la conversión de 2027 rondará el 34,5 % y la de 2030 el 40,5 %, cinco puntos por debajo del objetivo de la empresa. Esas cifras coinciden con el consenso: no pedimos un milagro, sino que se cumpla lo que ya está a medio hacer.</w:t>
      </w:r>
    </w:p>
    <w:p>
      <w:pPr>
        <w:keepNext/>
        <w:spacing w:after="100"/>
      </w:pPr>
      <w:r>
        <w:rPr>
          <w:b/>
          <w:bCs/>
        </w:rPr>
        <w:t xml:space="preserve">Por qué podemos tener razón.</w:t>
      </w:r>
    </w:p>
    <w:p>
      <w:pPr>
        <w:spacing w:after="100"/>
      </w:pPr>
      <w:r>
        <w:t xml:space="preserve">Porque DSV ya lo ha hecho tres veces (UTi, Panalpina y GIL) y en las tres la conversión y el ROIC acabaron por encima del punto de partida [6]. Porque el problema visible está en Road, que aporta el 14 % del EBIT, y no en Air &amp; Sea, cuya conversión subió al 42,4 % en el 2T26 [2]. Y porque los costes de integración terminan este año: el beneficio contable casi se duplica en 2027 según el consenso (BPA de 41,0 a 81,3 DKK) [56].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no descuenta casi crecimiento</w:t>
      </w:r>
      <w:r>
        <w:t xml:space="preserve">: un 0,4 % anual frente al 3,2 % del caso base y el 2,3 % previsto para el mercado [24].</w:t>
      </w:r>
    </w:p>
    <w:p>
      <w:pPr>
        <w:pStyle w:val="ListParagraph"/>
        <w:numPr>
          <w:ilvl w:val="0"/>
          <w:numId w:val="2"/>
        </w:numPr>
        <w:spacing w:after="60"/>
      </w:pPr>
      <w:r>
        <w:rPr>
          <w:b/>
        </w:rPr>
        <w:t xml:space="preserve">Múltiplo en mínimos de su historia</w:t>
      </w:r>
      <w:r>
        <w:t xml:space="preserve">: 11,2 veces el EBITDA frente a una media de 15,8 veces y un 23 % por debajo de Kuehne+Nagel [62].</w:t>
      </w:r>
    </w:p>
    <w:p>
      <w:pPr>
        <w:pStyle w:val="ListParagraph"/>
        <w:numPr>
          <w:ilvl w:val="0"/>
          <w:numId w:val="2"/>
        </w:numPr>
        <w:spacing w:after="60"/>
      </w:pPr>
      <w:r>
        <w:rPr>
          <w:b/>
        </w:rPr>
        <w:t xml:space="preserve">Sinergias a medio hacer</w:t>
      </w:r>
      <w:r>
        <w:t xml:space="preserve">: más de 8.000 empleados de oficina menos y unos 5.000 M de los 9.000 M ya en la cuenta de 2026 [2].</w:t>
      </w:r>
    </w:p>
    <w:p>
      <w:pPr>
        <w:pStyle w:val="ListParagraph"/>
        <w:numPr>
          <w:ilvl w:val="0"/>
          <w:numId w:val="2"/>
        </w:numPr>
        <w:spacing w:after="60"/>
      </w:pPr>
      <w:r>
        <w:rPr>
          <w:b/>
        </w:rPr>
        <w:t xml:space="preserve">Historial de integrador</w:t>
      </w:r>
      <w:r>
        <w:t xml:space="preserve">: la conversión subió del 28,0 % al 43,1 % en dos años tras Panalpina y la guía se cumplió de 2021 a 2025 [1, 6].</w:t>
      </w:r>
    </w:p>
    <w:p>
      <w:pPr>
        <w:pStyle w:val="ListParagraph"/>
        <w:numPr>
          <w:ilvl w:val="0"/>
          <w:numId w:val="2"/>
        </w:numPr>
        <w:spacing w:after="60"/>
      </w:pPr>
      <w:r>
        <w:rPr>
          <w:b/>
        </w:rPr>
        <w:t xml:space="preserve">La red rinde</w:t>
      </w:r>
      <w:r>
        <w:t xml:space="preserve">: ROIC antes de impuestos del 40,4 % sin el fondo de comercio [2].</w:t>
      </w:r>
    </w:p>
    <w:p>
      <w:pPr>
        <w:pStyle w:val="Heading2"/>
      </w:pPr>
      <w:r>
        <w:t xml:space="preserve">En contra</w:t>
      </w:r>
    </w:p>
    <w:p>
      <w:pPr>
        <w:pStyle w:val="ListParagraph"/>
        <w:numPr>
          <w:ilvl w:val="0"/>
          <w:numId w:val="2"/>
        </w:numPr>
        <w:spacing w:after="60"/>
      </w:pPr>
      <w:r>
        <w:rPr>
          <w:b/>
        </w:rPr>
        <w:t xml:space="preserve">Road falla</w:t>
      </w:r>
      <w:r>
        <w:t xml:space="preserve">: menos productividad y clientes descontentos en Alemania, Francia y Países Bajos; la acción cayó un 14,2 % el 22-jul [2, 55].</w:t>
      </w:r>
    </w:p>
    <w:p>
      <w:pPr>
        <w:pStyle w:val="ListParagraph"/>
        <w:numPr>
          <w:ilvl w:val="0"/>
          <w:numId w:val="2"/>
        </w:numPr>
        <w:spacing w:after="60"/>
      </w:pPr>
      <w:r>
        <w:rPr>
          <w:b/>
        </w:rPr>
        <w:t xml:space="preserve">Schenker aún no paga su coste</w:t>
      </w:r>
      <w:r>
        <w:t xml:space="preserve">: ROIC antes de impuestos del 10,8 % con el fondo de comercio, unos 8,2 % después de impuestos frente a un WACC del 7,97 % [2].</w:t>
      </w:r>
    </w:p>
    <w:p>
      <w:pPr>
        <w:pStyle w:val="ListParagraph"/>
        <w:numPr>
          <w:ilvl w:val="0"/>
          <w:numId w:val="2"/>
        </w:numPr>
        <w:spacing w:after="60"/>
      </w:pPr>
      <w:r>
        <w:rPr>
          <w:b/>
        </w:rPr>
        <w:t xml:space="preserve">Fletes altos que se pueden girar</w:t>
      </w:r>
      <w:r>
        <w:t xml:space="preserve">: el índice WCI está en 4.434 USD por contenedor frente a 1.420 de media en 2019 [26].</w:t>
      </w:r>
    </w:p>
    <w:p>
      <w:pPr>
        <w:pStyle w:val="ListParagraph"/>
        <w:numPr>
          <w:ilvl w:val="0"/>
          <w:numId w:val="2"/>
        </w:numPr>
        <w:spacing w:after="60"/>
      </w:pPr>
      <w:r>
        <w:rPr>
          <w:b/>
        </w:rPr>
        <w:t xml:space="preserve">Retribución sin exigencia</w:t>
      </w:r>
      <w:r>
        <w:t xml:space="preserve">: 39,0 M DKK para el consejero delegado (+37,8 %), opciones sin condiciones de rendimiento y ventas de directivos por 265 M en doce meses [34, 44, 45, 46, 47].</w:t>
      </w:r>
    </w:p>
    <w:p>
      <w:pPr>
        <w:pStyle w:val="ListParagraph"/>
        <w:numPr>
          <w:ilvl w:val="0"/>
          <w:numId w:val="2"/>
        </w:numPr>
        <w:spacing w:after="60"/>
      </w:pPr>
      <w:r>
        <w:rPr>
          <w:b/>
        </w:rPr>
        <w:t xml:space="preserve">Muy sensible a la tasa</w:t>
      </w:r>
      <w:r>
        <w:t xml:space="preserve">: con un WACC del 8,5 % el DCF baja a 1.276,02 DKK, solo un 12 % sobre el precio.</w:t>
      </w:r>
    </w:p>
    <w:p>
      <w:pPr>
        <w:pStyle w:val="Heading2"/>
      </w:pPr>
      <w:r>
        <w:t xml:space="preserve">Qué tiene que pasar para que la tesis funcione</w:t>
      </w:r>
    </w:p>
    <w:p>
      <w:pPr>
        <w:spacing w:after="100"/>
      </w:pPr>
      <w:r>
        <w:t xml:space="preserve">La tesis depende de que la conversión del grupo suba del 30,8 % del 2T26 hacia el 34-35 % en 2027 a medida que entran las sinergias. La señal de que no se cumple sería un 3T26 y un 4T26 con Road todavía por debajo del 15 % de conversión sin las plusvalías inmobiliarias, o una guía de 2027 con el EBIT antes de partidas especiales por debajo de 27.000 M. La deuda debe seguir bajando hacia 2,0 veces el EBITDA en el 1S27.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 antes de partidas especiales / 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directa de las sinergias; el caso base pide 34,5 %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Road sin plusvalías inmobiliarias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750 M en el 2T26 (999 M con unos 250 M de plusvalías)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Road es donde ha fallado la integración.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arrendamientos / EBITDA (definición de DSV)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bajar de 2,0x no vuelven las recompras y el rating A− queda en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 DKK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3.800 DKK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caída de fletes de la pérdida de precio frente a rivales.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12.000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subió en el 2T26; tiene que volver con los cobros de inmuebles.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DSV nace en 1976 como «De Sammensluttede Vognmænd», una agrupación de diez transportistas daneses por carretera liderada por Leif Tullberg [16]. Su modelo de crecimiento ha sido comprar e integrar: la compra de DFDS Dan Transport en 2000 marcó el salto fuera de la carretera danesa y en 2001 la empresa se organizó en las tres divisiones que mantiene hoy (Road, Air &amp; Sea y Contract Logistics) [16]. Frans Maas (2006) y ABX (2008) la hicieron europea y global; UTi (2016), Panalpina (2019) y GIL de Agility (2021) la llevaron al podio mundial; y Schenker, comprada a Deutsche Bahn y cerrada a finales de abril de 2025, es la mayor operación de su historia y la convierte en el primer transitario del mundo [2, 16]. Jens H. Lund es consejero delegado desde 2024 [16]. En mayo de 2026 presentó la estrategia «Leverage to Lead» con objetivos para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De Sammensluttede Vognmænd af 13-7 1976 A/S por Leif Tullberg y nueve transportistas independientes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DFDS Dan Transport Group, «un paso decisivo» que abre la etapa internacional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en tres divisiones: Road, Air &amp; Sea y Contract Logistics, la estructura actual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Frans Maas (Países Bajos), refuerzo de la red europea de carretera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ABX Logistics: DSV pasa a ser una empresa global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UTi Worldwide (EE. UU.), gran salto en aire y mar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Panalpina: cuarto grupo de transporte y logística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Global Integrated Logistics (GIL) de Agility: entre los tres primeros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consejero delegado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Schenker a Deutsche Bahn a finales de abril, la mayor de su historia; integración prevista para finales de 2026 y sinergias anuales de unos 9.000 M DKK con efecto pleno en 2027 [2,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(12 de mayo): estrategia «Leverage to Lead» con objetivo de conversión del grupo de ~45 % y ROIC antes de impuestos de ~20 % en 2030, y ~9.000 M DKK adicionales de productividad por IA y red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DSV organiza el transporte de mercancías de terceros por aire, mar y carretera y gestiona almacenes y distribución, sobre todo entre empresas (B2B) [1]. El transporte lo hacen terceros (navieras, aerolíneas, transportistas por carretera y ferrocarril) y los almacenes son en su mayoría alquilados: es un modelo de pocos activos [1]. Tiene tres divisiones: </w:t>
      </w:r>
      <w:r>
        <w:rPr>
          <w:b/>
        </w:rPr>
        <w:t xml:space="preserve">Air &amp; Sea</w:t>
      </w:r>
      <w:r>
        <w:t xml:space="preserve"> (transitario aéreo y marítimo, con aduanas, consolidación y servicios de valor añadido; 3,70 millones de TEU y 2,01 millones de toneladas en 2025), </w:t>
      </w:r>
      <w:r>
        <w:rPr>
          <w:b/>
        </w:rPr>
        <w:t xml:space="preserve">Road</w:t>
      </w:r>
      <w:r>
        <w:t xml:space="preserve"> (grupaje y cargas completas, líder en Europa) y </w:t>
      </w:r>
      <w:r>
        <w:rPr>
          <w:b/>
        </w:rPr>
        <w:t xml:space="preserve">Contract Logistics</w:t>
      </w:r>
      <w:r>
        <w:t xml:space="preserve"> (unos 17 millones de m² en más de 1.200 centros a mitad de 2026) [1, 2]. Trabaja con unas 150.000 personas en más de 90 países y se organiza por sectores de cliente: aeroespacial y defensa, automoción, consumo, salud, industria y tecnología [1, 2].</w:t>
      </w:r>
    </w:p>
    <w:p>
      <w:pPr>
        <w:pStyle w:val="Heading2"/>
      </w:pPr>
      <w:r>
        <w:t xml:space="preserve">Cómo gana dinero</w:t>
      </w:r>
    </w:p>
    <w:p>
      <w:pPr>
        <w:spacing w:after="100"/>
      </w:pPr>
      <w:r>
        <w:t xml:space="preserve">El margen bruto es la diferencia entre lo que DSV cobra al cliente y lo que paga a la naviera, aerolínea o transportista, más las tarifas de aduanas y servicios [1]. Por eso los ingresos se mueven con los fletes (en el segundo trimestre de 2026 subieron un 23,4 % mientras el margen bruto de Air &amp; Sea bajó al 21,3 % desde el 24,6 % por el traspaso de tarifas y combustible), y lo que importa es el margen bruto por unidad: 4.274 DKK por TEU y 8.242 DKK por tonelada en 2025, frente a 4.752 y 8.551 en 2024 [1, 2]. El beneficio depende de convertir ese margen bruto en EBIT: la conversión del grupo fue del 29,3 % en 2025 (37,5 % en 2024) y la de Air &amp; Sea del 40,2 % (48,1 %) [1]. El coste es sobre todo personal, lo que da apalancamiento operativo con el volumen; la integración de Schenker y las sinergias de unos 9.000 M DKK son hoy la palanca principal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DSV dice no depender de ningún gran cliente: ninguno supera el 5 % de los ingresos del grupo [1]. No publica la cuota de los diez primeros ni tasas de renovación. Combina grandes cuentas globales, gestionadas por sectores, con una base amplia de pequeñas y medianas empresas, que la propia compañía considera central [2]. Tras la compra de Schenker mantuvo «una retención alta» de los mayores clientes globales, pero en el segundo trimestre de 2026 bajó la satisfacción en Road por los problemas operativos de la integración en Alemania, Francia y Países Bajos [2]. Como referencia del sector, en C.H. Robinson los cien primeros clientes suponen ~40 % de los ingresos y el primero ~2 % [20]. El poder de precios es limitado y se ve en el margen por unidad, no en el porcentaje: el margen bruto por TEU de DSV cayó de 4.752 a 4.274 DKK en 2025 y a 3.964 DKK en el primer semestre de 2026, en parte por la mezcla de Schenker, de menor margen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3.695.424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Schenker 8 meses. Serie: 1.389.611 (2017), 1.442.348 (2018), 2.204.902 (2020), 2.493.951 (2021), 2.665.147 (2022), 2.519.295 (2023). 1S26: 1.983.978 TEU (+24 %)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aporta rendimientos más bajos; en el 1S26 bajó a 3.964 DKK frente a 4.679 en el 1S25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(toneladas)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2.013.127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635.655 (2017), 689.045 (2018), 1.272.405 (2020), 1.510.833 (2021), 1.557.972 (2022), 1.305.827 (2023). 1S26: 1.076.256 t (+28 %)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tonelada aérea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8.482 frente a 8.733; en el 2T26 subió a 8.722 por la crisis de Oriente Medio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división en 2025: Air &amp; Sea 40,2 % (48,1 %), Road 16,5 % (24,2 %), Contract Logistics 20,4 % (23,2 %). Máximo de 48,3 % en 2022; 28,4 % en el 1S26; objetivo 2030 de al menos el 45 %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antes de impuestos (con fondo de comercio)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21,5 % (2016), 23,4 % (2017), 26,7 % (2018), 13,4 % (2019), 14,3 % (2020), 19,6 % (2021), 25,1 % (2022), 17,8 % (2023); 10,8 % LTM jun-26. Sin fondo de comercio ni relaciones con clientes: 77,9 % (2021), 105,1 % (2022), 76,3 % (2023), 57,7 % (2024), 48,1 % (2025), 40,4 % LTM jun-26 [1, 2,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(FTE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73.338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8.000 puestos de oficina menos desde el inicio de la integración (a jun-26)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 transporte aéreo y marítimo internacional, con aduanas y servicios asociados), que pesa la mayor parte del beneficio de DSV (Air &amp; Sea fue el 66 % del EBIT antes de partidas especiales de 2025) [1]. Se mide por ingresos netos de los transitarios (Transport Intelligence) y por volumen: 25,2 millones de toneladas de carga aérea de exportación y 69,0 millones de TEU marítimos controlados por transitarios en 2025 (DHL, con WorldACD y CTS) [18, 24]. El tamaño en valor usa Ti; el volumen sirve de contraste. Quedan fuera la carretera europea y la logística por contrato, donde DSV también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[23, 24]. En volumen: 25,2 M t de carga aérea y 69,0 M TEU marítimos controlados por transitarios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2T26 el margen bruto de Air &amp; Sea cayó al 21,3 % (24,6 %) por el traspaso de fletes y combustible [2]. El WCI estaba en 4.434 USD por FEU el 1-oct-2026, con Asia-Europa a la baja doce semanas seguidas [26], frente a 1.420 USD de media en 2019 y un máximo de 10.377 USD en septiembre de 2021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[1]; el fin de la exención de minimis redujo la demanda aérea China-EE. UU. en el 2S25 [19]. A cambio, la complejidad aduanera elevó un 13 % los ingresos de aduanas y otros servicios de Expeditors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[24]; las tarifas subieron y DSV elevó su margen por tonelada aérea en el 2T26 [2]. El tránsito por Suez en la semana 39 era un 68 % mayor que un año antes, lo que añade capacidad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[17]; DSV crece en Technology y espera ~9.000 M DKK de productividad por IA y red hasta 2030 [2,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[1]. En 2025 la conversión de Kuehne+Nagel en mar cayó del 41,1 % al 25,8 % y el EBIT de DHL Global Forwarding, Freight un 29,6 %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[1], pero los grandes cargadores reparten su carga entre varios proveedores logísticos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[1]; las crisis de capacidad (−22 % de capacidad aérea en 2026) encarecen la compra, aunque se trasladan al cliente con retraso [2,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[1]; competir en compras exige escala: DSV es uno de los mayores compradores de transporte del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[1]; el transporte en sí no tiene sustituto.</w:t>
            </w:r>
          </w:p>
        </w:tc>
      </w:tr>
    </w:tbl>
    <w:p>
      <w:pPr>
        <w:spacing w:after="160" w:before="0"/>
      </w:pPr>
    </w:p>
    <w:p>
      <w:pPr>
        <w:pStyle w:val="Heading2"/>
      </w:pPr>
      <w:r>
        <w:t xml:space="preserve">Ciclo</w:t>
      </w:r>
    </w:p>
    <w:p>
      <w:pPr>
        <w:spacing w:after="100"/>
      </w:pPr>
      <w:r>
        <w:t xml:space="preserve">Los fletes siguen altos por Oriente Medio (WCI 4.434 USD/FEU el 1-oct-2026) pero Asia-Europa lleva doce semanas bajando y Ti prevé que el mercado crezca solo un 2,5 % en 2026 [24, 26]. En el último ciclo el beneficio del sector se multiplicó y volvió: el EBIT de Kuehne+Nagel pasó de 1.070 M CHF en 2020 a 3.763 M en 2022 y a 1.242 M en 2025, y su conversión del 14,3 % al 33,9 % y al 14,1 % [17]; el resultado de explotación de Expeditors, de 940 M USD en 2020 a 1.909 M en 2021 y a 940 M en 2023 [22]. El WCI tocó 10.377 USD/FEU en septiembre de 2021, frente a una media de 1.420 USD en 2019 [27];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[1, 19]. En descarbonización, DSV se ha fijado reducir un 50 % las emisiones de alcances 1 y 2 y un 30 % las de alcance 3 en 2030 frente a 2019 (objetivos validados por SBTi en 2023), y casi todo su inventario es transporte subcontratado [1]. En EE. UU., C.H. Robinson opera como agente de cargas con licencia del Departamento de Transporte [20]; Expeditors considera que la regulación no supone una restricción económica significativa [19].</w:t>
      </w:r>
    </w:p>
    <w:p>
      <w:pPr>
        <w:pStyle w:val="Heading2"/>
      </w:pPr>
      <w:r>
        <w:t xml:space="preserve">Tendencias y disrupción</w:t>
      </w:r>
    </w:p>
    <w:p>
      <w:pPr>
        <w:spacing w:after="100"/>
      </w:pPr>
      <w:r>
        <w:t xml:space="preserve">Tres tendencias: la regionalización de la producción y el doble aprovisionamiento, que alargan y complican las cadenas [1]; la digitalización e IA, que DSV quiere aprovechar con su plataforma de datos y unos 9.000 M DKK de ahorros en 2030 [2, 15]; y la entrada de navieras en el puerta a puerta, que compiten con sus clientes transitarios [1]. Los transitarios digitales no han ganado cuota relevante por su limitada capacidad logística [1]. El comercio electrónico transfronterizo y la carga de centros de datos sostienen el aéreo [17, 24]. Ti espera que el marítimo crezca a un 2,9 % anual hasta 2030 y el aéreo a un 1,6 % [24]. A DSV la escala le favorece en compras y tecnología, pero la integración resta foco comercial a corto plazo [2].</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transitario mundial: ~6 % del mercado según la estimación de DSV sobre ingresos de 2024 proforma con Schenker, por delante de DHL (~5 %) y Kuehne+Nagel (~4 %) [1]. En volumen de 2025 (Schenker solo desde mayo), 3,70 M TEU frente a 69,0 M controlados por transitarios (≈5,4 %) y 2,01 M t frente a 25,2 M t de carga aérea de exportación (≈8,0 %) (estimación propia con [1, 18]). En carretera es líder en Europa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24.476 M CHF y EBIT de 1.242 M (conversión del 14,1 %) en 2025 [17]. Se declara primero del mundo en mar y en aire. Mar: 4,33 M TEU con 483 CHF de margen bruto por TEU (≈ 3.871 DKK, frente a 4.274 de DSV) y conversión del 25,8 % (41,1 % en 2024); 2,24 M t aéreas con 776 CHF por tonelada (≈ 6.224 DKK) y conversión del 24,7 % [1, 17]. En septiembre de 2026 firmó un acuerdo de hasta siete años con Amazon para la logística de infraestructura de AWS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[18]. Volúmenes de 2025: 1,77 M t aéreas (−1,0 %) y 3,27 M TEU (−1,2 %), con salida deliberada de negocio de bajo margen [18]. Cita a DSV y Kuehne+Nagel como sus competidores clave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[19]. Ingresos de 11.069 M USD y resultado de explotación de 1.053 M en 2025; margen neto de transporte (ingresos menos costes directos) de 3.667 M USD, conversión del 28,7 % [19]. Aduanas y otros servicios ya son el 39 % de los ingresos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[20]. Margen bruto ajustado del grupo de 2.729 M USD y resultado de explotación de 795 M: conversión del 29,1 %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se define como plataforma cuyo valor crece con la red (más de 90 países, grupaje europeo) [1]; la densidad abarata la consolidación, pero los clientes pueden usar varias redes a la vez.</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reparten la carga entre varios proveedores logísticos [7]; ningún cliente supera el 5 % de los ingresos de DSV [1]. Algo más altos en logística por contrato e integraciones informáticas.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las licencias de agente o NVOCC son accesibles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Air &amp; Sea del 48,1 % en 2024 y del 40,2 % en 2025, frente al 41,1 % y 25,8 % de Kuehne+Nagel en mar [1, 5]; margen EBIT del grupo del 7,9 % frente al 5,1 % de Kuehne+Nagel y el 4,1 % de DHL Global Forwarding, Freight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transitario del mundo y uno de los mayores compradores de transporte [1]; la escala no impide que el mercado siga fragmentado (top 20 ~40 %) ni la entrada de competidores regionales [1].</w:t>
            </w:r>
          </w:p>
        </w:tc>
      </w:tr>
    </w:tbl>
    <w:p>
      <w:pPr>
        <w:spacing w:after="160" w:before="0"/>
      </w:pPr>
    </w:p>
    <w:p>
      <w:pPr>
        <w:pStyle w:val="Heading2"/>
      </w:pPr>
      <w:r>
        <w:t xml:space="preserve">Amenazas</w:t>
      </w:r>
    </w:p>
    <w:p>
      <w:pPr>
        <w:spacing w:after="100"/>
      </w:pPr>
      <w:r>
        <w:t xml:space="preserve">Primero, la ejecución: la integración de Schenker restó productividad y volumen en Road (Alemania, Francia, Países Bajos), cambió la dirección de la división y bajó la satisfacción de los clientes; el mar creció menos de lo esperado en Asia-Europa [2]. Segundo, los competidores que capten grandes cuentas mientras DSV integra: Kuehne+Nagel cerró con Amazon un acuerdo de hasta siete años para la logística de AWS y la acción de DSV cayó un 4,2 % ese día, aunque nadie confirmó que DSV pujara [28]. Tercero, la normalización de fletes tras Oriente Medio, que ya presiona el margen por TEU (3.964 DKK en el 1S26) [2, 26]. Cuarto, las navieras con oferta puerta a puerta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2016-2025: ingresos </w:t>
      </w:r>
      <w:r>
        <w:rPr>
          <w:b/>
          <w:bCs/>
        </w:rPr>
        <w:t xml:space="preserve">15,5 %</w:t>
      </w:r>
      <w:r>
        <w:t xml:space="preserve">, EBITDA </w:t>
      </w:r>
      <w:r>
        <w:rPr>
          <w:b/>
          <w:bCs/>
        </w:rPr>
        <w:t xml:space="preserve">23,4 %</w:t>
      </w:r>
      <w:r>
        <w:t xml:space="preserve">, BPA </w:t>
      </w:r>
      <w:r>
        <w:rPr>
          <w:b/>
          <w:bCs/>
        </w:rPr>
        <w:t xml:space="preserve">16,2 %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Tres saltos de perímetro explican casi todo el crecimiento: UTi (2016), Panalpina (ago-2019), GIL (16-ago-2021) y Schenker (desde el 1-may-2025). Los ingresos pasan de 67.747 M DKK en 2016 a 247.331 M en 2025 [1, 7], pero con el ciclo de fletes en medio: 2021-2022 inflaron ingresos y margen (EBIT antes de partidas especiales de 25.204 M en 2022, margen operativo 10,7 %, conversión 48,3 %) y 2023-2024 los devolvieron (16.096 M en 2024) [1, 4]. En 2025 el EBIT antes de partidas especiales sube un 21,8 % a 19.611 M, pero el margen operativo cae de 9,6 % a 7,9 % y la conversión (EBIT/margen bruto) de 37,5 % a 29,3 % por la dilución de Schenker [1]. Sin Schenker y a tipo de cambio constante, el EBIT del 3T25 cayó un 7,3 % [11]. Proforma con Schenker desde el 1-ene-2025, los ingresos de 2025 habrían sido unos 293.368 M y el beneficio unos 8.644 M [1]. El LTM a jun-26 (290.772 M de ingresos, 22.136 M de EBIT antes de partidas especiales) ya tiene Schenker los doce meses y es la primera base limpia de perímetro [2]. 2016 y 2019 vienen de las tablas de cinco años (sin desglose de costes) y 2017-2018 no están reexpresados por NIIF 16 [6, 7].</w:t>
      </w:r>
    </w:p>
    <w:p>
      <w:pPr>
        <w:pStyle w:val="Heading2"/>
      </w:pPr>
      <w:r>
        <w:t xml:space="preserve">Ajustes y partidas no recurrentes</w:t>
      </w:r>
    </w:p>
    <w:p>
      <w:pPr>
        <w:spacing w:after="100"/>
      </w:pPr>
      <w:r>
        <w:t xml:space="preserve">DSV presenta el EBITDA y el EBIT antes de partidas especiales (special items); en la cuenta de esta nota van esas cifras tal como las publica, y las partidas especiales quedan entre el EBIT y el beneficio antes de impuestos (por eso bai = ebit + resultado financiero − partidas especiales). Partidas especiales (M DKK): 2016 1.002 (UTi); 2017 525; 2018 0; 2019 800 (Panalpina); 2020 2.164 (Panalpina); 2021 478 (GIL); 2022 1.117; 2023 0; 2024 853 (Schenker, de ellas 196 de costes de transacción); 2025 4.527 (Schenker; 554 de transacción) [1, 4, 6, 7]. 1S26: 2.921 [2]. Se repiten en cada compra grande: son recurrentes para un consolidador. El coste total de integración de Schenker se estima en unos 11.000 M DKK, con ~7.400 M acumulados a jun-26 y ~6.500 M esperados en 2026 [2]. 2025 incluye además una pérdida de actividades interrumpidas de 291 M [1]. LTM jun-26 calculado como 2025 − 1S25 + 1S26 con cifras antes de partidas especiales; el BPA LTM (28,89) es el beneficio atribuido LTM entre 237,742 M de acciones diluidas medias (estimación propia) [1, 2, 9, 12]. Para 2016 y 2019, bai e impuestos derivados de la tabla de cinco años (EBIT − especiales − financieros; tipo efectivo publicado) [6, 7]. El FCF LTM (11.491 M) es el flujo libre ajustado de DSV (después de arrendamientos, antes de partidas especiales pagadas y de compras): 16.335 M de 2025 − 7.147 M del 1S25 + 2.303 M del 1S26 [1, 2, 10]. Los crecimientos trimestrales se calculan sobre los ingresos del mismo trimestre del año anterior publicados en cada informe, y el EBITDA del 4T como el anual menos los nueve meses [1, 3, 8, 9, 10, 11,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leído las transcripciones de las conferencias del 1T26 (29-abr-2026) ni del 2T26 (22-jul-2026); lo que sigue sale de los dos informes y del mensaje de la dirección en cada uno [2, 12]. En el 1T26 el discurso fue de resistencia: EBIT antes de partidas especiales de 4.855 M DKK (+31,2 % a tipo constante, por Schenker), más de 50 países integrados o en integración, sinergias de 9.000 M con impacto completo en 2027 (al menos +4.000 M en 2026) y previsión de EBIT de 23.000-25.500 M para 2026; el riesgo citado era la guerra en Oriente Medio [12]. En el 2T26 el tono cambia en dos cosas. Primero, la dirección admite problemas: la integración de Road en Alemania, Francia y Países Bajos bajó la productividad y empeoró la satisfacción de los clientes, y llevó a cambiar a los equipos locales y a poner al COO del grupo, Brian Ejsing, al frente de Road [2]. Segundo, estrecha la previsión por abajo (23.500-25.500 M) gracias a la carga aérea, que mejoró con la crisis de Oriente Medio (conversión de Air &amp; Sea del 42,4 %, la primera mejora desde la compra) [2]. El flujo libre ajustado del trimestre cayó a 786 M por el circulante, y unos 250 M del EBIT de Road vinieron de vender inmuebles [2]. En mayo de 2026 presentó la estrategia «Leverage to Lead»: unos 9.000 M de ahorro de costes a 2030, conversión de al menos el 45 % y ROIC antes de impuestos de al menos el 20 %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UTi Worldwide, comprada en enero de 2016: casi todo el año en la cuenta; la plantilla pasa de 22.783 a 44.779 FTE y 2015 no es comparable.; 2019: Panalpina, consolidada desde agosto de 2019 (canje de acciones): unos cinco meses en la cuenta y año completo en el balance; además entra la NIIF 16 (2017-2018 sin reexpresar).; 2021: GIL de Agility, consolidada desde el 16-ago-2021 (pago en acciones): unos 4,5 meses en la cuenta y completa en el balance.; 2024: Balance inflado por la financiación de Schenker antes del cierre: 83.576 M de caja (ampliación de 36.605 M y bonos) sin el negocio comprado; deuda neta negativa.; 2025: Schenker, cerrada el 30-abr-2025 y consolidada desde el 1-may-2025: ocho meses en la cuenta y completa en el balance; casi duplica ingresos, activo y plantilla.).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(definición de DSV) pasó de −529 M DKK a cierre de 2024 (caja de la ampliación y los bonos aún sin usar) a 86.624 M a cierre de 2025 y 87.331 M a 30-jun-2026 [1, 2]. Antes de Schenker se movía entre 18.000 y 35.000 M (29.245 M en 2021, 34.583 M en 2023), porque DSV devolvía casi todo el flujo libre con recompras [1, 6]. El circulante neto que publica DSV es pequeño y volátil: 9.317 M en 2024, 1.242 M en 2025 (cobros y entrada de Schenker) y 10.789 M a 30-jun-2026, con 1.800 M de cuentas a cobrar por la venta de inmuebles de Schenker y fletes más caros [1, 2]. Los arrendamientos (sobre todo almacenes) suben de 12.278 M en 2020 a 30.930 M en 2025 y 32.155 M a jun-26 [1, 2, 6]. A 30-jun-2026: deuda financiera 63.372 M (48.193 M a largo, 15.179 M a corto), arrendamientos 32.155 M, caja 10.058 M, patrimonio de la dominante 125.609 M y minoritarios 370 M; clientes 55.064 M, activos de contrato 14.215 M, existencias 2.202 M, proveedores 25.639 M y coste devengado de servicios 15.574 M [2]. Acciones a 30-jun-2026: 240.445 miles emitidas y 1.739 miles en autocartera (1.672 miles a 21-jul-2026); diluidas, 239.178 miles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77.611</w:t>
      </w:r>
      <w:r>
        <w:t xml:space="preserve">, conversión </w:t>
      </w:r>
      <w:r>
        <w:rPr>
          <w:b/>
          <w:bCs/>
        </w:rPr>
        <w:t xml:space="preserve">110 %</w:t>
      </w:r>
      <w:r>
        <w:t xml:space="preserve"> del beneficio neto; adquisiciones 76.682, dividendos 8.940, recompras 71.137.</w:t>
      </w:r>
    </w:p>
    <w:p>
      <w:pPr>
        <w:spacing w:after="100"/>
      </w:pPr>
      <w:r>
        <w:t xml:space="preserve">DSV clasifica todos los intereses (también los de arrendamientos) y las partidas especiales pagadas dentro del flujo de explotación, así que el flujo operativo ya es después de intereses: en 2025 descontó 2.865 M de partidas especiales, 1.669 M de intereses de arrendamientos y 2.163 M de otros intereses [1]. El capex es bajo (entre el 1 % y el 1,6 % de los ingresos; 2.588 M en 2025) porque los almacenes y terminales se alquilan: el capex real de la red está en las altas de derechos de uso, que fueron 3.211 M (2020), 3.715 M (2021, más 2.375 M de GIL), 5.045 M (2022), 5.514 M (2023), 7.582 M (2024) y 7.781 M (2025, más 8.642 M de Schenker) [1, 4, 5, 6]. El flujo libre ajustado que publica DSV (tras arrendamientos y antes de partidas especiales y compras) fue de 8.746 M (2020), 8.659 M (2021), 22.810 M (2022), 11.471 M (2023), 5.550 M (2024) y 16.335 M (2025, una conversión del 117 % ayudada por la reducción del circulante) [1, 4, 6]. En el 2T26 cayó a 786 M (conversión ajustada del 36,9 %) por la subida temporal del circulante [2]. El circulante es la gran fuente de volatilidad: −4.604 M en 2021 y −4.212 M en 2024, +2.840 M en 2022 y +5.029 M en 2025 [1, 4, 6]. En 2021 la compra de GIL, pagada en acciones, aportó caja neta (+1.631 M por la caja adquirida), que aquí no se resta como adquisición [6]. En 2024 la emisión incluye la ampliación de 36.605 M para Schenker [1]. 2016 y 2019 solo tienen flujo operativo, dividendos y recompras (tablas de cinco años) [6, 7].</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Statsautoriseret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DSV desde la junta del 9-mar-2017 (nueve ejercicios hasta 2025) y emitió opinión favorable sobre 2025; la asignación del precio de compra de Schenker fue cuestión clave de auditoría [1]. La contabilidad de Schenker es provisional: de 86.807 M DKK pagados, el fondo de comercio es 75.106 M (87 %) y las relaciones con clientes solo 1.627 M, valoradas con un modelo de beneficios excedentes y un WACC de 8,25 % [1]; en el 1S26 el fondo de comercio se ajustó a 74.986 M [2]. Un intangible amortizable tan pequeño reduce la amortización futura y favorece el EBIT y el ROIC «sin fondo de comercio» frente a compras anteriores. Las partidas especiales (costes de integración por debajo del EBIT) se repiten en cada compra: 1.002 M (2016), 2.964 M (2019-2020), 478 M (2021), 1.117 M (2022) y unos 11.000 M previstos para Schenker [1, 2, 6, 7]. DSV no publica el impacto en resultados de Schenker por separado porque ya no lleva contabilidad de los dos perímetros [1]. El tipo impositivo efectivo subió al 30,3 % en 2025 y se espera en torno al 28 % en 2026 [1, 2]. En el 2T26, unos 250 M del EBIT de Road (999 M) vienen de ventas de inmuebles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precio de Schenker provisional y con poco intangible amortizable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con clientes de 1.627 M frente a 75.106 M de fondo de comercio; menos amortización futura y más riesgo de deterioro si la integración falla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 fuera del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en 2016-2017, 2019-2022 y 2024-2026; en total unos 11.000 M para Schenker (~7.400 M ya reconocidos a jun-26). El EBIT «antes de partidas especiales» sobrestima el beneficio de un consolidador en serie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muy dependiente del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ajustada del 117 % en 2025 por la liberación de circulante y del 36,9 % en el 2T26 por su subida; 1.800 M a cobrar por inmuebles vendidos de Schenker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de inmuebles dentro del EBIT antes de partidas especiales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250 M en el EBIT de Road del 2T26 (un cuarto del EBIT de la división en el trimestre)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cifras separadas de Schenker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no puede aislar el resultado de Schenker; las sinergias declaradas no se pueden verificar con datos contables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interrumpidas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291 M por una parte de Schenker clasificada para la venta (parte del negocio de carretera de EE. UU.)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8,0 %.</w:t>
      </w:r>
    </w:p>
    <w:p>
      <w:pPr>
        <w:spacing w:after="100"/>
      </w:pPr>
      <w:r>
        <w:rPr>
          <w:b/>
        </w:rPr>
        <w:t xml:space="preserve">DSV crea valor sobre sus activos operativos, pero todavía no sobre lo que pagó por Schenker.</w:t>
      </w:r>
      <w:r>
        <w:t xml:space="preserve"> El ROIC después de impuestos del informe cae del 22,9 % de 2017 y el 18,9 % de 2022 al 11,3 % en 2024 y al 8,6 % en 2025, ya casi en el WACC del 7,97 %; el ROIC incremental de la década es del 7,7 %. La propia DSV da el ROIC antes de impuestos de los últimos 12 meses a jun-26: </w:t>
      </w:r>
      <w:r>
        <w:rPr>
          <w:b/>
        </w:rPr>
        <w:t xml:space="preserve">10,8 % con el fondo de comercio</w:t>
      </w:r>
      <w:r>
        <w:t xml:space="preserve"> y las relaciones con clientes y </w:t>
      </w:r>
      <w:r>
        <w:rPr>
          <w:b/>
        </w:rPr>
        <w:t xml:space="preserve">40,4 % sin ellos</w:t>
      </w:r>
      <w:r>
        <w:t xml:space="preserve"> [2]. Después de impuestos (24 %, estimación propia) son un 8,2 % y un 30,7 %: el negocio rinde mucho sobre los almacenes alquilados y el circulante, y casi nada sobre los 75.106 M de fondo de comercio de Schenker [1]. Lo que mueve el ROIC es el margen, no la rotación: la conversión del grupo bajó del 37,5 % al 29,3 % con Schenker [1]. Frente a sus rivales, Expeditors (57,0 %) y C.H. Robinson (21,9 %) rinden más sin compras grandes y Kuehne+Nagel queda en el 16,3 %; DHL (9,2 %) y GXO (3,5 %), con más activos, por debajo [70, 71, 72, 73, 74]. El objetivo de 2030 es un ROIC antes de impuestos del ~20 % con el fondo de comercio [15]: es la cifra que diría si Schenker ha creado valor.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10.058 M DKK y líneas de crédito comprometidas no dispuestas de 11.800 M DKK (1.580 M EUR), más líneas no comprometidas; bonos por 13.100 M DKK (1.750 M EUR) vencen en los 12 meses siguientes [2]. A 31-dic-2025: caja 13.179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(rebajó la perspectiva a negativa al anunciarse Schenker en septiembre de 2024; la búsqueda cita una vuelta a estable el 11-may-2026 que no se ha podido leer en el original) [77]. Moody’s: A3 [79]. La política propia es deuda neta con arrendamientos por debajo de 2,0x el EBITDA antes de partidas especiales (2,7x a jun-26)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prestación definida netas de 2.098 M DKK a cierre de 2025 (457 M en 2024), casi todas heredadas de Schenker (2.044 M en la compra) [1]. Provisiones de 12.417 M (5.928 M a largo y 6.489 M a corto; 5.290 M en 2024), con 8.108 M que entraron con Schenker [1]. «Accrued cost of services» (12.726 M) es coste de fletes devengado aún no facturado por los transportistas: en esta nota se suma a proveedores porque es la contrapartida de los activos de contrato [1]. No hay pagos aplazados ni contraprestación contingente por Schenker [1]. El seguro de crédito cubre el 48 % de los clientes a cobrar [1]. No se han localizado covenants financieros en los documentos leídos. El objetivo propio es deuda neta con arrendamientos por debajo de 2,0x el EBITDA antes de partidas especiales; estaba en 2,8x a cierre de 2025 (ajustado con Schenker los 12 meses) y en 2,7x a 30-jun-2026, con la meta de volver por debajo de 2,0x en el 1S27 [1, 2].</w:t>
      </w:r>
    </w:p>
    <w:p>
      <w:pPr>
        <w:pStyle w:val="Heading1"/>
      </w:pPr>
      <w:r>
        <w:t xml:space="preserve">12. Asignación de capital</w:t>
      </w:r>
    </w:p>
    <w:p>
      <w:pPr>
        <w:pStyle w:val="Confianza"/>
        <w:spacing w:after="100"/>
      </w:pPr>
      <w:r>
        <w:t xml:space="preserve">Confianza: Alta</w:t>
      </w:r>
    </w:p>
    <w:p>
      <w:pPr>
        <w:spacing w:after="100"/>
      </w:pPr>
      <w:r>
        <w:t xml:space="preserve">Orden de prioridades declarado para el flujo libre: 1) reducir deuda cuando el apalancamiento supera el objetivo (deuda neta con arrendamientos por debajo de 2,0x el EBITDA antes de partidas especiales); 2) compras e inversiones que creen valor; 3) devolver capital, sobre todo con recompras y con un dividendo de aproximadamente el 10 % del beneficio neto [1]. El dividendo propuesto por 2025 es de 7,00 DKK por acción (igual que en 2023 y 2024), un 20,6 % del beneficio [1]. Las recompras se suspendieron al anunciar Schenker (sep-2024) y no se han reanudado; el apalancamiento estaba en 2,8x a cierre de 2025 y en 2,7x a jun-26, con la meta de bajar de 2,0x en el 1S27 [1, 2, 13]. Entre 2021 y 2023 DSV recompró acciones por 52.151 M DKK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 Worldwide (transitario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(importe no localizado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la plantilla (22.783 a 44.779 FTE); partidas especiales de 1.002 M en 2016 y 525 M en 2017; el ROIC antes de impuestos se recuperó al 23,4 % en 2017 y al 26,7 % en 2018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Panalpina (transitario suizo)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en acciones nuevas de DSV (de 188 a 235 millones de acciones emitidas)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especiales de 800 M (2019) y 2.164 M (2020); el ROIC antes de impuestos bajó al 13,4 % en 2019 y volvió al 19,6 % en 2021; la conversión del grupo subió del 28,0 % (2019) al 43,1 %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Global Integrated Logistics de Agility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nuevas de DSV (de 230 a 240 millones de acciones emitidas); valor empresa de las adquiridas de 30.675 M DKK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16-ago-2021; coincidió con el pico de fletes: EBIT de 25.204 M y ROIC del 25,1 % en 2022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 Schenker (Deutsche Bahn)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86.807 M DKK de contraprestación (75.595 M netos de caja). Captados 10.000 M EUR (75.000 M DKK) a partes iguales entre ampliación de capital (26,4 millones de acciones nuevas, 36.605 M DKK, oct-2024) y bonos; el resto, con préstamos a plazo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30-abr-2025 [14]. Valor empresa anunciado de 14.300 M EUR (unos 107.000 M DKK): 0,77x ventas y 14,0x EBIT de los últimos 12 meses [13]. Fondo de comercio de 75.106 M [1]. Sinergias de 9.000 M DKK al año con impacto completo en 2027 (al menos +4.000 M en 2026; ~5.000 M acumulados a fin de 2026) y costes de integración de ~11.000 M [2]. ROIC antes de impuestos del 10,8 % LTM jun-26 frente al 15,4 % de 2024; problemas de productividad y de clientes en Road en Alemania, Francia y Países Bajos [2].</w:t>
            </w:r>
          </w:p>
        </w:tc>
      </w:tr>
    </w:tbl>
    <w:p>
      <w:pPr>
        <w:spacing w:after="160" w:before="0"/>
      </w:pPr>
    </w:p>
    <w:p>
      <w:pPr>
        <w:spacing w:after="100"/>
      </w:pPr>
      <w:r>
        <w:t xml:space="preserve">DSV ha sido un consolidador disciplinado: cada gran compra (UTi, Panalpina, GIL) hundió primero el ROIC y la conversión y en dos o tres años los llevó por encima del punto de partida, y entre compras devolvió casi todo el flujo libre con recompras (17.841 M en 2021, 20.313 M en 2022, 13.997 M en 2023) [1, 6, 7]. Schenker rompe la pauta en tamaño: casi duplica el grupo, se pagó en efectivo y se financió en parte con 26,4 millones de acciones nuevas (las emitidas pasan de 219,0 millones en 2023 a 240,4 millones en 2024) [1, 3]. El beneficio por acción diluido de 2025 (34,3 DKK) está por debajo del de 2021 (48,2 DKK) y el ROIC antes de impuestos (12,8 %) en mínimos de la serie [1]. El juicio sobre la compra depende de las sinergias de 2026-2027 y de recuperar Road.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H. Lund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2002: director financiero hasta 2021, director de operaciones (COO) de 2021 a 2024 y consejero delegado desde el 1 de febrero de 2024, sucesión anunciada en octubre de 2023 [31, 32]. Con él al frente, DSV cumplió la guía de EBIT antes de partidas especiales de 2024 (16.096 M DKK) y 2025 (19.611 M DKK) y cerró la compra de Schenker el 30 de abril de 2025 [1, 33]. Tenía 48.135 acciones y 331.545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Ebbe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comité ejecutivo como director financiero el 26 de octubre de 2021, procedente de otro puesto dentro de DSV [34]. Ha financiado la compra de Schenker (ampliación de 37.300 M DKK en octubre de 2024) y el desapalancamiento posterior: más de 7.000 M DKK de reducción de deuda neta desde el cierre [1, 35]. Tenía 1.250 acciones y 153.315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Ejsing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(Group COO) y consejero delegado de la división Road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DSV desde 1986; consejero delegado de DSV Solutions (hoy Contract Logistics) de 2012 a 2024 y COO del grupo y miembro del comité ejecutivo desde el 1 de febrero de 2024 [32]. En 2026 asumió además la dirección de la división Road tras los problemas de productividad y comerciales de la integración en Alemania, Francia y Países Bajos [2]. Tenía 100 acciones y 87.215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marzo de 2011 y presidente; catedrático de contabilidad y auditoría en la Copenhagen Business School [1, 30]. Preside además ECIT AS y es consejero de Better Collective y Menzies Aviation [30]. No se considera independiente por llevar más de 12 años en el consejo [1]. Tenía 5.099 acciones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Sobotka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la división Air &amp; Sea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DSV desde hace unos 14 años a 2024; director general de Air &amp; Sea Alemania y vicepresidente ejecutivo para Europa central, oriental y del sur antes de asumir la división el 1 de mayo de 2024, en sustitución de Carsten Trolle [32]. Air &amp; Sea aportó el 48 % del beneficio bruto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antes de partidas especiales: 13.750-14.500 M DKK (guía vigente antes de la revisión), elevada a 15.250-16.000 M DKK el 20-oct-2021 [36]. La guía inicial de febrero de 2021 no se ha consultado.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16.223 M DKK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18.000-20.000 M DKK [37]; elevada a 23.000-25.000 y después a 24.500-25.500 M DKK en octubre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25.204 M DKK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16.000-18.000 M DKK [39]; elevada a 17.000-18.500 M DKK en julio [40]; último rango 17.500-18.500 M DKK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 M DKK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15.000-17.000 M DKK [41]; rango de 15.500-17.000 acotado a 16.000-17.000 M DKK en octubre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16.096 M DKK, en la parte baja del rango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15.500-17.500 M DKK sin Schenker [33]; revisada con Schenker en el 1T25 (mínimo 19.500 M DKK) y último rango 19.500-20.500 M DKK [1,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19.611 M DKK, en la parte baja del rango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23.000-25.500 M DKK con al menos 4.000 M DKK de sinergias incrementales de Schenker [1]; acotada a 23.500-25.500 M DKK el 22-jul-2026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1S26 con Road por debajo de lo esperado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Pendiente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«Leverage to Lead» (día del inversor, 12-may-2026): conversión del grupo ~45 % y ROIC antes de impuestos ~20 %; Air &amp; Sea &gt;55 %/&gt;20 %, Road &gt;35 %/&gt;20 %, Contract Logistics &gt;35 %/&gt;15 %; ~9.000 M DKK de sinergias de Schenker con pleno efecto desde 2027 y ~9.000 M DKK de productividad adicional hasta 2030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sin resultado aún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La dirección ha cumplido la guía anual de EBIT antes de partidas especiales cinco años seguidos (2021-2025), aunque en 2024 y 2025 lo hizo en la parte baja del rango y en 2021-2023 con revisiones al alza ayudadas por el ciclo de fletes [33, 36, 37, 38, 39, 40, 41, 42]. La sucesión del consejero delegado fue ordenada: anunciada en octubre de 2023 y efectiva en febrero de 2024, con un sucesor interno con 22 años en el comité ejecutivo [31, 32]. Todo el equipo es de la casa. El punto débil es la integración de Schenker en Road: en 2026 el COO tuvo que asumir también la división y la guía de 2026 depende de 4.000 M DKK de sinergias [1, 2]. La participación accionarial del equipo es pequeña (el consejero delegado, 0,02 % del capital) y su alineamiento descansa sobre todo en opciones [34].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miembro de Auditoría y Remuneración (composición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Søren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 Walti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Benedikte Leroy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Remuneración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Shaverdian Riise-Knudsen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Bendiek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Nombramientos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 Chong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Tarek Sultan Al-Essa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Plenborg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6,66 / ventas 265,25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Göhner Stiftung (Suiza)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su presidente, Beat Walti,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en 2024-2026; última cifra notificada recogida en el informe anual 2025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Agility Global PLC (grupo Agility, Kuwait)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su presidente, Tarek Sultan Al-Essa,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19.304.348 acciones; reorganización interna en julio de 2025 (de Agility K.S.C.P a Agility Global PLC) sin cambio de participación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Companies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con ~700 M USD en la ampliación de octubre de 2024 [1,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6,36 % el 9-oct-2024 tras ser ancla con 1.100 M USD en la ampliación; bajó del 5 % el 27-oct-2025 [35, 49,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M de acciones a 31-12-2025 y 2,9 M a 3-feb-2026; sin recompras en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(CEO):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Jens H. Lund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39,0 M DKK en 2025, un 37,8 % más que en 2024 (28,3 M) (salario medio de DSV A/S: +7,4 %); 137 veces el sueldo mediano del grupo [1, 34]. El nuevo bono anual (hasta el 10 % del paquete) pesa EBIT 40 % (mínimo 19.500 M DKK, rango revisado con Schenker), acción frente a rivales a dos años 40 % y emisiones 20 %; se cumplió entero [34]. Aparte, el presidente concedió 6,1 M DKK discrecionales al comité ejecutivo por la compra de Schenker (2,7 M al consejero delegado). </w:t>
      </w:r>
      <w:r>
        <w:rPr>
          <w:b/>
        </w:rPr>
        <w:t xml:space="preserve">No hay métrica de sinergias</w:t>
      </w:r>
      <w:r>
        <w:t xml:space="preserve"> en el variable [34]. El largo plazo son opciones con tres años de consolidación y </w:t>
      </w:r>
      <w:r>
        <w:rPr>
          <w:b/>
        </w:rPr>
        <w:t xml:space="preserve">sin condiciones de rendimiento</w:t>
      </w:r>
      <w:r>
        <w:t xml:space="preserve"> [34]. Política reformada en la junta de 2025; recuperación (clawback) a dos años y preaviso de hasta 24 meses sin indemnización adicional [34, 51].</w:t>
      </w:r>
    </w:p>
    <w:p>
      <w:pPr>
        <w:pStyle w:val="Heading2"/>
      </w:pPr>
      <w:r>
        <w:t xml:space="preserve">Operaciones vinculadas, estructura de control y defensas</w:t>
      </w:r>
    </w:p>
    <w:p>
      <w:pPr>
        <w:spacing w:after="100"/>
      </w:pPr>
      <w:r>
        <w:t xml:space="preserve">DSV no tiene accionista de control: 101.343 accionistas registrados y los 25 mayores suman ~60 % del capital flotante [1]. Una sola clase de acciones, un voto por acción y sin restricciones estatutarias de voto ni de transmisión [1, 30]. Los dos mayores accionistas, Ernst Göhner Stiftung (9,7 %) y Agility (8,0 %), tienen a sus presidentes en el consejo, aunque DSV los califica de independientes [1, 30]. No consta ninguna notificación de participación de Deutsche Bahn: la compra de Schenker se financió en parte con una ampliación de 37.300 M DKK a 1.410,50 DKK por acción sin derecho de suscripción preferente [35]. El consejo tiene autorización hasta marzo de 2030 para emitir hasta 48,1 M de acciones (un 20 % del capital) con o sin preferente [1]. En 2025 no hubo operaciones vinculadas con consejeros ni directivos [1].</w:t>
      </w:r>
    </w:p>
    <w:p>
      <w:pPr>
        <w:pStyle w:val="Heading2"/>
      </w:pPr>
      <w:r>
        <w:t xml:space="preserve">Señales de alerta</w:t>
      </w:r>
    </w:p>
    <w:p>
      <w:pPr>
        <w:pStyle w:val="ListParagraph"/>
        <w:numPr>
          <w:ilvl w:val="0"/>
          <w:numId w:val="2"/>
        </w:numPr>
        <w:spacing w:after="60"/>
      </w:pPr>
      <w:r>
        <w:t xml:space="preserve">Dos consejeros calificados de independientes presiden a los dos mayores accionistas: Beat Walti (Ernst Göhner Stiftung, 9,7 %) y Tarek Sultan Al-Essa (Agility Global, 8,0 %) [1, 30, 48].</w:t>
      </w:r>
    </w:p>
    <w:p>
      <w:pPr>
        <w:pStyle w:val="ListParagraph"/>
        <w:numPr>
          <w:ilvl w:val="0"/>
          <w:numId w:val="2"/>
        </w:numPr>
        <w:spacing w:after="60"/>
      </w:pPr>
      <w:r>
        <w:t xml:space="preserve">El presidente, Thomas Plenborg, no es independiente (más de 12 años en el consejo, desde 2011), negocia personalmente los sueldos del comité ejecutivo y desde 2025 puede conceder compensaciones extraordinarias discrecionales; en 2025 pagó 6,1 M DKK por la compra de Schenker [1, 34].</w:t>
      </w:r>
    </w:p>
    <w:p>
      <w:pPr>
        <w:pStyle w:val="ListParagraph"/>
        <w:numPr>
          <w:ilvl w:val="0"/>
          <w:numId w:val="2"/>
        </w:numPr>
        <w:spacing w:after="60"/>
      </w:pPr>
      <w:r>
        <w:t xml:space="preserve">Ventas de directivos por 265 M DKK en 12 meses, todas por ejercicio de opciones (las de febrero de 2026, a 1.828-1.851 DKK); tras el 1S26 solo hubo compras simbólicas de 6,7 M DKK, a ~1.400 DKK [44, 45, 46, 47].</w:t>
      </w:r>
    </w:p>
    <w:p>
      <w:pPr>
        <w:pStyle w:val="ListParagraph"/>
        <w:numPr>
          <w:ilvl w:val="0"/>
          <w:numId w:val="2"/>
        </w:numPr>
        <w:spacing w:after="60"/>
      </w:pPr>
      <w:r>
        <w:t xml:space="preserve">Posición corta agregada (posiciones ≥0,1 %) del 2,10 % del capital a 31-jul-2026, frente al 1,62 % de octubre de 2025; ninguna posición individual ≥0,5 % publicada desde mayo de 2019 [53, 54].</w:t>
      </w:r>
    </w:p>
    <w:p>
      <w:pPr>
        <w:pStyle w:val="ListParagraph"/>
        <w:numPr>
          <w:ilvl w:val="0"/>
          <w:numId w:val="2"/>
        </w:numPr>
        <w:spacing w:after="60"/>
      </w:pPr>
      <w:r>
        <w:t xml:space="preserve">Provisiones por litigios y disputas de 2.508 M DKK a cierre de 2025 (2.100 M incorporados con Schenker); DSV no detalla pasivos contingentes individuales y reconoce consultas de autoridades de competencia sin impacto material, según la dirección [1].</w:t>
      </w:r>
    </w:p>
    <w:p>
      <w:pPr>
        <w:pStyle w:val="ListParagraph"/>
        <w:numPr>
          <w:ilvl w:val="0"/>
          <w:numId w:val="2"/>
        </w:numPr>
        <w:spacing w:after="60"/>
      </w:pPr>
      <w:r>
        <w:t xml:space="preserve">Cambios de dirección en la división Road en 2026: el COO del grupo asume también su dirección y hay relevos en equipos de país por la integración de Schenker [2].</w:t>
      </w:r>
    </w:p>
    <w:p>
      <w:pPr>
        <w:pStyle w:val="ListParagraph"/>
        <w:numPr>
          <w:ilvl w:val="0"/>
          <w:numId w:val="2"/>
        </w:numPr>
        <w:spacing w:after="60"/>
      </w:pPr>
      <w:r>
        <w:t xml:space="preserve">Auditor: PwC desde el 9 de marzo de 2017 (nueve ejercicios), reelegido en las juntas de 2024, 2025 y 2026 [1, 29, 51, 52].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22 de julio de 2026, con el 1S26, DSV estrechó la guía del año: EBIT antes de partidas especiales de 23.500-25.500 M DKK (antes, 23.000-25.500 M), partidas especiales por costes de transacción e integración de Schenker de unos 6.500 M y un tipo efectivo de alrededor del 28 % [2]. La guía avisa de que la tensión geopolítica en Oriente Próximo puede afectar a la actividad del resto del año [2]. A medio plazo, el día del inversor del 12 de mayo de 2026 («Leverage to Lead») fijó para 2030 una ratio de conversión del grupo de ~45 % y un ROIC antes de impuestos de ~20 %, con unas sinergias de Schenker de ~9.000 M DKK con efecto pleno desde 2027 y otros ~9.000 M de productividad por IA, tecnología y red hasta 2030; mantiene el objetivo de deuda neta con arrendamientos por debajo de 2,0 veces el EBITDA antes de partidas especiales [15]. A 30 de junio la ratio era de 2,7 veces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1.580,00 – 2.300,00</w:t>
            </w:r>
          </w:p>
        </w:tc>
      </w:tr>
    </w:tbl>
    <w:p>
      <w:pPr>
        <w:spacing w:after="160" w:before="0"/>
      </w:pPr>
    </w:p>
    <w:p>
      <w:pPr>
        <w:pStyle w:val="Heading2"/>
      </w:pPr>
      <w:r>
        <w:t xml:space="preserve">Revisiones de estimaciones</w:t>
      </w:r>
    </w:p>
    <w:p>
      <w:pPr>
        <w:spacing w:after="100"/>
      </w:pPr>
      <w:r>
        <w:t xml:space="preserve">El EBITDA y el EBIT del consenso son </w:t>
      </w:r>
      <w:r>
        <w:rPr>
          <w:b/>
        </w:rPr>
        <w:t xml:space="preserve">antes de partidas especiales</w:t>
      </w:r>
      <w:r>
        <w:t xml:space="preserve">, como los publica DSV: el EBITDA de 2025 de MarketScreener (28.244 M DKK) es exactamente el «EBITDA before special items» del informe anual, que incluye el efecto de NIIF 16 [1, 56]; el EBIT de 2026e (24.370 M) cae dentro de la guía de 23.500-25.500 M [2]. El BPA, en cambio, es el </w:t>
      </w:r>
      <w:r>
        <w:rPr>
          <w:b/>
        </w:rPr>
        <w:t xml:space="preserve">contable</w:t>
      </w:r>
      <w:r>
        <w:t xml:space="preserve">: el beneficio neto de 2025 de MarketScreener (8.386 M) es el resultado del año tras partidas especiales [1, 56]; por eso salta de 41,0 a 81,3 DKK en 2027, cuando se acaban los costes de integración. El BPA ajustado de Stock Analysis para 2026 es de 62,41 DKK (horquilla 56,87-68,58), comparable con el BPA diluido ajustado de DSV (52,0 DKK en los últimos 12 meses a junio) [2, 58]. Solo MarketScreener da estimaciones completas gratis; el precio objetivo (1.939 DKK medio, 1.580-2.300) y las recomendaciones (15 compra fuerte, 4 compra, 1 mantener) coinciden con Stock Analysis [57, 58]. Las revisiones de septiembre y octubre fueron a la baja en precio objetivo (Nordea, de 1.850 a 1.840 DKK el 1 de octubre; BNP Paribas, DNB Carnegie, Morgan Stanley y HSBC a finales de septiembre) manteniendo la recomendación [57]; no hay historial gratuito de revisiones de BPA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DSV pierde un 28,0 % en el año (con dividendos, hasta el 6-oct) frente al +9,5 % del STOXX Europe 600 y el +10,1 % del sectorial de bienes y servicios industriales [55], y cerró el 7-oct en 1.137,5 DKK, nuevo mínimo de 52 semanas y un 40,6 % por debajo del máximo de febrero (1.913,5) [55, 78]. La caída tiene fechas: el 22-jul cayó un 14,2 % con el 1S26, cuando la dirección admitió problemas de productividad y de clientes en Road [2, 55]; el 21-sep otro 4,2 % el día en que Kuehne+Nagel anunció un contrato de hasta siete años con Amazon para la logística de AWS, aunque nadie ha confirmado que DSV compitiera por él [28]. La posición corta agregada subió del 1,62 % al 2,10 % del capital entre octubre de 2025 y julio de 2026 [53]. A diez años, la acción todavía rinde un 14,3 % anual frente al 9,4 % del índice [55]. Beta de 1,36 frente al STOXX 600 (mensual, cinco años), volatilidad del 35,7 % y caída máxima del −44,6 % (nov-2021 a sep-2022) [55].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cierres de cada ejercicio [55], DSV cotiza a 11,2 veces el EBITDA de los últimos 12 meses, un 29 % por debajo de su media de ocho años (15,8x) y en el percentil 13 de su historia (mínimo 9,3x). El PER de los últimos 12 meses (39,4x) no sirve: lo inflan 4.527 M de partidas especiales y los intereses de la deuda de Schenker. Parte del descuento es estructural: Schenker añade carretera y logística por contrato, que convierten un 16-20 % del margen bruto en EBIT frente al 40 % de Air &amp; Sea [1], y la deuda neta pasó de 1,0-1,5 veces a 2,7 veces el EBITDA [2]. UBS lo resumía en agosto: los rivales cotizan cerca de sus máximos históricos y DSV cerca de sus mínimos, con un deterioro del sentimiento más rápido que el de los resultados [76].</w:t>
      </w:r>
    </w:p>
    <w:p>
      <w:pPr>
        <w:pStyle w:val="Heading1"/>
      </w:pPr>
      <w:r>
        <w:t xml:space="preserve">18. Comparables cotizados</w:t>
      </w:r>
    </w:p>
    <w:p>
      <w:pPr>
        <w:pStyle w:val="Confianza"/>
        <w:spacing w:after="100"/>
      </w:pPr>
      <w:r>
        <w:t xml:space="preserve">Confianza: Media</w:t>
      </w:r>
    </w:p>
    <w:p>
      <w:pPr>
        <w:spacing w:after="100"/>
      </w:pPr>
      <w:r>
        <w:t xml:space="preserve">Siete cotizadas de transitario y logística contractual con cifras de MarketScreener a 7-oct-2026 [62, 63, 64, 65, 66, 67, 68]: los dos rivales globales asset-light directos (Kuehne+Nagel y Expeditors), el mayor intermediario de carretera y transitario de EE. UU. (C.H. Robinson), DHL Group (dueño de DHL Global Forwarding, número uno en aéreo con DSV), NX Holdings (transitario japonés global) y dos de logística contractual (GXO e ID Logistics), comparables con el negocio de almacén que trajo Schenker. Capitalización en millones de DKK al tipo del BCE del 7-oct-2026 [75]; ROIC de Stock Analysis [70, 71, 72, 73, 74]. Fuera Sinotrans: cotiza con acciones A y H a precios distintos y con caja neta de empresa pública, y su capitalización con el precio H no es fiable. Kintetsu World Express no cotiza desde 2015 y Kerry Logistics no tiene consenso completo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 / 7,3x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8,1x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0,9x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10,8 + -0,18 × crecimiento; R² = 0,02. El crecimiento explica poco los múltiplos de estos comparables (R² &lt; 0,3): la regresión no se usa en la valoración.</w:t>
      </w:r>
    </w:p>
    <w:p>
      <w:pPr>
        <w:spacing w:after="100"/>
      </w:pPr>
      <w:r>
        <w:t xml:space="preserve">La muestra tiene dos grupos que no se deben promediar. Los transitarios sin activos cotizan a 12-17 veces el EBITDA de los próximos 12 meses (Kuehne+Nagel 12,2x, C.H. Robinson 13,6x, Expeditors 16,9x) y los grupos con flota o almacenes a 5-7x (DHL 6,8x, NX 5,3x, ID Logistics 4,7x, GXO 7,3x) [62, 63, 64, 65, 66, 67, 68]. DSV, a 9,4x, queda en medio porque Schenker le dio más carretera y almacén. Además, Expeditors y C.H. Robinson aplican US GAAP y dejan el alquiler dentro del EBITDA, lo que sube su múltiplo frente a uno NIIF. El comparable más limpio es Kuehne+Nagel (NIIF, mismo negocio): DSV cotiza con un 23 % de descuento en EV/EBITDA y a 15,8 veces el beneficio de los próximos 12 meses frente a 23,8 veces [62]. La mediana de la muestra da 798,09 DKK por EV/EBITDA y 1.402,47 por PER; la regresión múltiplo-crecimiento no explica nada (R² 0,02). Con el PER, que mide lo mismo en todos, DSV está barata frente a sus pares; con el EV/EBITDA de la muestra completa, cara. Por esa fragilidad los comparables pesan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(≈107.000 M DKK) y valor de las acciones de 11.000 M EUR; DSV publicó 0,77x ventas y 14,0x EBIT de los 12 meses a junio de 2024, no el EBITDA [13]. Cerrada en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[69]. Convertido a DKK al tipo del BCE del 7-oct-2026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[6].</w:t>
            </w:r>
          </w:p>
        </w:tc>
      </w:tr>
    </w:tbl>
    <w:p>
      <w:pPr>
        <w:spacing w:after="160" w:before="0"/>
      </w:pPr>
    </w:p>
    <w:p>
      <w:pPr>
        <w:spacing w:after="160" w:before="0"/>
      </w:pPr>
    </w:p>
    <w:p>
      <w:pPr>
        <w:spacing w:after="100"/>
      </w:pPr>
      <w:r>
        <w:t xml:space="preserve">Las operaciones del sector rara vez publican el EBITDA: la única con múltiplo oficial es la propia compra de Schenker por DSV, a 0,77 veces ventas y 14,0 veces EBIT [13], y Bolloré Logistics salió por unas 0,68 veces ventas de 2022 [69]. Con 0,77x ventas pagadas en 2024, DSV cotiza hoy a un valor empresa en torno a 1,2 veces las ventas de los últimos 12 meses (estimación propia con el puente del 1S26 [2] y las ventas del consenso [56]), con un margen mayor que el de Schenker. DSV es comprador, no objetivo: su tamaño (≈277.000 M DKK de capitalización) y un accionariado sin control lo hacen improbable como objetivo, así que el método de transacciones aporta poco al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DCF no proyecta ingresos sino margen bruto, porque los ingresos de un transitario suben y bajan con las tarifas que repercute al cliente (en 2023 cayeron un 36,0 % con un EBIT que bajó un 29,7 %) [4]. 2026e se fija con el 1S26: margen bruto de 39.180 M en el semestre y unos 79.500 M en el año, con ingresos de 297.762 M (+20,4 % por los cuatro meses más de Schenker) [2]. Para 2027e solo +2,5 % de margen bruto: las tarifas aéreas y marítimas que subieron con el conflicto de Oriente Medio se normalizan y el margen bruto por TEU ya bajó a 3.964 DKK en el 1S26 frente a 4.752 en 2024 [1, 2]. Después, +4 % anual hasta 2030 (volumen de 2-3 % más precio) y bajada al 2,5 % en 2035. Transport Intelligence prevé un mercado que crece un 2,3 % anual hasta 2030 [24]: el caso base supone que DSV gana algo de cuota, como hizo tras Panalpina y GIL. Los ingresos del caso base quedan a −0,3 %, −0,5 % y +0,5 % del consenso en 2026-2028 [56].</w:t>
      </w:r>
    </w:p>
    <w:p>
      <w:pPr>
        <w:keepNext/>
        <w:spacing w:after="100"/>
      </w:pPr>
      <w:r>
        <w:rPr>
          <w:b/>
          <w:bCs/>
        </w:rPr>
        <w:t xml:space="preserve">Márgenes.</w:t>
      </w:r>
    </w:p>
    <w:p>
      <w:pPr>
        <w:spacing w:after="100"/>
      </w:pPr>
      <w:r>
        <w:t xml:space="preserve">El margen se construye como conversión del margen bruto en EBIT antes de partidas especiales: 30,5 % en 2026e (EBIT ≈ 24.240 M, el centro de la guía de 23.500-25.500 M) [2], 34,5 % en 2027e con las sinergias completas (9.000 M, de los que unos 5.000 M ya estarán en 2026) [2], y 40,5 % en 2030e, para quedarse en el 41 %. No proyectamos desde el pico, que fue de todo el sector: Kuehne+Nagel pasó de 1.070 M CHF de EBIT en 2020 a 3.763 M en 2022 y a 1.242 M en 2025, y Expeditors de 940 a 1.909 y otra vez a 940 M USD [17, 22]. En DSV la conversión fue del 48,3 % en 2022 y del 40,4 % en 2023, ya con fletes normales; el caso base vuelve a la de 2023 con un grupo de doble tamaño y queda por debajo del objetivo de ~45 % de la empresa para 2030, que exige además 9.000 M de mejoras de productividad [1, 15]. Así el margen EBITDA pasa del 11,4 % de 2025 al 14,5 % (15,3 % en 2023, 13,1 % en 2024). El EBITDA queda a +0,3 %, −2,3 % y −1,6 % del consenso en 2026-2028 [56]. Los costes de integración que faltan no van en el margen sino en el puente.</w:t>
      </w:r>
    </w:p>
    <w:p>
      <w:pPr>
        <w:keepNext/>
        <w:spacing w:after="100"/>
      </w:pPr>
      <w:r>
        <w:rPr>
          <w:b/>
          <w:bCs/>
        </w:rPr>
        <w:t xml:space="preserve">Inversión y circulante.</w:t>
      </w:r>
    </w:p>
    <w:p>
      <w:pPr>
        <w:spacing w:after="100"/>
      </w:pPr>
      <w:r>
        <w:t xml:space="preserve">Con NIIF 16, el alquiler de los almacenes está fuera del EBITDA y su pasivo en la deuda, así que el capex del DCF incluye las altas de derechos de uso: 7.781 M en 2025 (más 8.642 M que entraron con Schenker) y 7.582 M en 2024, un 3-4,5 % de los ingresos, sobre un capex propio del 1,0-1,6 % [1]. El caso base usa un 4,1 % hasta 2028 (la logística por contrato sigue abriendo almacenes para centros de datos) y un 3,9 % desde 2031, frente a unas amortizaciones del 3,6 % que bajan al 3,5 %: la diferencia financia el crecimiento. El circulante es el 8,5 % de las ventas (clientes y activos de contrato menos proveedores y coste de fletes devengado), el de 2025; a jun-26 estaba más alto por los fletes caros y 1.800 M por cobrar de la venta de inmuebles de Schenker [2]. Impuestos: 28 % en 2026e (guía, por costes de integración no deducibles), 25 % en 2027e y 24 % después, el tipo de 2022-2024 [1, 2].</w:t>
      </w:r>
    </w:p>
    <w:p>
      <w:pPr>
        <w:keepNext/>
        <w:spacing w:after="100"/>
      </w:pPr>
      <w:r>
        <w:rPr>
          <w:b/>
          <w:bCs/>
        </w:rPr>
        <w:t xml:space="preserve">Coste del capital.</w:t>
      </w:r>
    </w:p>
    <w:p>
      <w:pPr>
        <w:spacing w:after="100"/>
      </w:pPr>
      <w:r>
        <w:t xml:space="preserve">Tasa libre del 3,1 %: el bono danés a 10 años de agosto de 2026 (3,13 % según Statistics Denmark; 3,01 % el tipo de convergencia del BCE) [59, 60]. </w:t>
      </w:r>
      <w:r>
        <w:rPr>
          <w:b/>
        </w:rPr>
        <w:t xml:space="preserve">Beta de 1,20</w:t>
      </w:r>
      <w:r>
        <w:t xml:space="preserve"> tras comparar tres referencias: frente al OMXC25 da 1,36 mensual y 1,27 semanal, pero ese índice pesa mucho en Novo Nordisk; frente al STOXX 600, 1,35 mensual y 1,16 semanal (1,23 y 1,11 ajustadas); frente al sectorial de bienes y servicios industriales, 0,98, que mide la sensibilidad al sector y no al mercado [55]. Se elige el STOXX 600 porque el accionista de DSV es europeo y global, y la beta ajustada de 1,20 queda entre la mensual y la semanal. Prima de mercado del 5,5 % sin prima adicional (rating A−, país AAA). Coste de la deuda del 4,0 % antes de impuestos: bonos en euros de grado de inversión y arrendamientos, cuyo interés (2.124 M anualizados) es más caro [2]. Peso de la deuda del 26 % a valor de mercado. WACC del 7,97 %.</w:t>
      </w:r>
    </w:p>
    <w:p>
      <w:pPr>
        <w:keepNext/>
        <w:spacing w:after="100"/>
      </w:pPr>
      <w:r>
        <w:rPr>
          <w:b/>
          <w:bCs/>
        </w:rPr>
        <w:t xml:space="preserve">Valor terminal.</w:t>
      </w:r>
    </w:p>
    <w:p>
      <w:pPr>
        <w:spacing w:after="100"/>
      </w:pPr>
      <w:r>
        <w:t xml:space="preserve">Gordon con un crecimiento del 2,25 %: la corona sigue al euro, con una inflación esperada del 2 %, y el bono danés del 3,1 % pone el techo en el 2,6 %. El valor terminal equivale a 9,5 veces el EBITDA de 2035e, por debajo de las 11,2 veces actuales y de la media histórica de 15,8 veces, y pesa un 62 % del valor. La reinversión del último año (0,6 % de las ventas: capex sobre amortización y circulante) sostiene el 2,25 % con una rentabilidad marginal del ~31 % (estimación propia), coherente con el ROIC sin fondo de comercio: el crecimiento orgánico solo necesita circulante y almacenes alquilados, no compras. No se usa la etapa de transición: medido con el fondo de comercio de Schenker (≈8,2 % después de impuestos), el ROIC no supera al WACC en los cinco puntos que exige el método, y los diez años explícitos ya bajan el crecimiento hasta el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2.074,03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31.213 M (11 % del NOPAT)</w:t>
            </w:r>
          </w:p>
        </w:tc>
      </w:tr>
    </w:tbl>
    <w:p>
      <w:pPr>
        <w:spacing w:after="160" w:before="0"/>
      </w:pPr>
    </w:p>
    <w:p>
      <w:pPr>
        <w:spacing w:after="100"/>
      </w:pPr>
      <w:r>
        <w:t xml:space="preserve">La proyección apenas necesita inversión neta de la amortización (reinversión acumulada de 31.213 M, el 11 % del NOPAT, con un capex bruto medio del 4,0 % de las ventas). En un negocio de activos ligeros, el crecimiento medio del 4,9 %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comprado: Schenker consolida doce meses frente a ocho en 2025; con los ingresos proforma de 2025 (293.368 M) el crecimiento es del 1,5 % [1, 2]. Ese 1,5 % se reparte entre algo de volumen (salida deliberada de negocio de bajo margen y clientes perdidos en Road) y fletes más caros por Oriente Medio que se repercuten (reparto, estimación propia) [2,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mercado y algo más (Ti: +2,9 % marítimo y +1,6 % aéreo al año hasta 2030) [24]; los fletes se normalizan tras Oriente Medio (WCI a la baja doce semanas seguidas) y bajan los ingresos repercutidos; el margen bruto crece un 2,5 % [2,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2-3 % y precio en línea con la inflación; sin compras nuevas en el DCF. Ingresos a +0,5 % del consenso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al +2,3 % anual hasta 2030 [24]: el caso base supone una ganancia de cuota pequeña, como tras Panalpina y GIL [1].</w:t>
            </w:r>
          </w:p>
        </w:tc>
      </w:tr>
    </w:tbl>
    <w:p>
      <w:pPr>
        <w:spacing w:after="160" w:before="0"/>
      </w:pPr>
    </w:p>
    <w:p>
      <w:pPr>
        <w:spacing w:after="100"/>
      </w:pPr>
      <w:r>
        <w:t xml:space="preserve">Sí: el crecimiento orgánico proyectado (3,2 % anual en 2027e-2035e) apenas supera al del mercado (2,3 % según Ti) [24] sin crecimiento comprado gratis: Schenker ya está en el balance y no se proyectan compras. El foso es estrecho y de costes (escala en compras de transporte y conversión de margen bruto en EBIT superior a la de Kuehne+Nagel y DHL) [1, 17, 18]; el poder de precios es escaso (el margen bruto por TEU cayó de 4.752 a 3.964 DKK) [1, 2], así que crece por volumen. La cuota en volumen (5,4 % en TEU, 8,0 % aérea) pasaría a ≈ 5,6 % en 2035: verosímil. La apuesta del caso base no es el crecimiento sino la conversión.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(base: 14,5 %)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8,0 %)</w:t>
            </w:r>
          </w:p>
        </w:tc>
      </w:tr>
    </w:tbl>
    <w:p>
      <w:pPr>
        <w:spacing w:after="160" w:before="0"/>
      </w:pPr>
    </w:p>
    <w:p>
      <w:pPr>
        <w:spacing w:after="100"/>
      </w:pPr>
      <w:r>
        <w:t xml:space="preserve">El DCF da </w:t>
      </w:r>
      <w:r>
        <w:rPr>
          <w:b/>
        </w:rPr>
        <w:t xml:space="preserve">1.423,39 DKK por acción</w:t>
      </w:r>
      <w:r>
        <w:t xml:space="preserve">, un 25,1 % sobre el cierre de 1.137,5 DKK, con un valor terminal que pesa el 62 % y equivale a 9,5 veces el EBITDA final. Lo importante es el DCF inverso: </w:t>
      </w:r>
      <w:r>
        <w:rPr>
          <w:b/>
        </w:rPr>
        <w:t xml:space="preserve">al precio actual el mercado descuenta un crecimiento de los ingresos del 0,4 % anual en 2027e-2035e</w:t>
      </w:r>
      <w:r>
        <w:t xml:space="preserve"> (3,2 % en el caso base y 2,3 % previsto para el mercado) </w:t>
      </w:r>
      <w:r>
        <w:rPr>
          <w:b/>
        </w:rPr>
        <w:t xml:space="preserve">o un margen EBITDA del 12,9 %</w:t>
      </w:r>
      <w:r>
        <w:t xml:space="preserve"> en vez del 14,5 % (13,1 % en 2024 y 15,3 % en 2023, sin Schenker). Dicho de otra forma, el precio supone que la conversión del grupo se queda en torno al 35 % y que las sinergias apenas compensan la inflación de costes. La rentabilidad implícita es del 9,0 %, frente a un WACC del 7,97 % y al 6,81 % que pide hoy el mercado con su prima implícita. Como nuestras cifras están a menos de un 2,5 % del consenso, la diferencia con el precio no viene de un escenario de beneficios más optimista sino de la tasa: el mercado exige a DSV un punto más que su coste de capital por el riesgo de la integración. Si la beta fuera la mensual sin ajustar (1,36, WACC ≈ 8,6 %), el DCF quedaría por debajo de 1.276,02 DKK, su valor con un WACC del 8,5 % en la tabla de sensibilidad.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problemas de Road en Alemania, Francia y Países Bajos se extienden y Air &amp; Sea pierde volumen en Asia-Europa, como ya pasó en el 2T26: las sinergias se quedan en unos 6.000 M y la conversión se estanca en torno al 35 %. En 2028 llega una caída de fletes como la de 2023 (EBIT −29,7 % en un año) y el crecimiento a largo plazo baja al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cumple el centro de la guía de 2026, cobra las sinergias completas en 2027 y vuelve en 2030 a la conversión de 2023 (≈40 %) con un grupo de doble tamaño, sin llegar al objetivo del 45 %. El margen bruto crece un 4 % anual con el mercado y algo de cuota.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termina en 2026 como promete la dirección, la productividad por IA y red se suma a las sinergias y la conversión se acerca al 45 % de 2030. Contract Logistics sigue creciendo con los centros de datos y el margen bruto crece un punto más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1.374,49 DKK (+20,8 %).</w:t>
      </w:r>
    </w:p>
    <w:p>
      <w:pPr>
        <w:spacing w:after="100"/>
      </w:pPr>
      <w:r>
        <w:t xml:space="preserve">El reparto es asimétrico a favor: el alcista vale 1.795,15 DKK (+57,8 %) y el bajista 856,02 DKK (−24,7 %), una asimetría de 2,34 veces; el valor ponderado (25/50/25) es de 1.374,49 DKK. El bajista no es cosmético: suma un fallo parcial de la integración, que ya se ve en Road, y una caída de fletes como la de 2023, cuando el EBIT de DSV bajó un 29,7 % en un año [4]; la caída se limita al 24,7 % porque el precio ya descuenta una conversión parecida (≈35 %); lo que añade el bajista es menos crecimiento, la caída de 2028 y un crecimiento a perpetuidad del 1,5 %. El alcista solo exige que se cumplan los objetivos de 2030 de la propia empresa [15], que DSV ha cumplido en sus compras anteriores (la conversión pasó del 28,0 % al 43,1 % entre 2019 y 2021 tras Panalpina) [6]. Compensa: por cada corona que se puede perder en el bajista se ganan 2,34 en el alcista.</w:t>
      </w:r>
    </w:p>
    <w:p>
      <w:pPr>
        <w:pStyle w:val="Heading1"/>
      </w:pPr>
      <w:r>
        <w:t xml:space="preserve">22. Suma de partes</w:t>
      </w:r>
    </w:p>
    <w:p>
      <w:pPr>
        <w:pStyle w:val="Confianza"/>
        <w:spacing w:after="100"/>
      </w:pPr>
      <w:r>
        <w:t xml:space="preserve">Confianza: Media</w:t>
      </w:r>
    </w:p>
    <w:p>
      <w:pPr>
        <w:spacing w:after="100"/>
      </w:pPr>
      <w:r>
        <w:t xml:space="preserve">No aplica. Las tres divisiones comparten red, clientes, sistemas y almacenes (Contract Logistics vende sobre todo a los clientes de Air &amp; Sea), y DSV no publica balances separados que permitan una deuda por división. Los comparables puros por división darían múltiplos de transitario a Air &amp; Sea y de logística de almacén a Road y Contract Logistics, que es justo la mezcla que ya recogen el DCF y el comentario de comparables.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1.357,81 DKK (+19,4 % sobre 1.137,50).</w:t>
      </w:r>
    </w:p>
    <w:p>
      <w:pPr>
        <w:spacing w:after="100"/>
      </w:pPr>
      <w:r>
        <w:t xml:space="preserve">El valor objetivo es de </w:t>
      </w:r>
      <w:r>
        <w:rPr>
          <w:b/>
        </w:rPr>
        <w:t xml:space="preserve">1.357,81 DKK</w:t>
      </w:r>
      <w:r>
        <w:t xml:space="preserve"> (+19,4 %): DCF 50 %, escenarios ponderados 35 % y comparables 15 %. El DCF manda porque DSV está en mitad de una integración que cambia su margen durante cuatro años y ningún múltiplo actual lo recoge; los escenarios ponen el riesgo de que falle. Los comparables pesan poco por la mezcla de modelos y normas contables (798,09 DKK por EV/EBITDA frente a 1.402,47 por PER; 1.100,28 de media). Las transacciones no pesan: la única con múltiplo oficial es la propia compra de Schenker (0,77 veces ventas y 14,0 veces EBIT) [13], y DSV es comprador, no objetivo. El puente resta la deuda financiera (63.372 M), los arrendamientos (32.155 M) y las pensiones (2.059 M, en bruto) y suma la caja (10.058 M) del 30-jun-2026 [2]; en otros ajustes, −197 M de créditos con interés que DSV resta en su deuda neta y +2.300 M de costes de integración que quedan tras la fecha de corte (estimación propia: 6.500 M del año menos 2.921 M del 1S26, la mitad en el 4T, más 500 M en 2027) [2]. Deuda neta ajustada: 89.631 M. Con la prima del mercado (4,20 %), el objetivo sube a 1.747,71 DKK; el consenso de 20 analistas está en 1.939 DKK [57].</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(14.8x) × 1.1 (tope: la mediana de 5 años, 21.2x,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r>
    </w:tbl>
    <w:p>
      <w:pPr>
        <w:spacing w:after="160" w:before="0"/>
      </w:pPr>
    </w:p>
    <w:p>
      <w:pPr>
        <w:spacing w:after="100"/>
      </w:pPr>
      <w:r>
        <w:rPr>
          <w:b/>
          <w:bCs/>
        </w:rPr>
        <w:t xml:space="preserve">Objetivo a 12 meses (ponderado):</w:t>
      </w:r>
      <w:r>
        <w:t xml:space="preserve"> 1.440,33 DKK · rentabilidad +27,2 % (base +27,4 %) · señal Comprar.</w:t>
      </w:r>
    </w:p>
    <w:p>
      <w:pPr>
        <w:spacing w:after="100"/>
      </w:pPr>
      <w:r>
        <w:t xml:space="preserve">Para comparar, con la regla v2 (historia al cierre, mismo precio): 12,6x / 14,8x / 19,2x, 14,8 % Mantener; con el tope anterior del base (×1,3, 14-oct mediodía): 38,2 % Comprar. Decide la regla vigente (v3 con tope ×1,1; METODO-VIGENTE.md).</w:t>
      </w:r>
    </w:p>
    <w:p>
      <w:pPr>
        <w:keepNext/>
        <w:spacing w:after="100"/>
      </w:pPr>
      <w:r>
        <w:rPr>
          <w:b/>
          <w:bCs/>
        </w:rPr>
        <w:t xml:space="preserve">Frente al consenso (solo contraste).</w:t>
      </w:r>
    </w:p>
    <w:p>
      <w:pPr>
        <w:spacing w:after="100"/>
      </w:pPr>
      <w:r>
        <w:t xml:space="preserve">Nuestro BPA base de 2028e (88,50) se separa un -9,5 % del consenso (97,83) y nuestro precio base (1309,80) un -32,4 % del objetivo medio de los analistas (1939,00).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1357,81 (+19,4 %) frente al objetivo a 12 meses ponderado 1298,43 (+14,7 % con dividendo; base +15,7 %).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nueva dirección de Road (Brian Ejsing) y con el efecto pleno de las subidas de fletes marítimos que el 1S26 anticipaba para el 3T. La guía de EBIT antes de partidas especiales (23.500-25.500 M) exige ≈12.400-14.400 M en el segundo semestre, frente a 11.110 M del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integración de Schenker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cerrar la integración a finales de 2026 (antes, a finales de 2028). Con ella terminan las partidas especiales (≈11.000 M en total, ≈7.400 M a jun-26) y el flujo libre deja de cargar ≈6.500 M anuales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las sinergias completas (9.000 M anuales con impacto pleno en 2027) y sin costes de integración: es el año en que el beneficio por acción ajustado debería saltar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solo permite recompras con la deuda neta (con arrendamientos) por debajo de 2,0 veces el EBITDA antes de partidas especiales; a jun-26 estaba en 2,7x. Con un flujo libre ajustado de 16.335 M en 2025, el umbral queda al alcance a lo largo de 2027 [1, 2, 43].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por 13.100 M (1.750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que vencen en los próximos doce meses, con 11.800 M de líneas comprometidas sin disponer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 los fletes tras el conflicto de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tarifas aéreas y marítimas subieron en el 2T26 por el conflicto y el combustible; su vuelta reduce los ingresos pero no necesariamente el margen bruto por unidad, que es lo que gana el transitario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integración de Road no se recupera y contagia a Air &amp; Sea: pérdida de clientes y de productividad en Alemania, Francia y Países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punto de margen EBITDA permanente (1.243,00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dirección (Ejsing, COO, al frente de Road); historial de integraciones de UTi, Panalpina y GIL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Road y volumen marítimo Asia-Europa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por debajo de los 9.000 M o comidas por la inflación de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3.000 M de EBITDA anual perdidos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8.000 empleados de oficina menos ya a jun-26; integración prevista para fin de 2026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en febrero: EBIT antes de partidas especiales por debajo de 28.000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fletes y volúmenes tras el pico del conflicto de Oriente Medio, o recesión del comercio por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856,02 DKK (−24,7 %) con una caída de un año como la de 2023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por unidad se mueve mucho menos que los ingresos; costes variables y plantilla ajustable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TEU por debajo de 3.800 DKK; índice WCI y volúmenes de IATA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grandes contratos frente a Kuehne+Nagel y otros (Amazon/AWS en septiembre)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si el crecimiento es un punto menor cada año (1.316,48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Contract Logistics y del vertical de tecnología; anuncios de contratos de rivales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más alta: beta sin ajustar o subida del bono danés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−10,4 % con un WACC del 8,5 % (1.276,02 DKK)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y deuda que baja con un flujo libre ajustado de 16.335 M en 2025 [1, 77]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danés a 10 años por encima del 3,5 %; deuda neta sobre EBITDA que no baja de 2,5x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antes de desapalancar o de demostrar la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dilución y nuevos costes especiales (Schenker costará ≈11.000 M)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deuda por debajo de 2,0x antes de compras o recompras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compras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que no exige rentabilidad: opciones sin condiciones de rendimiento y bono sin métrica de sinergias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resta credibilidad a los objetivos 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ligado al EBIT (40 %) y a la cotización frente a rivales (40 %)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en la junta de 2027; nueva política de remuneración</w:t>
            </w:r>
          </w:p>
        </w:tc>
      </w:tr>
    </w:tbl>
    <w:p>
      <w:pPr>
        <w:spacing w:after="160" w:before="0"/>
      </w:pPr>
    </w:p>
    <w:p>
      <w:pPr>
        <w:pStyle w:val="Heading2"/>
      </w:pPr>
      <w:r>
        <w:t xml:space="preserve">Pre-mortem</w:t>
      </w:r>
    </w:p>
    <w:p>
      <w:pPr>
        <w:spacing w:after="100"/>
      </w:pPr>
      <w:r>
        <w:t xml:space="preserve">Octubre de 2029: la acción vale unos 680 DKK, un 40 % menos. Lo que pasó empezó en Road. Los problemas de productividad del 2T26 en Alemania, Francia y Países Bajos no eran un bache: la red de grupaje unificada perdió puntualidad, los clientes medianos se fueron a transportistas locales y la división pasó 2027 por debajo del 15 % de conversión. La dirección compensó con cierres de almacenes, y Contract Logistics perdió dos contratos grandes de centros de datos frente a Kuehne+Nagel. En Air &amp; Sea, los grandes clientes globales, que exigían licitar cada año, aprovecharon la caída de fletes de 2027-2028 tras el fin del conflicto de Oriente Medio para bajar precios: el margen bruto por TEU cayó por debajo de 3.500 DKK. Las sinergias se anunciaron completas, pero la inflación salarial y los costes de sistemas se las comieron: la conversión se quedó en el 33 % y el ROIC con fondo de comercio en el 7 %, por debajo del WACC. El mercado dejó de pagar por la historia de integrador: EV/EBITDA de 8 veces. Los indicadores que lo habrían anticipado eran visibles en 2026: la conversión de Road del 3T26 y el 4T26, el volumen marítimo de Asia-Europa por debajo del mercado y una guía de 2027 sin el salto de EBIT que prometen las sinergias.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Climate Change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(Platinum)</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valor: el 93 % del inventario de gases de 2025 es transporte subcontratado (alcance 3), 18,3 millones de t de CO₂e en 2025, frente a 0,2 millones de alcance 1 [1]. Los objetivos, validados por SBTi en 2023, son −50 % en alcances 1 y 2 y −30 % en alcance 3 en 2030 frente a 2019, y cero neto en 2050; con Schenker la base de 2019 se recalculó (+77 % en alcances 1 y 2, +55 % en alcance 3) [1]. Reducirlas depende de combustibles alternativos que las navieras, aerolíneas y transportistas cobran aparte [1]. El segundo es la seguridad y las condiciones laborales en una plantilla de ~150.000 personas y miles de transportistas pequeños: objetivos para 2026 de cero accidentes mortales y un máximo de 6,0 accidentes por millón de horas trabajadas [1]. El tercero es la integridad (corrupción) en países de riesgo [1].</w:t>
      </w:r>
    </w:p>
    <w:p>
      <w:pPr>
        <w:pStyle w:val="Heading2"/>
      </w:pPr>
      <w:r>
        <w:t xml:space="preserve">Controversias</w:t>
      </w:r>
    </w:p>
    <w:p>
      <w:pPr>
        <w:spacing w:after="100"/>
      </w:pPr>
      <w:r>
        <w:t xml:space="preserve">En 2025 DSV comunicó un accidente mortal de un conductor en Sudáfrica [1]. En los documentos revisados (informe anual 2025 e informe del primer semestre de 2026) no hay sanciones de competencia, multas significativas ni litigios materiales de los últimos tres años [1, 2]. Hay que vigilar el deterioro del servicio en Road durante la integración de Schenker, que ha bajado la satisfacción de los clientes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y cuánto margen bruto se han perdido en Alemania, Francia y Países Bajos por la integración de la red de grupaje, y en qué trimestre esperan recuperar la productividad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admite caída de productividad y de satisfacción de clientes en Road; la acción cayó un 14,2 % el día de los resultados. Es el riesgo que el precio está descontando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9.000 M de sinergias es reducción de plantilla (más de 8.000 empleados de oficina menos) y qué parte depende de cerrar almacenes y unificar sistemas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plantilla ya está hecha; la de red y sistemas es la que más se retrasa en las integraciones de transitarios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9.000 M de mejoras de productividad por IA y tecnología hasta 2030 son netos de la inflación salarial, o hay que restarles 1,5-2 puntos anuales de subida de 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un 40 % y un 45 % de conversión en 2030 vale ≈4.500 M de EBIT; es el supuesto que más separa nuestro caso base del objetivo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¿Compitió DSV por el contrato de logística de infraestructura de AWS que Amazon adjudicó a Kuehne+Nagel en septiembre y qué peso tienen los centros de datos en Contract Logistics?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tecnología y los centros de datos son el motor de crecimiento de Contract Logistics en 2026; la prensa ligó la caída del 21-sep a ese contrato [2,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cobran los 1.800 M de la venta de inmuebles de Schenker y qué parte del circulante del 3,5 % de las ventas es estructural tras la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ajustado del 2T26 cayó a 786 M; el objetivo a largo plazo es un 2-3 % de las ventas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nuevas compras grandes en el plan antes de bajar de 2,0x de deuda neta sobre EBITDA, o la prioridad tras el desapalancamiento son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estrategia 2030 cuenta con crecimiento por compras; una compra grande antes de demostrar la integración de Schenker sería la señal contraria a la que pide el mercado [43].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29 controles correctos y 11 explicados. Fuentes: 79 (48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1.002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525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800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2.164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853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291 (¿operaciones interrumpidas?). Explicación: Los 291 M de diferencia son la pérdida de actividades interrumpidas: una parte de Schenker clasificada para la venta (negocio de carretera en EE. UU.)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4.527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8,5 % real: genera una variación de circulante de 4.376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Con un R² de 0,02 no se usa: los múltiplos de la muestra dependen del modelo (sin activos frente a almacenes) y de la norma contable (NIIF 16 frente a US GAAP), no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9,8x según qué comparable se quite (757,88 a 1.192,24 por acción): la muestra es frágil; explícalo y no le des mucho peso. Explicación: La muestra mezcla transitarios sin activos (12-17x EBITDA) con logística de almacén y grupos con flota (5-7x): quitar uno mueve la mediana. Por eso los comparables pesan solo un 15 % y se lee sobre todo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 Holdings (Nippon Express) (6,9x → 5,3x): el salto implica un crecimiento del EBITDA que no cuadra con el de las ventas. ¿EBITDA de proveedores distintos, o un cambio de perímetro? Explicación: NX Holdings (Nippon Express) tuvo un beneficio de 2025 casi nulo y el consenso espera una recuperación fuerte del EBITDA; el salto de 6,9x a 5,3x refleja esa recuperación, no proveedores distintos (todo de MarketScreener) [67].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798,09 y PER 1.402,47 por acción: si la empresa amortiza mucho más que sus comparables (licencias, intangibles adquiridos) el EBITDA la favorece; usa EV/EBIT o EV/(EBITDA − capex) y explícalo. Explicación: El EV/EBITDA penaliza a DSV porque sus comparables con más EBITDA por corona de valor son grupos con flota y almacenes (DHL, NX, ID Logistics, GXO) y porque Expeditors y C.H. Robinson (US GAAP) dejan el alquiler dentro del EBITDA. El PER mide lo mismo en todos; el informe lo explica en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(48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UTi (2016) y Panalpina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2018 (tabla de cinco años y notas): no da el precio de UTi; 2) informes anuales 2021 y 2022: citan Panalpina sin importe; 3) los informes anuales 2016, 2019 y 2020 no están en MFN (faltan los anuncios 794-917) e investor.dsv.com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cuenta, balance y flujos de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2016 y 2019/2020: no localizados en MFN ni en GlobeNewswire por los enlaces de inderes; 2) investor.dsv.com y dsv.gcs-web.com: sin respuesta (timeout); 3) tablas de cinco años de los informes 2018 y 2021: dan ingresos, EBITDA, EBIT, partidas especiales, financieros, beneficio, flujo operativo, dividendos, recompras, activo y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del 3T25, 1T26 y 1S26: el BPA solo se publica acumulado o de 12 meses; 2) informe anual 2025 (tabla trimestral): sin BPA; 3) consenso previo a cada trimestre: no buscado por el límite de búsquedas (lo cubre otro subagente)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investor.dsv.com: sin respuesta; 2) MFN: solo los avisos de convocatoria de la conferencia; 3) búsqueda web: cortada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2016 y 2019 no localizados; 2) informe 2018 y 2021 solo dan 2017-2018 y 2020-2021; 3) tablas de cinco años sin desglose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Ti de junio de 2026: solo da 2025, 2026e y 2030e; 2) informes anuales de DSV, Kuehne+Nagel y DHL: dan cuota y volúmenes, no la serie del mercado; 3) Armstrong &amp; Associates no consultado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ciclo.comentario: comportamiento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2025 de DSV y Kuehne+Nagel: series desde 2019; 2) XBRL de Expeditors en EDGAR: desde 2019 en este análisis; 3) no se descargaron informes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anuales de tarifas 2019-2025 (Drewry WCI, SCFI, TAC aéreo)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del WCI de Drewry: solo el último dato (4.434 USD/FEU, 1-oct-2026); 2) nota semanal de Drewry de enero de 2025: media de 2019 (1.420 USD) y pico de 2021 (10.377 USD), sin medias de 2020-2025; 3) IATA: solo variación de rendimientos (−1,5 % en 2025); SCFI y TAC no consultados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2019, pico de 2021 y dato actual)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EBIT por TEU y por tonelada 2019-2023 de DSV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2025 de DSV y Kuehne+Nagel: solo 2024-2025; 2) DHL: volúmenes sin margen bruto por modo; 3) Expeditors y C.H. Robinson no publican volúmenes absolutos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los diez primeros clientes y tasa de renovación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segmentos: ningún cliente supera el 5 %); 2) informe del 1S26: solo retención cualitativa; 3) presentación del día del inversor: no descargada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2024,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resultados de las juntas 1096 (2024), 1152 (2025) y 1167 (2026): solo dicen «approved», sin votos a favor ni en contra; 2) actas en la web de inversores (investor.dsv.com y dsv.gcs-web.com/static-files): no responden (tiempo agotado con curl, descargar.mjs y WebFetch); 3) búsqueda web de «voting results»: sin recuentos publicados en otra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la junta de 2026 (solo elecciones, presidente y vicepresidente); 2) informe del 1S26 (solo firmas del consejo); 3) web de inversores (dsv.gcs-web.com),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composición de comisiones de 2025 del informe anual y la de los dos nuevos consejeros queda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inicial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Listado de anuncios de mfn.se, que solo llega a octubre de 2021; 2) anuncio del informe anual 2021, que solo da la guía de 2022; 3) anuncio de revisión de octubre de 2021, que da la guía previa (13.750-14.500 M DKK) pero no la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2021 figura con la guía previa a la revisión y 2020 no se incluye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medio plazo anteriores a los de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del día del inversor de 2026 (no menciona objetivos previos); 2) informe anual 2025 (sin objetivos a medio plazo previos); 3) anuncios de resultados de 2021-2024 en mfn.se (solo guías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Frank Sobotka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consejo y comité ejecutivo); 2) operaciones de directivos de 2025-2026 (no aparece); 3) informe anual 2025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 riesgo a la fecha de corte (bono danés a 10 años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Statistikbanken, tabla diaria DNRENTD (Danmarks Nationalbank): solo tipos oficiales, sin bonos; 2) Statistikbanken MPK3 (mensual): último dato agosto de 2026, 3,13 %; 3) BCE, tipo de convergencia de Dinamarca (mensual): agosto de 2026, 3,01 %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(último dato mensual oficial, agosto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y finanzas: no lo dan en la tabla; 2) el flotante solo apareció en un resumen de buscador (no vale, regla 0); 3) Stock Analysis de DSV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las operaciones (Schenker, Bolloré Logistics, GIL, Panalpina, UTi, CEVA/GEFCO, DP World/Imperial, UPS/Andlauer, SF/Kerry)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DSV (Schenker: solo EV/ventas 0,77x y EV/EBIT 14,0x; informe anual 2021: solo el valor empresa de GIL); 2) búsqueda de las notas de Bolloré/CMA CGM y UPS/Andlauer: sin múltiplo publicado, la nota de UPS da «Access Denied»; 3) Panalpina, UTi, CEVA/GEFCO, DP World/Imperial y SF/Kerry no buscados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acciones recientes de precio objetivo; 2) Stock Analysis forecast: sin historial gratuito;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NX Holdings e ID Logistics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no lo da;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Annual Report 2025 (anuncio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Interim Financial Report H1 2026 (anuncio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2024 (anuncio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https://ml-eu.globenewswire.com/Resource/Download/c688394c-bc90-4e16-a8b4-779b40d5afbd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2023 (anuncio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https://ml-eu.globenewswire.com/Resource/Download/5bb76de6-179d-4dd8-b31f-c2fa6e3b28b9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2022 (anuncio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https://ml-eu.globenewswire.com/Resource/Download/8f12695c-381b-4fae-b1b0-e5f284bd9599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2021 (anuncio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https://ml-eu.globenewswire.com/Resource/Download/2442165b-0701-4157-a818-e9cb68710ee9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2018 (anuncio 736)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https://ml-eu.globenewswire.com/Resource/Download/24d79f1e-0c05-4c3a-a49c-88769b71c98b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2024 (anuncio 1141)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https://ml-eu.globenewswire.com/Resource/Download/952d7e29-9a28-43c8-86de-756bf90be188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2025 (anuncio 1155)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https://ml-eu.globenewswire.com/Resource/Download/f7574805-fa87-40d9-be83-76b8507405bc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H1 2025 (anuncio 1159)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https://ml-eu.globenewswire.com/Resource/Download/f679bc2e-7f8b-4011-b8c8-6d466af44e9d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2025 (anuncio 1161)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https://ml-eu.globenewswire.com/Resource/Download/b48cd845-72de-4c7a-af2b-502e77fce70e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2026 (anuncio 1168)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https://ml-eu.globenewswire.com/Resource/Download/8099dd56-cfd8-4ca3-95e9-40bdc7722c6a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signs agreement to acquire Schenker (anuncio 1132)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completes the acquisition of Schenker (anuncio 1154)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https://ml-eu.globenewswire.com/Resource/Download/5f964e62-891b-430f-bc9e-6c5934229d20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19 March 2026 (Company Announcement No. 1167)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https://mfn.se/one/a/dsv/dsv-1167-annual-general-meeting-of-dsv-a-s-19-march-2026-3718a06d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(Company Announcement No. 1166)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https://mfn.se/one/a/dsv/dsv-1166-notice-of-annual-general-meeting-2026-b69d25eb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changes to Executive Board (Company Announcement No. 1062)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https://mfn.se/one/a/dsv/dsv-1062-dsv-announces-changes-to-executive-board-e9501025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Changes to the Executive Board and the Group Executive Committee (Company Announcement No. 1088)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https://mfn.se/one/a/dsv/dsv-1088-dsv-announces-changes-to-the-executive-board-and-the-group-executive-committee-ba671826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(Company Announcement No.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https://mfn.se/one/a/dsv/dsv-1150-2024-annual-report-0763e133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https://docs.dsv.com/group/group-compliance/remuneration-report-2025/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equity offering of 26.4 million new shares (Company Announcement No. 1137)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https://mfn.se/one/a/dsv/dsv-1137-dsv-a-s-completes-equity-offering-of-26-4-million-new-shares-raising-gross-proceeds-of-dkk-37-3-billion-approx-eur-5-billion-19c5c187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2021 and upgrade of financial outlook for 2021 (Company Announcement No. 920)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https://mfn.se/one/a/dsv/dsv-920-trading-update-for-q3-2021-and-upgrade-of-financial-outlook-for-2021-0cbcf037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(Company Announcement No.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https://mfn.se/one/a/dsv/dsv-941-2021-annual-report-4d1ca1ca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2022 (Company Announcement No. 990)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https://mfn.se/one/a/dsv/dsv-990-upgrade-of-financial-outlook-for-2022-ca3283d8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(Company Announcement No.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https://mfn.se/one/a/dsv/dsv-1012-2022-annual-report-8b948dd4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2023 (Company Announcement No. 1045)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https://mfn.se/one/a/dsv/dsv-1045-upgrade-of-financial-outlook-for-2023-84db3a63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(Company Announcement No.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https://mfn.se/one/a/dsv/dsv-1086-2023-annual-report-b52a858a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2024 and narrowing financial outlook for 2024 (Company Announcement No. 1135)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https://mfn.se/one/a/dsv/dsv-1135-trading-update-for-q3-2024-and-narrowing-financial-outlook-for-2024-4492edb8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updated strategic priorities and new financial targets for 2030 (Company Announcement No. 1169)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https://ml-eu.globenewswire.com/Resource/Download/eb6bb5e9-12aa-4a83-b785-f462648368f8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https://ml-eu.globenewswire.com/Resource/Download/675e5167-c8d9-442c-958f-c395e9b075a0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https://ml-eu.globenewswire.com/Resource/Download/76f4c55d-5a24-4071-a953-ceacc2c987c1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https://ml-eu.globenewswire.com/Resource/Download/1103221f-3ccc-4e20-9daf-639cb55468a4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https://ml-eu.globenewswire.com/Resource/Download/c841a297-4211-44d1-b0e7-dfde509a4cb5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Agility (Company Announcement No. 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https://ml-eu.globenewswire.com/Resource/Download/95208473-f80a-4215-8b78-ab0a2a0abdce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https://ml-eu.globenewswire.com/Resource/Download/37be725a-77cd-47ea-b5a1-ba5d8f1ce5ac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https://mfn.se/one/a/dsv/dsv-1140-major-shareholder-announcement-89758bdf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20 March 2025 (Company Announcement No. 1152)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https://mfn.se/one/a/dsv/dsv-1152-annual-general-meeting-of-dsv-a-s-20-march-2025-4f60416b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14 March 2024 (Company Announcement No. 1096)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https://mfn.se/one/a/dsv/dsv-1096-annual-general-meeting-of-dsv-a-s-14-march-2024-f3d395a2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 of net short positions at or above 0.1 %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https://www.dfsa.dk/Media/639233216371760419/2026-07-ss-over-01-pct.xlsx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Published net short positions at or above 0.5 %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DSV.CO, ^OMXC25,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https://finance.yahoo.com/quote/DSV.CO/history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(CPH:DSV)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MPK3: Interest rates, by type — 10-years central government bond (redemption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(Statistikbanken)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https://api.statbank.dk/v1/data/MPK3/CSV?lang=en&amp;TYPE=5500701004&amp;Tid=2026M03,2026M04,2026M05,2026M06,2026M07,2026M08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Denmark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https://data-api.ecb.europa.eu/service/data/IRS/M.DK.L.L40.CI.0000.DKK.N.Z?format=csvdata&amp;startPeriod=2025-09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https://www.marketscreener.com/quote/stock/DHL-GROUP-435996/finances/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of Washington: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https://www.marketscreener.com/quote/stock/EXPEDITORS-INTERNATIONAL--4900/finances/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https://www.marketscreener.com/quote/stock/C-H-ROBINSON-WORLDWIDE-IN-4915/finances/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https://www.marketscreener.com/quote/stock/GXO-LOGISTICS-INC-125090815/finances/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Express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https://www.marketscreener.com/quote/stock/NIPPON-EXPRESS-HOLDINGS-I-131014719/finances/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Logistics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https://www.marketscreener.com/quote/stock/ID-LOGISTICS-GROUP-10372316/finances/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(ETR:DHL)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https://stockanalysis.com/quote/etr/DHL/statistics/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(EXPD)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(CHRW)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https://stockanalysis.com/stocks/chrw/statistics/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(GXO)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https://stockanalysis.com/stocks/gxo/statistics/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 (DKK 7,4745; USD 1,1177; CHF 0,9309; JPY 176,85)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DSV heals, Kuehne eyes deal (cita una nota de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https://theloadstar.com/as-dsv-heals-kuehne-eyes-deal/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revises DSV’s A- rating outlook to negative following Schenker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Cargo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https://www.aircargonews.net/freight-forwarder/2024/09/sp-revises-dsvs-a-rating-outlook-to-negative-following-schenker-deal/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DSV.CO, gráfico diario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https://query1.finance.yahoo.com/v8/finance/chart/DSV.CO?range=5d&amp;interval=1d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report DSV Solutions (Pvt) Ltd (cita los ratings de la matriz)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 Credit Rating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https://docs.vis.com.pk/RatingReports/OP_01075901004_00010759.pdf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86,8 %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(Nasdaq Copenhagen, DSV), con cuentas y cotización en coronas danesas: no hay conversión en las cifras de la empresa. El precio es el cierre del 7-oct-2026 (1.137,5 DKK) [78]; las rentabilidades, la beta, la volatilidad y la caída máxima llegan al 6-oct porque los fondos cotizados del índice y del sector no traían aún la sesión del 7 [55]. El puente es el balance del 30-jun-2026 y las acciones (239,178 millones diluidas) son de la misma fecha [2]; el flujo de caja del 3T26 no está ni en el puente ni en el DCF. La cuenta va con el EBITDA y el EBIT </w:t>
      </w:r>
      <w:r>
        <w:rPr>
          <w:b/>
        </w:rPr>
        <w:t xml:space="preserve">antes de partidas especiales</w:t>
      </w:r>
      <w:r>
        <w:t xml:space="preserve">, como los publica DSV; las partidas especiales (costes de compras e integración) quedan entre el EBIT y el beneficio antes de impuestos [1, 2]. </w:t>
      </w:r>
      <w:r>
        <w:rPr>
          <w:b/>
        </w:rPr>
        <w:t xml:space="preserve">Perímetro</w:t>
      </w:r>
      <w:r>
        <w:t xml:space="preserve">: 2016 (UTi), 2019 (Panalpina), 2021 (GIL) y 2025 (Schenker, solo ocho meses en la cuenta y completo en el balance) no son comparables con el año anterior; el balance de 2024 lleva la caja captada para Schenker sin el negocio. Por eso mezclan perímetros los ratios de 2025 que combinan cuenta y balance (circulante sobre ventas, rotación, ROIC, deuda neta sobre EBITDA de 3,0 frente a 2,8x de la empresa con Schenker los doce meses). La empresa no publica una cuenta proforma completa; sí los ingresos proforma de 2025 (293.368 M) [1], y el LTM a jun-26 es la primera base con Schenker los doce meses. 2016 y 2019 salen de las tablas de cinco años y 2017-2018 no están reexpresados por NIIF 16 [6, 7]. El bono danés a 10 años es la media de agosto de 2026 (3,13 %, Statistics Denmark): no hay dato diario oficial gratuito [59, 60]. El rating sale de fuentes secundarias: la web de inversores de DSV no respondía [77, 79]. El capital flotante (80,8 %) es una estimación propia: 100 % menos Ernst Göhner Stiftung (9,7 %), Agility (8,03 %) y la autocartera (1,5 %) [1, 48]. Solo MarketScreener da el consenso completo gratis; su EBITDA y su EBIT son antes de partidas especiales y su BPA es el contable [56].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DSV A/S (DSV)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1.137,50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Hoja1!$B$2:$B$9</c:f>
              <c:numCache>
                <c:formatCode>#,##0</c:formatCode>
                <c:ptCount val="8"/>
                <c:pt idx="0">
                  <c:v>1137.5</c:v>
                </c:pt>
                <c:pt idx="1">
                  <c:v>1580</c:v>
                </c:pt>
                <c:pt idx="2">
                  <c:v>597</c:v>
                </c:pt>
                <c:pt idx="3">
                  <c:v>1208.28</c:v>
                </c:pt>
                <c:pt idx="4">
                  <c:v>1197.93</c:v>
                </c:pt>
                <c:pt idx="5">
                  <c:v>856.02</c:v>
                </c:pt>
                <c:pt idx="6">
                  <c:v>1660.67</c:v>
                </c:pt>
                <c:pt idx="7">
                  <c:v>1131.81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Hoja1!$C$2:$C$9</c:f>
              <c:numCache>
                <c:formatCode>#,##0</c:formatCode>
                <c:ptCount val="8"/>
                <c:pt idx="0">
                  <c:v>776</c:v>
                </c:pt>
                <c:pt idx="1">
                  <c:v>720</c:v>
                </c:pt>
                <c:pt idx="2">
                  <c:v>1101.99</c:v>
                </c:pt>
                <c:pt idx="3">
                  <c:v>503.45000000000005</c:v>
                </c:pt>
                <c:pt idx="4">
                  <c:v>544.3499999999999</c:v>
                </c:pt>
                <c:pt idx="5">
                  <c:v>939.1300000000001</c:v>
                </c:pt>
                <c:pt idx="6">
                  <c:v>511.4499999999998</c:v>
                </c:pt>
                <c:pt idx="7">
                  <c:v>11.38000000000011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Air &amp; Sea</c:v>
                </c:pt>
              </c:strCache>
            </c:strRef>
          </c:tx>
          <c:spPr>
            <a:solidFill>
              <a:srgbClr val="2A78D6"/>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Hoja1!$B$2:$B$9</c:f>
              <c:numCache>
                <c:formatCode>#,##0</c:formatCode>
                <c:ptCount val="8"/>
                <c:pt idx="0">
                  <c:v>35204</c:v>
                </c:pt>
                <c:pt idx="1">
                  <c:v>36972</c:v>
                </c:pt>
                <c:pt idx="2">
                  <c:v>73689</c:v>
                </c:pt>
                <c:pt idx="3">
                  <c:v>131901</c:v>
                </c:pt>
                <c:pt idx="4">
                  <c:v>174431</c:v>
                </c:pt>
                <c:pt idx="5">
                  <c:v>92972</c:v>
                </c:pt>
                <c:pt idx="6">
                  <c:v>104496</c:v>
                </c:pt>
                <c:pt idx="7">
                  <c:v>137320</c:v>
                </c:pt>
              </c:numCache>
            </c:numRef>
          </c:val>
        </c:ser>
        <c:ser>
          <c:idx val="1"/>
          <c:order val="1"/>
          <c:tx>
            <c:strRef>
              <c:f>Hoja1!$C$1</c:f>
              <c:strCache>
                <c:ptCount val="1"/>
                <c:pt idx="0">
                  <c:v>Road</c:v>
                </c:pt>
              </c:strCache>
            </c:strRef>
          </c:tx>
          <c:spPr>
            <a:solidFill>
              <a:srgbClr val="EB6834"/>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Hoja1!$C$2:$C$9</c:f>
              <c:numCache>
                <c:formatCode>#,##0</c:formatCode>
                <c:ptCount val="8"/>
                <c:pt idx="0">
                  <c:v>30627</c:v>
                </c:pt>
                <c:pt idx="1">
                  <c:v>31243</c:v>
                </c:pt>
                <c:pt idx="2">
                  <c:v>30395</c:v>
                </c:pt>
                <c:pt idx="3">
                  <c:v>35416</c:v>
                </c:pt>
                <c:pt idx="4">
                  <c:v>41507</c:v>
                </c:pt>
                <c:pt idx="5">
                  <c:v>38155</c:v>
                </c:pt>
                <c:pt idx="6">
                  <c:v>40507</c:v>
                </c:pt>
                <c:pt idx="7">
                  <c:v>77977</c:v>
                </c:pt>
              </c:numCache>
            </c:numRef>
          </c:val>
        </c:ser>
        <c:ser>
          <c:idx val="2"/>
          <c:order val="2"/>
          <c:tx>
            <c:strRef>
              <c:f>Hoja1!$D$1</c:f>
              <c:strCache>
                <c:ptCount val="1"/>
                <c:pt idx="0">
                  <c:v>Contract Logistics</c:v>
                </c:pt>
              </c:strCache>
            </c:strRef>
          </c:tx>
          <c:spPr>
            <a:solidFill>
              <a:srgbClr val="1BAF7A"/>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Hoja1!$D$2:$D$9</c:f>
              <c:numCache>
                <c:formatCode>#,##0</c:formatCode>
                <c:ptCount val="8"/>
                <c:pt idx="0">
                  <c:v>11362</c:v>
                </c:pt>
                <c:pt idx="1">
                  <c:v>13229</c:v>
                </c:pt>
                <c:pt idx="2">
                  <c:v>14608</c:v>
                </c:pt>
                <c:pt idx="3">
                  <c:v>18734</c:v>
                </c:pt>
                <c:pt idx="4">
                  <c:v>24409</c:v>
                </c:pt>
                <c:pt idx="5">
                  <c:v>23140</c:v>
                </c:pt>
                <c:pt idx="6">
                  <c:v>25624</c:v>
                </c:pt>
                <c:pt idx="7">
                  <c:v>43463</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Hoja1!$E$2:$E$9</c:f>
              <c:numCache>
                <c:formatCode>#,##0</c:formatCode>
                <c:ptCount val="8"/>
                <c:pt idx="0">
                  <c:v>-2292</c:v>
                </c:pt>
                <c:pt idx="1">
                  <c:v>-2391</c:v>
                </c:pt>
                <c:pt idx="2">
                  <c:v>-2760</c:v>
                </c:pt>
                <c:pt idx="3">
                  <c:v>-3745</c:v>
                </c:pt>
                <c:pt idx="4">
                  <c:v>-4682</c:v>
                </c:pt>
                <c:pt idx="5">
                  <c:v>-3482</c:v>
                </c:pt>
                <c:pt idx="6">
                  <c:v>-3521</c:v>
                </c:pt>
                <c:pt idx="7">
                  <c:v>-11429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 &amp; Sea</c:v>
                </c:pt>
                <c:pt idx="1">
                  <c:v>Road</c:v>
                </c:pt>
                <c:pt idx="2">
                  <c:v>Contract Logistics</c:v>
                </c:pt>
                <c:pt idx="3">
                  <c:v>Otros y eliminaciones</c:v>
                </c:pt>
              </c:strCache>
            </c:strRef>
          </c:cat>
          <c:val>
            <c:numRef>
              <c:f>Hoja1!$B$2:$B$5</c:f>
              <c:numCache>
                <c:formatCode>General</c:formatCode>
                <c:ptCount val="4"/>
                <c:pt idx="0">
                  <c:v>55.5</c:v>
                </c:pt>
                <c:pt idx="1">
                  <c:v>31.5</c:v>
                </c:pt>
                <c:pt idx="2">
                  <c:v>17.6</c:v>
                </c:pt>
                <c:pt idx="3">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Asia-Pacífico</c:v>
                </c:pt>
                <c:pt idx="3">
                  <c:v>Oriente Medio y África</c:v>
                </c:pt>
              </c:strCache>
            </c:strRef>
          </c:cat>
          <c:val>
            <c:numRef>
              <c:f>Hoja1!$B$2:$B$5</c:f>
              <c:numCache>
                <c:formatCode>0"%"</c:formatCode>
                <c:ptCount val="4"/>
                <c:pt idx="0">
                  <c:v>54.7</c:v>
                </c:pt>
                <c:pt idx="1">
                  <c:v>21.6</c:v>
                </c:pt>
                <c:pt idx="2">
                  <c:v>18.6</c:v>
                </c:pt>
                <c:pt idx="3">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DSV</c:v>
                </c:pt>
                <c:pt idx="1">
                  <c:v>Kuehne+Nagel</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7.9</c:v>
                </c:pt>
                <c:pt idx="1">
                  <c:v>5.1</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67747</c:v>
                </c:pt>
                <c:pt idx="1">
                  <c:v>74901</c:v>
                </c:pt>
                <c:pt idx="2">
                  <c:v>79053</c:v>
                </c:pt>
                <c:pt idx="3">
                  <c:v>94701</c:v>
                </c:pt>
                <c:pt idx="4">
                  <c:v>115932</c:v>
                </c:pt>
                <c:pt idx="5">
                  <c:v>182306</c:v>
                </c:pt>
                <c:pt idx="6">
                  <c:v>235665</c:v>
                </c:pt>
                <c:pt idx="7">
                  <c:v>150785</c:v>
                </c:pt>
                <c:pt idx="8">
                  <c:v>167106</c:v>
                </c:pt>
                <c:pt idx="9">
                  <c:v>247331</c:v>
                </c:pt>
                <c:pt idx="10">
                  <c:v>297762</c:v>
                </c:pt>
                <c:pt idx="11">
                  <c:v>301811</c:v>
                </c:pt>
                <c:pt idx="12">
                  <c:v>313884</c:v>
                </c:pt>
                <c:pt idx="13">
                  <c:v>326439</c:v>
                </c:pt>
                <c:pt idx="14">
                  <c:v>339497</c:v>
                </c:pt>
                <c:pt idx="15">
                  <c:v>351379</c:v>
                </c:pt>
                <c:pt idx="16">
                  <c:v>363677</c:v>
                </c:pt>
                <c:pt idx="17">
                  <c:v>374588</c:v>
                </c:pt>
                <c:pt idx="18">
                  <c:v>385825</c:v>
                </c:pt>
                <c:pt idx="19">
                  <c:v>395471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4250</c:v>
                </c:pt>
                <c:pt idx="1">
                  <c:v>5664</c:v>
                </c:pt>
                <c:pt idx="2">
                  <c:v>6212</c:v>
                </c:pt>
                <c:pt idx="3">
                  <c:v>10292</c:v>
                </c:pt>
                <c:pt idx="4">
                  <c:v>13559</c:v>
                </c:pt>
                <c:pt idx="5">
                  <c:v>20417</c:v>
                </c:pt>
                <c:pt idx="6">
                  <c:v>30275</c:v>
                </c:pt>
                <c:pt idx="7">
                  <c:v>22997</c:v>
                </c:pt>
                <c:pt idx="8">
                  <c:v>21831</c:v>
                </c:pt>
                <c:pt idx="9">
                  <c:v>28244</c:v>
                </c:pt>
                <c:pt idx="10">
                  <c:v>34957</c:v>
                </c:pt>
                <c:pt idx="11">
                  <c:v>38662</c:v>
                </c:pt>
                <c:pt idx="12">
                  <c:v>42343</c:v>
                </c:pt>
                <c:pt idx="13">
                  <c:v>45473</c:v>
                </c:pt>
                <c:pt idx="14">
                  <c:v>48684</c:v>
                </c:pt>
                <c:pt idx="15">
                  <c:v>50845</c:v>
                </c:pt>
                <c:pt idx="16">
                  <c:v>52624</c:v>
                </c:pt>
                <c:pt idx="17">
                  <c:v>54203</c:v>
                </c:pt>
                <c:pt idx="18">
                  <c:v>55829</c:v>
                </c:pt>
                <c:pt idx="19">
                  <c:v>57225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22.2</c:v>
                </c:pt>
                <c:pt idx="2">
                  <c:v>22.1</c:v>
                </c:pt>
                <c:pt idx="4">
                  <c:v>24.6</c:v>
                </c:pt>
                <c:pt idx="5">
                  <c:v>20.6</c:v>
                </c:pt>
                <c:pt idx="6">
                  <c:v>22.1</c:v>
                </c:pt>
                <c:pt idx="7">
                  <c:v>29.1</c:v>
                </c:pt>
                <c:pt idx="8">
                  <c:v>25.7</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c:v>
                </c:pt>
                <c:pt idx="1">
                  <c:v>7.6</c:v>
                </c:pt>
                <c:pt idx="2">
                  <c:v>7.9</c:v>
                </c:pt>
                <c:pt idx="3">
                  <c:v>10.9</c:v>
                </c:pt>
                <c:pt idx="4">
                  <c:v>11.7</c:v>
                </c:pt>
                <c:pt idx="5">
                  <c:v>11.2</c:v>
                </c:pt>
                <c:pt idx="6">
                  <c:v>12.8</c:v>
                </c:pt>
                <c:pt idx="7">
                  <c:v>15.3</c:v>
                </c:pt>
                <c:pt idx="8">
                  <c:v>13.1</c:v>
                </c:pt>
                <c:pt idx="9">
                  <c:v>11.4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6.5</c:v>
                </c:pt>
                <c:pt idx="2">
                  <c:v>6.9</c:v>
                </c:pt>
                <c:pt idx="3">
                  <c:v>7</c:v>
                </c:pt>
                <c:pt idx="4">
                  <c:v>8.2</c:v>
                </c:pt>
                <c:pt idx="5">
                  <c:v>8.9</c:v>
                </c:pt>
                <c:pt idx="6">
                  <c:v>10.7</c:v>
                </c:pt>
                <c:pt idx="7">
                  <c:v>11.8</c:v>
                </c:pt>
                <c:pt idx="8">
                  <c:v>9.6</c:v>
                </c:pt>
                <c:pt idx="9">
                  <c:v>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1">
                  <c:v>4</c:v>
                </c:pt>
                <c:pt idx="2">
                  <c:v>5.1</c:v>
                </c:pt>
                <c:pt idx="4">
                  <c:v>3.7</c:v>
                </c:pt>
                <c:pt idx="5">
                  <c:v>6.1</c:v>
                </c:pt>
                <c:pt idx="6">
                  <c:v>7.5</c:v>
                </c:pt>
                <c:pt idx="7">
                  <c:v>8.2</c:v>
                </c:pt>
                <c:pt idx="8">
                  <c:v>6</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23.9</c:v>
                </c:pt>
                <c:pt idx="1">
                  <c:v>19.1</c:v>
                </c:pt>
                <c:pt idx="2">
                  <c:v>8.7</c:v>
                </c:pt>
                <c:pt idx="3">
                  <c:v>50.6</c:v>
                </c:pt>
                <c:pt idx="4">
                  <c:v>63.2</c:v>
                </c:pt>
                <c:pt idx="5">
                  <c:v>64.7</c:v>
                </c:pt>
                <c:pt idx="6">
                  <c:v>68.9</c:v>
                </c:pt>
                <c:pt idx="7">
                  <c:v>23.7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61</c:v>
                </c:pt>
                <c:pt idx="2">
                  <c:v>61</c:v>
                </c:pt>
                <c:pt idx="4">
                  <c:v>60</c:v>
                </c:pt>
                <c:pt idx="5">
                  <c:v>73</c:v>
                </c:pt>
                <c:pt idx="6">
                  <c:v>50</c:v>
                </c:pt>
                <c:pt idx="7">
                  <c:v>54</c:v>
                </c:pt>
                <c:pt idx="8">
                  <c:v>59</c:v>
                </c:pt>
                <c:pt idx="9">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3</c:v>
                </c:pt>
                <c:pt idx="2">
                  <c:v>4</c:v>
                </c:pt>
                <c:pt idx="4">
                  <c:v>6</c:v>
                </c:pt>
                <c:pt idx="5">
                  <c:v>1</c:v>
                </c:pt>
                <c:pt idx="6">
                  <c:v>4</c:v>
                </c:pt>
                <c:pt idx="7">
                  <c:v>15</c:v>
                </c:pt>
                <c:pt idx="8">
                  <c:v>15</c:v>
                </c:pt>
                <c:pt idx="9">
                  <c:v>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63</c:v>
                </c:pt>
                <c:pt idx="2">
                  <c:v>62</c:v>
                </c:pt>
                <c:pt idx="4">
                  <c:v>66</c:v>
                </c:pt>
                <c:pt idx="5">
                  <c:v>77</c:v>
                </c:pt>
                <c:pt idx="6">
                  <c:v>54</c:v>
                </c:pt>
                <c:pt idx="7">
                  <c:v>72</c:v>
                </c:pt>
                <c:pt idx="8">
                  <c:v>66</c:v>
                </c:pt>
                <c:pt idx="9">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1273</c:v>
                </c:pt>
                <c:pt idx="1">
                  <c:v>3651</c:v>
                </c:pt>
                <c:pt idx="2">
                  <c:v>3091</c:v>
                </c:pt>
                <c:pt idx="3">
                  <c:v>6879</c:v>
                </c:pt>
                <c:pt idx="4">
                  <c:v>5877</c:v>
                </c:pt>
                <c:pt idx="5">
                  <c:v>7559</c:v>
                </c:pt>
                <c:pt idx="6">
                  <c:v>21318</c:v>
                </c:pt>
                <c:pt idx="7">
                  <c:v>10178</c:v>
                </c:pt>
                <c:pt idx="8">
                  <c:v>4970</c:v>
                </c:pt>
                <c:pt idx="9">
                  <c:v>12815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2981</c:v>
                </c:pt>
                <c:pt idx="2">
                  <c:v>4000</c:v>
                </c:pt>
                <c:pt idx="4">
                  <c:v>4250</c:v>
                </c:pt>
                <c:pt idx="5">
                  <c:v>11205</c:v>
                </c:pt>
                <c:pt idx="6">
                  <c:v>17568</c:v>
                </c:pt>
                <c:pt idx="7">
                  <c:v>12315</c:v>
                </c:pt>
                <c:pt idx="8">
                  <c:v>10109</c:v>
                </c:pt>
                <c:pt idx="9">
                  <c:v>8095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22.9</c:v>
                </c:pt>
                <c:pt idx="2">
                  <c:v>20.4</c:v>
                </c:pt>
                <c:pt idx="3">
                  <c:v>14.1</c:v>
                </c:pt>
                <c:pt idx="4">
                  <c:v>12.7</c:v>
                </c:pt>
                <c:pt idx="5">
                  <c:v>14.7</c:v>
                </c:pt>
                <c:pt idx="6">
                  <c:v>18.9</c:v>
                </c:pt>
                <c:pt idx="7">
                  <c:v>13.1</c:v>
                </c:pt>
                <c:pt idx="8">
                  <c:v>11.3</c:v>
                </c:pt>
                <c:pt idx="9">
                  <c:v>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c:v>
                </c:pt>
                <c:pt idx="1">
                  <c:v>8</c:v>
                </c:pt>
                <c:pt idx="2">
                  <c:v>8</c:v>
                </c:pt>
                <c:pt idx="3">
                  <c:v>8</c:v>
                </c:pt>
                <c:pt idx="4">
                  <c:v>8</c:v>
                </c:pt>
                <c:pt idx="5">
                  <c:v>8</c:v>
                </c:pt>
                <c:pt idx="6">
                  <c:v>8</c:v>
                </c:pt>
                <c:pt idx="7">
                  <c:v>8</c:v>
                </c:pt>
                <c:pt idx="8">
                  <c:v>8</c:v>
                </c:pt>
                <c:pt idx="9">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21.1</c:v>
                </c:pt>
                <c:pt idx="2">
                  <c:v>27.2</c:v>
                </c:pt>
                <c:pt idx="4">
                  <c:v>8.8</c:v>
                </c:pt>
                <c:pt idx="5">
                  <c:v>18.4</c:v>
                </c:pt>
                <c:pt idx="6">
                  <c:v>24.1</c:v>
                </c:pt>
                <c:pt idx="7">
                  <c:v>17.6</c:v>
                </c:pt>
                <c:pt idx="8">
                  <c:v>11.1</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c:v>
                </c:pt>
                <c:pt idx="1">
                  <c:v>1</c:v>
                </c:pt>
                <c:pt idx="2">
                  <c:v>0.96</c:v>
                </c:pt>
                <c:pt idx="3">
                  <c:v>0</c:v>
                </c:pt>
                <c:pt idx="4">
                  <c:v>1.26</c:v>
                </c:pt>
                <c:pt idx="5">
                  <c:v>1.39</c:v>
                </c:pt>
                <c:pt idx="6">
                  <c:v>0.95</c:v>
                </c:pt>
                <c:pt idx="7">
                  <c:v>1.46</c:v>
                </c:pt>
                <c:pt idx="8">
                  <c:v>-0.03</c:v>
                </c:pt>
                <c:pt idx="9">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2027-2030</c:v>
                </c:pt>
                <c:pt idx="2">
                  <c:v>2031-2034</c:v>
                </c:pt>
                <c:pt idx="3">
                  <c:v>2035+</c:v>
                </c:pt>
              </c:strCache>
            </c:strRef>
          </c:cat>
          <c:val>
            <c:numRef>
              <c:f>Hoja1!$B$2:$B$5</c:f>
              <c:numCache>
                <c:formatCode>#,##0</c:formatCode>
                <c:ptCount val="4"/>
                <c:pt idx="0">
                  <c:v>10797</c:v>
                </c:pt>
                <c:pt idx="1">
                  <c:v>32731</c:v>
                </c:pt>
                <c:pt idx="2">
                  <c:v>20715</c:v>
                </c:pt>
                <c:pt idx="3">
                  <c:v>3790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8</c:v>
                </c:pt>
                <c:pt idx="2">
                  <c:v>59</c:v>
                </c:pt>
                <c:pt idx="4">
                  <c:v>140</c:v>
                </c:pt>
                <c:pt idx="5">
                  <c:v>0</c:v>
                </c:pt>
                <c:pt idx="6">
                  <c:v>0</c:v>
                </c:pt>
                <c:pt idx="7">
                  <c:v>685</c:v>
                </c:pt>
                <c:pt idx="8">
                  <c:v>0</c:v>
                </c:pt>
                <c:pt idx="9">
                  <c:v>75790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327</c:v>
                </c:pt>
                <c:pt idx="1">
                  <c:v>342</c:v>
                </c:pt>
                <c:pt idx="2">
                  <c:v>380</c:v>
                </c:pt>
                <c:pt idx="3">
                  <c:v>423</c:v>
                </c:pt>
                <c:pt idx="4">
                  <c:v>588</c:v>
                </c:pt>
                <c:pt idx="5">
                  <c:v>920</c:v>
                </c:pt>
                <c:pt idx="6">
                  <c:v>1320</c:v>
                </c:pt>
                <c:pt idx="7">
                  <c:v>1424</c:v>
                </c:pt>
                <c:pt idx="8">
                  <c:v>1533</c:v>
                </c:pt>
                <c:pt idx="9">
                  <c:v>1683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1559</c:v>
                </c:pt>
                <c:pt idx="2">
                  <c:v>4161</c:v>
                </c:pt>
                <c:pt idx="3">
                  <c:v>4888</c:v>
                </c:pt>
                <c:pt idx="4">
                  <c:v>5031</c:v>
                </c:pt>
                <c:pt idx="5">
                  <c:v>17841</c:v>
                </c:pt>
                <c:pt idx="6">
                  <c:v>20313</c:v>
                </c:pt>
                <c:pt idx="7">
                  <c:v>13997</c:v>
                </c:pt>
                <c:pt idx="8">
                  <c:v>3347</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Dominical</c:v>
                </c:pt>
              </c:strCache>
            </c:strRef>
          </c:cat>
          <c:val>
            <c:numRef>
              <c:f>Hoja1!$B$2:$B$4</c:f>
              <c:numCache>
                <c:formatCode>0</c:formatCode>
                <c:ptCount val="3"/>
                <c:pt idx="0">
                  <c:v>1</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Ernst Göhner Stiftung (Suiza)</c:v>
                </c:pt>
                <c:pt idx="1">
                  <c:v>Agility Global PLC (grupo Agility, Kuwait)</c:v>
                </c:pt>
                <c:pt idx="2">
                  <c:v>Capital Group Companies (EE. UU.)</c:v>
                </c:pt>
                <c:pt idx="3">
                  <c:v>BlackRock, Inc. (EE. UU.)</c:v>
                </c:pt>
                <c:pt idx="4">
                  <c:v>Autocartera</c:v>
                </c:pt>
              </c:strCache>
            </c:strRef>
          </c:cat>
          <c:val>
            <c:numRef>
              <c:f>Hoja1!$B$2:$B$6</c:f>
              <c:numCache>
                <c:formatCode>0.0"%"</c:formatCode>
                <c:ptCount val="5"/>
                <c:pt idx="0">
                  <c:v>9.7</c:v>
                </c:pt>
                <c:pt idx="1">
                  <c:v>8.03</c:v>
                </c:pt>
                <c:pt idx="2">
                  <c:v>5.1</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16.4</c:v>
                </c:pt>
                <c:pt idx="1">
                  <c:v>56.3</c:v>
                </c:pt>
                <c:pt idx="2">
                  <c:v>-11.8</c:v>
                </c:pt>
                <c:pt idx="3">
                  <c:v>79.6</c:v>
                </c:pt>
                <c:pt idx="4">
                  <c:v>33.4</c:v>
                </c:pt>
                <c:pt idx="5">
                  <c:v>50.3</c:v>
                </c:pt>
                <c:pt idx="6">
                  <c:v>-27.9</c:v>
                </c:pt>
                <c:pt idx="7">
                  <c:v>8.7</c:v>
                </c:pt>
                <c:pt idx="8">
                  <c:v>29.8</c:v>
                </c:pt>
                <c:pt idx="9">
                  <c:v>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17.3</c:v>
                </c:pt>
                <c:pt idx="2">
                  <c:v>13.8</c:v>
                </c:pt>
                <c:pt idx="4">
                  <c:v>18.6</c:v>
                </c:pt>
                <c:pt idx="5">
                  <c:v>18.8</c:v>
                </c:pt>
                <c:pt idx="6">
                  <c:v>9.3</c:v>
                </c:pt>
                <c:pt idx="7">
                  <c:v>12.6</c:v>
                </c:pt>
                <c:pt idx="8">
                  <c:v>15.1</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15.8</c:v>
                </c:pt>
                <c:pt idx="1">
                  <c:v>15.8</c:v>
                </c:pt>
                <c:pt idx="2">
                  <c:v>15.8</c:v>
                </c:pt>
                <c:pt idx="3">
                  <c:v>15.8</c:v>
                </c:pt>
                <c:pt idx="4">
                  <c:v>15.8</c:v>
                </c:pt>
                <c:pt idx="5">
                  <c:v>15.8</c:v>
                </c:pt>
                <c:pt idx="6">
                  <c:v>15.8</c:v>
                </c:pt>
                <c:pt idx="7">
                  <c:v>15.8</c:v>
                </c:pt>
                <c:pt idx="8">
                  <c:v>15.8</c:v>
                </c:pt>
                <c:pt idx="9">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DSV</c:v>
                </c:pt>
                <c:pt idx="1">
                  <c:v>Kuehne+Nagel</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0">
                  <c:v>9.4</c:v>
                </c:pt>
                <c:pt idx="1">
                  <c:v>12.2</c:v>
                </c:pt>
                <c:pt idx="2">
                  <c:v>6.8</c:v>
                </c:pt>
                <c:pt idx="3">
                  <c:v>16.9</c:v>
                </c:pt>
                <c:pt idx="4">
                  <c:v>13.6</c:v>
                </c:pt>
                <c:pt idx="5">
                  <c:v>7.3</c:v>
                </c:pt>
                <c:pt idx="6">
                  <c:v>5.3</c:v>
                </c:pt>
                <c:pt idx="7">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9.4</c:v>
                </c:pt>
              </c:numCache>
            </c:numRef>
          </c:yVal>
          <c:smooth val="0"/>
        </c:ser>
        <c:ser>
          <c:idx val="1"/>
          <c:order val="1"/>
          <c:tx>
            <c:strRef>
              <c:f>Hoja1!$A$3</c:f>
              <c:strCache>
                <c:ptCount val="1"/>
                <c:pt idx="0">
                  <c:v>Kuehne+Nagel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2.9</c:v>
                </c:pt>
              </c:numCache>
            </c:numRef>
          </c:xVal>
          <c:yVal>
            <c:numRef>
              <c:f>Hoja1!$C$3</c:f>
              <c:numCache>
                <c:formatCode>0.0"x"</c:formatCode>
                <c:ptCount val="1"/>
                <c:pt idx="0">
                  <c:v>12.2</c:v>
                </c:pt>
              </c:numCache>
            </c:numRef>
          </c:yVal>
          <c:smooth val="0"/>
        </c:ser>
        <c:ser>
          <c:idx val="2"/>
          <c:order val="2"/>
          <c:tx>
            <c:strRef>
              <c:f>Hoja1!$A$4</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4.2</c:v>
                </c:pt>
              </c:numCache>
            </c:numRef>
          </c:xVal>
          <c:yVal>
            <c:numRef>
              <c:f>Hoja1!$C$4</c:f>
              <c:numCache>
                <c:formatCode>0.0"x"</c:formatCode>
                <c:ptCount val="1"/>
                <c:pt idx="0">
                  <c:v>6.8</c:v>
                </c:pt>
              </c:numCache>
            </c:numRef>
          </c:yVal>
          <c:smooth val="0"/>
        </c:ser>
        <c:ser>
          <c:idx val="3"/>
          <c:order val="3"/>
          <c:tx>
            <c:strRef>
              <c:f>Hoja1!$A$5</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16.9</c:v>
                </c:pt>
              </c:numCache>
            </c:numRef>
          </c:yVal>
          <c:smooth val="0"/>
        </c:ser>
        <c:ser>
          <c:idx val="4"/>
          <c:order val="4"/>
          <c:tx>
            <c:strRef>
              <c:f>Hoja1!$A$6</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13.6</c:v>
                </c:pt>
              </c:numCache>
            </c:numRef>
          </c:yVal>
          <c:smooth val="0"/>
        </c:ser>
        <c:ser>
          <c:idx val="5"/>
          <c:order val="5"/>
          <c:tx>
            <c:strRef>
              <c:f>Hoja1!$A$7</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5.6</c:v>
                </c:pt>
              </c:numCache>
            </c:numRef>
          </c:xVal>
          <c:yVal>
            <c:numRef>
              <c:f>Hoja1!$C$7</c:f>
              <c:numCache>
                <c:formatCode>0.0"x"</c:formatCode>
                <c:ptCount val="1"/>
                <c:pt idx="0">
                  <c:v>7.3</c:v>
                </c:pt>
              </c:numCache>
            </c:numRef>
          </c:yVal>
          <c:smooth val="0"/>
        </c:ser>
        <c:ser>
          <c:idx val="6"/>
          <c:order val="6"/>
          <c:tx>
            <c:strRef>
              <c:f>Hoja1!$A$8</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5.3</c:v>
                </c:pt>
              </c:numCache>
            </c:numRef>
          </c:yVal>
          <c:smooth val="0"/>
        </c:ser>
        <c:ser>
          <c:idx val="7"/>
          <c:order val="7"/>
          <c:tx>
            <c:strRef>
              <c:f>Hoja1!$A$9</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12.5</c:v>
                </c:pt>
              </c:numCache>
            </c:numRef>
          </c:xVal>
          <c:yVal>
            <c:numRef>
              <c:f>Hoja1!$C$9</c:f>
              <c:numCache>
                <c:formatCode>0.0"x"</c:formatCode>
                <c:ptCount val="1"/>
                <c:pt idx="0">
                  <c:v>4.7</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11587</c:v>
                </c:pt>
                <c:pt idx="1">
                  <c:v>18919</c:v>
                </c:pt>
                <c:pt idx="2">
                  <c:v>20922</c:v>
                </c:pt>
                <c:pt idx="3">
                  <c:v>23098</c:v>
                </c:pt>
                <c:pt idx="4">
                  <c:v>25080</c:v>
                </c:pt>
                <c:pt idx="5">
                  <c:v>26795</c:v>
                </c:pt>
                <c:pt idx="6">
                  <c:v>27733</c:v>
                </c:pt>
                <c:pt idx="7">
                  <c:v>28714</c:v>
                </c:pt>
                <c:pt idx="8">
                  <c:v>29576</c:v>
                </c:pt>
                <c:pt idx="9">
                  <c:v>30475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161954</c:v>
                </c:pt>
                <c:pt idx="1">
                  <c:v>268491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1.137,50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856.02</c:v>
                </c:pt>
                <c:pt idx="1">
                  <c:v>1423.39</c:v>
                </c:pt>
                <c:pt idx="2">
                  <c:v>1795.15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1.137,50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Hoja1!$B$2:$B$9</c:f>
              <c:numCache>
                <c:formatCode>#,##0</c:formatCode>
                <c:ptCount val="8"/>
                <c:pt idx="0">
                  <c:v>1137.5</c:v>
                </c:pt>
                <c:pt idx="1">
                  <c:v>1580</c:v>
                </c:pt>
                <c:pt idx="2">
                  <c:v>597</c:v>
                </c:pt>
                <c:pt idx="3">
                  <c:v>1208.28</c:v>
                </c:pt>
                <c:pt idx="4">
                  <c:v>1197.93</c:v>
                </c:pt>
                <c:pt idx="5">
                  <c:v>856.02</c:v>
                </c:pt>
                <c:pt idx="6">
                  <c:v>1660.67</c:v>
                </c:pt>
                <c:pt idx="7">
                  <c:v>1131.81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Hoja1!$C$2:$C$9</c:f>
              <c:numCache>
                <c:formatCode>#,##0</c:formatCode>
                <c:ptCount val="8"/>
                <c:pt idx="0">
                  <c:v>776</c:v>
                </c:pt>
                <c:pt idx="1">
                  <c:v>720</c:v>
                </c:pt>
                <c:pt idx="2">
                  <c:v>1101.99</c:v>
                </c:pt>
                <c:pt idx="3">
                  <c:v>503.45000000000005</c:v>
                </c:pt>
                <c:pt idx="4">
                  <c:v>544.3499999999999</c:v>
                </c:pt>
                <c:pt idx="5">
                  <c:v>939.1300000000001</c:v>
                </c:pt>
                <c:pt idx="6">
                  <c:v>511.4499999999998</c:v>
                </c:pt>
                <c:pt idx="7">
                  <c:v>11.38000000000011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