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Edenred SE</w:t>
      </w:r>
    </w:p>
    <w:p>
      <w:pPr>
        <w:spacing w:after="60"/>
        <w:rPr>
          <w:color w:val="52514E"/>
          <w:sz w:val="22"/>
          <w:szCs w:val="22"/>
        </w:rPr>
      </w:pPr>
      <w:r>
        <w:rPr>
          <w:color w:val="52514E"/>
          <w:sz w:val="22"/>
          <w:szCs w:val="22"/>
        </w:rPr>
        <w:t xml:space="preserve">EDEN · Euronext Paris (Compartimento A) · ISIN FR0010908533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27,61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33,24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+25,2 % (base +28,2 %)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42,22 EUR · mercado 54,10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6.325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Edenred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EDEN / FR0010908533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Paris (Compartimento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Next 20 y SBF 120 (salió del CAC 40 el 22-dic-2025)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comerciales y profesionales (soluciones de pago de uso específico: beneficios a empleados y movilidad)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Issy-les-Moulineaux (Francia) · 2010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https://www.edenred.com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27,61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15,23 – 30,85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6.325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11.449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16,4 M EUR/día (591.100 acciones; 3 meses a 6-oct-2026)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33,24 EUR</w:t>
      </w:r>
      <w:r>
        <w:t xml:space="preserve"> frente a 27,61 · Rentabilidad a 12 meses </w:t>
      </w:r>
      <w:r>
        <w:rPr>
          <w:b/>
          <w:bCs/>
        </w:rPr>
        <w:t xml:space="preserve">+25,2 % (base +28,2 %)</w:t>
      </w:r>
      <w:r>
        <w:t xml:space="preserve"> · Valor intrínseco 42,22 EUR · con la prima implícita del mercado: 54,10 (+95,9 %) · Alcista / bajista +120,6 % / -16,3 %</w:t>
      </w:r>
    </w:p>
    <w:p>
      <w:pPr>
        <w:spacing w:after="100"/>
      </w:pPr>
      <w:r>
        <w:rPr>
          <w:b/>
        </w:rPr>
        <w:t xml:space="preserve">La recomendación y por qué.</w:t>
      </w:r>
      <w:r>
        <w:t xml:space="preserve"> Comprar, con convicción media. El valor objetivo es de 42,22 EUR, un 52,9 % sobre el precio de 27,61 EUR (cierre del 6-oct-2026), y la rentabilidad total esperada a 12 meses es del 57,7 % con un dividendo del 4,8 %. El escenario alcista gana 7,40 veces lo que pierde el bajista. Las dos reglas dicen Comprar: con nuestro WACC del 8,65 % y con la prima que hoy pide el mercado (4,20 %, WACC del 7,64 %, objetivo de 54,10 EUR). La razón: el precio descuenta que la regulación se coma el crecimiento de una década, cuando el golpe de Italia y Brasil ya está en el EBITDA de 2026. La convicción es media y no alta, como sugieren los criterios, por tres motivos: la calidad sostiene el volumen pero no el precio (veredicto «En parte», abajo), el valor depende del trato del float (11,96 EUR por acción) y de la beta (41,80-55,06 EUR), y la ley francesa llega a la Asamblea el 12-oct [15]. Subiría la convicción una ley francesa sin tope y una guía de 2027 dentro del +8-12 %; la bajaría un tope francés.</w:t>
      </w:r>
    </w:p>
    <w:p>
      <w:pPr>
        <w:spacing w:after="100"/>
      </w:pPr>
      <w:r>
        <w:rPr>
          <w:b/>
        </w:rPr>
        <w:t xml:space="preserve">El negocio.</w:t>
      </w:r>
      <w:r>
        <w:t xml:space="preserve"> Edenred es el primer grupo mundial de beneficios a empleados, con 1,7 veces la cuota del segundo [1]. Gana por comisiones y por el rendimiento del float: cobra antes de pagar, y esos fondos rindieron 229 M en 2025, el 17 % del EBITDA [1]. El circulante negativo infla el ROIC contable (130,8 %); con el float como pasivo operativo es de ≈21 %, 12 puntos sobre el WACC (estimación propia). El foso es estrecho y se estrecha: tres reguladores han actuado sobre las comisiones en dos años. </w:t>
      </w:r>
      <w:r>
        <w:rPr>
          <w:b/>
        </w:rPr>
        <w:t xml:space="preserve">¿Sostiene la calidad el crecimiento que proyectamos? En parte</w:t>
      </w:r>
      <w:r>
        <w:t xml:space="preserve">: el volumen sí (penetración inferior al 40 %, volumen de negocio +9 % en 2025, doble que Pluxee), porque el circulante negativo lo financia sin capital; el precio no, porque lo fija en parte el regulador. No bajamos más el base porque ya crece por debajo del intrínseco (6-7 % frente al 8,0 % [6]), supone la comisión constante y no la sube, y el tope francés está en el bajista, con un 30 % de probabilidad.</w:t>
      </w:r>
    </w:p>
    <w:p>
      <w:pPr>
        <w:spacing w:after="100"/>
      </w:pPr>
      <w:r>
        <w:rPr>
          <w:b/>
        </w:rPr>
        <w:t xml:space="preserve">Sector y regulación.</w:t>
      </w:r>
      <w:r>
        <w:t xml:space="preserve"> Italia limitó la comisión al 5 % desde septiembre de 2025 y Brasil al 3,6 %, con pago a comercios en 15 días y red abierta, desde febrero y mayo de 2026 [13, 19]. Francia tramita una ley que digitaliza el título restaurante desde 2028 y que, por ahora, descarta un tope [15].</w:t>
      </w:r>
    </w:p>
    <w:p>
      <w:pPr>
        <w:spacing w:after="100"/>
      </w:pPr>
      <w:r>
        <w:rPr>
          <w:b/>
        </w:rPr>
        <w:t xml:space="preserve">Finanzas.</w:t>
      </w:r>
      <w:r>
        <w:t xml:space="preserve"> La guía de 2026 es una caída del EBITDA del 7-10 % (≈1.256 M en nuestro caso, igual que el consenso) y un crecimiento del 8-12 % en 2027 y 2028 [6]; la dirección la ha cumplido todos los años desde 2019 salvo 2020 [39, 40, 41, 42, 43, 44, 45]. </w:t>
      </w:r>
      <w:r>
        <w:rPr>
          <w:b/>
        </w:rPr>
        <w:t xml:space="preserve">El float decide el puente</w:t>
      </w:r>
      <w:r>
        <w:t xml:space="preserve">: de los 3.319 M de caja que Edenred resta en su deuda neta, 2.739 M son dinero de clientes. No los contamos como caja libre (deuda neta ajustada de 4.616 M frente a 1.764 M publicada, −11,96 EUR por acción) y mantenemos su rendimiento en el EBITDA; con el criterio de la empresa, y quitando ese rendimiento para no contarlo dos veces, el DCF subiría a 60,72 EUR.</w:t>
      </w:r>
    </w:p>
    <w:p>
      <w:pPr>
        <w:spacing w:after="100"/>
      </w:pPr>
      <w:r>
        <w:rPr>
          <w:b/>
        </w:rPr>
        <w:t xml:space="preserve">Equipo y gobierno.</w:t>
      </w:r>
      <w:r>
        <w:t xml:space="preserve"> Resta poco, pero resta. Bertrand Dumazy preside y dirige desde 2015, reelegido hasta 2030, con consejero coordinador y 8 de 9 consejeros independientes [1, 34]. Su remuneración, ligada sobre todo al EBITDA, recibe hasta un 34,33 % de votos en contra [28, 29, 30]. No hay accionista de control; Rock Investment (grupo Niel) tiene opciones sobre el 8,00 % y hubo aproximaciones de fondos en junio [31, 35].</w:t>
      </w:r>
    </w:p>
    <w:p>
      <w:pPr>
        <w:spacing w:after="100"/>
      </w:pPr>
      <w:r>
        <w:rPr>
          <w:b/>
        </w:rPr>
        <w:t xml:space="preserve">Valoración.</w:t>
      </w:r>
      <w:r>
        <w:t xml:space="preserve"> El DCF da 45,84 EUR con una proyección que coincide con el consenso (EBITDA un 0,2-2,2 % por encima). El DCF inverso dice que el precio descuenta un crecimiento del 1,2 % anual en 2027e-2035e, frente al 5,1 % del caso base y al 11,5 % de 2018-2025, o una rentabilidad anual del 10,9 %. Por PER (13,3 veces) cotiza como el sector y muy por debajo de su historia. El mercado cree que la erosión es permanente; nosotros, que se concentra en 2026.</w:t>
      </w:r>
    </w:p>
    <w:p>
      <w:pPr>
        <w:spacing w:after="100"/>
      </w:pPr>
      <w:r>
        <w:rPr>
          <w:b/>
        </w:rPr>
        <w:t xml:space="preserve">Riesgos y catalizadores.</w:t>
      </w:r>
      <w:r>
        <w:t xml:space="preserve"> Un tope francés (bajista de 23,10 EUR, −16,3 %), la interoperabilidad brasileña de noviembre de 2026 y la bajada de tipos (−2,60 EUR por cada 100 puntos de rendimiento del float). Catalizadores: la ley francesa en la Asamblea (12-oct), los ingresos del 3T (21-oct), la guía de 2027 (2-mar-2027) y las opciones de Rock Investment (enero-mayo de 2027).</w:t>
      </w:r>
    </w:p>
    <w:p>
      <w:pPr>
        <w:spacing w:after="100"/>
      </w:pPr>
      <w:r>
        <w:rPr>
          <w:b/>
        </w:rPr>
        <w:t xml:space="preserve">Qué cambiaría la decisión.</w:t>
      </w:r>
      <w:r>
        <w:t xml:space="preserve"> Comprar por debajo de 41,46 EUR y vender por encima de 61,60. Pasaríamos a Mantener si la ley francesa incluye un tope de comisión, si el crecimiento orgánico de Latinoamérica es negativo después de noviembre de 2026 o si la guía de 2027 baja del +8 % de EBITDA.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33,24 EUR</w:t>
      </w:r>
      <w:r>
        <w:t xml:space="preserve"> (rentabilidad +25,2 % (base +28,2 %)) · Valor intrínseco: 42,22 EUR (+52,9 % sobre 27,61) · con la prima implícita del mercado: 54,10 (+95,9 %)</w:t>
      </w:r>
    </w:p>
    <w:p>
      <w:pPr>
        <w:spacing w:after="100"/>
      </w:pPr>
      <w:r>
        <w:t xml:space="preserve">Edenred es una plataforma de pagos de uso específico (vales de comida, beneficios, tarjetas de flota) con 1 millón de empresas clientes y 60 millones de usuarios [6]. Su economía es excepcional: margen EBITDA del 45,9 % en 2025 y un circulante negativo porque los clientes pagan antes de que los comercios cobren, de modo que el crecimiento lo financian ellos; el float (4.668 M a dic-25) rindió 229 M en 2025 [1]. Ha cumplido su guía todos los años desde 2019 salvo 2020 [39, 40, 41, 42, 43, 44, 45].</w:t>
      </w:r>
    </w:p>
    <w:p>
      <w:pPr>
        <w:spacing w:after="100"/>
      </w:pPr>
      <w:r>
        <w:t xml:space="preserve">El precio de 27,61 EUR descuenta casi un estancamiento: un crecimiento anual del 1,2 % en 2027e-2035e o un margen EBITDA del 33,9 %, frente al 44,2 % de nuestro caso base, y una rentabilidad del 10,9 % anual con flujos iguales a los del consenso. Con su propia deuda neta cotiza a 6,6 veces el EBITDA, frente a 15,8 veces de media en 2018-2025 [48].</w:t>
      </w:r>
    </w:p>
    <w:p>
      <w:pPr>
        <w:spacing w:after="100"/>
      </w:pPr>
      <w:r>
        <w:t xml:space="preserve">El mercado acierta en que el foso se ha estrechado: Italia y Brasil han limitado las comisiones y Francia legisla [13, 15, 19]. Se equivoca, creemos, en extrapolarlo: el golpe de 2026 es de nivel, no de tendencia, y el crecimiento sin regulación sigue en el 8 % [6]. Para invertir hay que creer que la ley francesa saldrá sin tope y que 2027 crecerá en la banda de la guía.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 × 2,01 = 21,10 · 13,1x × 2,60 = 34,06 · 17,7x × 2,79 = 49,38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 / 28,2 %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30,57 (nuestro base +11,4 %)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120,6 % / -16,3 %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 frente a 8,7 % y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 frente a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57,7 %, asimetría de 7,40, bajista del -16,3 % y el precio descuenta 3,9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30,06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30,06 y 38,41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38,41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ley francesa aprobada incluye un tope a la comisión del comercio, pasaríamos a Mantener.</w:t>
      </w:r>
    </w:p>
    <w:p>
      <w:pPr>
        <w:pStyle w:val="ListParagraph"/>
        <w:numPr>
          <w:ilvl w:val="0"/>
          <w:numId w:val="2"/>
        </w:numPr>
        <w:spacing w:after="60"/>
      </w:pPr>
      <w:r>
        <w:t xml:space="preserve">Si el crecimiento orgánico de los ingresos operativos de Latinoamérica es negativo en el 1T27, pasaríamos a Mantener.</w:t>
      </w:r>
    </w:p>
    <w:p>
      <w:pPr>
        <w:pStyle w:val="ListParagraph"/>
        <w:numPr>
          <w:ilvl w:val="0"/>
          <w:numId w:val="2"/>
        </w:numPr>
        <w:spacing w:after="60"/>
      </w:pPr>
      <w:r>
        <w:t xml:space="preserve">Si la guía de EBITDA de 2027 (2-mar-2027) baja del +8 % comparable, pasaríamos a Mantener.</w:t>
      </w:r>
    </w:p>
    <w:p>
      <w:pPr>
        <w:pStyle w:val="ListParagraph"/>
        <w:numPr>
          <w:ilvl w:val="0"/>
          <w:numId w:val="2"/>
        </w:numPr>
        <w:spacing w:after="60"/>
      </w:pPr>
      <w:r>
        <w:t xml:space="preserve">Si la acción supera los 61,60 EUR sin cambios en las cifras, pasaríamos a Vender.</w:t>
      </w:r>
    </w:p>
    <w:p>
      <w:pPr>
        <w:pStyle w:val="ListParagraph"/>
        <w:numPr>
          <w:ilvl w:val="0"/>
          <w:numId w:val="2"/>
        </w:numPr>
        <w:spacing w:after="60"/>
      </w:pPr>
      <w:r>
        <w:t xml:space="preserve">Si se anuncia una compra de más de 1.000 M a más de 15 veces el EBITDA, revisaríamos la convicción 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regulación de las comisiones se extienda (Francia) y se profundice (interoperabilidad en Brasil) hasta dejar el crecimiento en torno al 1 % anual durante una década, y que el other revenue se desinfle con los tipos. Por eso paga 13,3 veces el beneficio, lo mismo que a procesadores de pagos sin crecimiento, y el precio objetivo medio de los analistas (30,57 EUR) apenas está un 11 % por encima [49].</w:t>
      </w:r>
    </w:p>
    <w:p>
      <w:pPr>
        <w:keepNext/>
        <w:spacing w:after="100"/>
      </w:pPr>
      <w:r>
        <w:rPr>
          <w:b/>
          <w:bCs/>
        </w:rPr>
        <w:t xml:space="preserve">Lo que creemos nosotros.</w:t>
      </w:r>
    </w:p>
    <w:p>
      <w:pPr>
        <w:spacing w:after="100"/>
      </w:pPr>
      <w:r>
        <w:t xml:space="preserve">El daño regulatorio es un escalón ya incluido en la guía de 2026 (EBITDA −7 % / −10 %), no una tendencia. Desde ese nivel el EBITDA puede crecer un 8-10 % en 2027-28, como confirma la empresa, y un 4-6 % después. Valoramos el float de forma prudente, como pasivo operativo y no como caja, y aun así el DCF da 45,84 EUR.</w:t>
      </w:r>
    </w:p>
    <w:p>
      <w:pPr>
        <w:keepNext/>
        <w:spacing w:after="100"/>
      </w:pPr>
      <w:r>
        <w:rPr>
          <w:b/>
          <w:bCs/>
        </w:rPr>
        <w:t xml:space="preserve">Por qué podemos tener razón.</w:t>
      </w:r>
    </w:p>
    <w:p>
      <w:pPr>
        <w:spacing w:after="100"/>
      </w:pPr>
      <w:r>
        <w:t xml:space="preserve">Porque la prueba ya está en las cifras: en el semestre con más regulación (1S26) el crecimiento intrínseco fue del 8,0 % y el EBITDA batió el consenso (616 M frente a 606 M) [6, 49]; porque la ley francesa descarta hoy el tope [15]; y porque el interés de fondos de capital privado y de Xavier Niel indica que compradores informados ven valor por debajo de 30 EUR [31, 35].</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7,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casi el bajista</w:t>
      </w:r>
      <w:r>
        <w:t xml:space="preserve">: crecimiento implícito del 1,2 % anual frente al 2,2 % del escenario bajista.</w:t>
      </w:r>
    </w:p>
    <w:p>
      <w:pPr>
        <w:pStyle w:val="ListParagraph"/>
        <w:numPr>
          <w:ilvl w:val="0"/>
          <w:numId w:val="2"/>
        </w:numPr>
        <w:spacing w:after="60"/>
      </w:pPr>
      <w:r>
        <w:rPr>
          <w:b/>
        </w:rPr>
        <w:t xml:space="preserve">El golpe regulatorio ya está en la guía</w:t>
      </w:r>
      <w:r>
        <w:t xml:space="preserve">: EBITDA de 2026 de ≈1.256 M y 2027-28 a +8 % / +12 % confirmados en julio [6].</w:t>
      </w:r>
    </w:p>
    <w:p>
      <w:pPr>
        <w:pStyle w:val="ListParagraph"/>
        <w:numPr>
          <w:ilvl w:val="0"/>
          <w:numId w:val="2"/>
        </w:numPr>
        <w:spacing w:after="60"/>
      </w:pPr>
      <w:r>
        <w:rPr>
          <w:b/>
        </w:rPr>
        <w:t xml:space="preserve">Crecimiento intrínseco del 8,0 %</w:t>
      </w:r>
      <w:r>
        <w:t xml:space="preserve"> en el 1S26, con Mobility al +11,1 % orgánico [6].</w:t>
      </w:r>
    </w:p>
    <w:p>
      <w:pPr>
        <w:pStyle w:val="ListParagraph"/>
        <w:numPr>
          <w:ilvl w:val="0"/>
          <w:numId w:val="2"/>
        </w:numPr>
        <w:spacing w:after="60"/>
      </w:pPr>
      <w:r>
        <w:rPr>
          <w:b/>
        </w:rPr>
        <w:t xml:space="preserve">Recompras baratas</w:t>
      </w:r>
      <w:r>
        <w:t xml:space="preserve">: 500 M ejecutados de 600 M y 13,2 M de acciones amortizadas en dos años [1, 37].</w:t>
      </w:r>
    </w:p>
    <w:p>
      <w:pPr>
        <w:pStyle w:val="ListParagraph"/>
        <w:numPr>
          <w:ilvl w:val="0"/>
          <w:numId w:val="2"/>
        </w:numPr>
        <w:spacing w:after="60"/>
      </w:pPr>
      <w:r>
        <w:rPr>
          <w:b/>
        </w:rPr>
        <w:t xml:space="preserve">Opción de control</w:t>
      </w:r>
      <w:r>
        <w:t xml:space="preserve">: aproximaciones de fondos en junio y opciones de Rock Investment sobre el 8,00 % [31, 35].</w:t>
      </w:r>
    </w:p>
    <w:p>
      <w:pPr>
        <w:pStyle w:val="Heading2"/>
      </w:pPr>
      <w:r>
        <w:t xml:space="preserve">En contra</w:t>
      </w:r>
    </w:p>
    <w:p>
      <w:pPr>
        <w:pStyle w:val="ListParagraph"/>
        <w:numPr>
          <w:ilvl w:val="0"/>
          <w:numId w:val="2"/>
        </w:numPr>
        <w:spacing w:after="60"/>
      </w:pPr>
      <w:r>
        <w:rPr>
          <w:b/>
        </w:rPr>
        <w:t xml:space="preserve">El float hace frágil el puente</w:t>
      </w:r>
      <w:r>
        <w:t xml:space="preserve">: 2.739 M de su caja son de clientes (11,96 EUR por acción).</w:t>
      </w:r>
    </w:p>
    <w:p>
      <w:pPr>
        <w:pStyle w:val="ListParagraph"/>
        <w:numPr>
          <w:ilvl w:val="0"/>
          <w:numId w:val="2"/>
        </w:numPr>
        <w:spacing w:after="60"/>
      </w:pPr>
      <w:r>
        <w:rPr>
          <w:b/>
        </w:rPr>
        <w:t xml:space="preserve">Regulación contagiosa</w:t>
      </w:r>
      <w:r>
        <w:t xml:space="preserve">: topes en Italia (5 %) y Brasil (3,6 %) y ley francesa en trámite [13, 15, 19].</w:t>
      </w:r>
    </w:p>
    <w:p>
      <w:pPr>
        <w:pStyle w:val="ListParagraph"/>
        <w:numPr>
          <w:ilvl w:val="0"/>
          <w:numId w:val="2"/>
        </w:numPr>
        <w:spacing w:after="60"/>
      </w:pPr>
      <w:r>
        <w:rPr>
          <w:b/>
        </w:rPr>
        <w:t xml:space="preserve">El other revenue depende de los tipos</w:t>
      </w:r>
      <w:r>
        <w:t xml:space="preserve">: 229 M en 2025, el 17 % del EBITDA, sin sensibilidad publicada [1].</w:t>
      </w:r>
    </w:p>
    <w:p>
      <w:pPr>
        <w:pStyle w:val="ListParagraph"/>
        <w:numPr>
          <w:ilvl w:val="0"/>
          <w:numId w:val="2"/>
        </w:numPr>
        <w:spacing w:after="60"/>
      </w:pPr>
      <w:r>
        <w:rPr>
          <w:b/>
        </w:rPr>
        <w:t xml:space="preserve">Gobierno mejorable</w:t>
      </w:r>
      <w:r>
        <w:t xml:space="preserve">: presidente y consejero delegado unidos hasta 2030 y hasta un 34,33 % de votos en contra de su remuneración [28, 29, 30].</w:t>
      </w:r>
    </w:p>
    <w:p>
      <w:pPr>
        <w:pStyle w:val="ListParagraph"/>
        <w:numPr>
          <w:ilvl w:val="0"/>
          <w:numId w:val="2"/>
        </w:numPr>
        <w:spacing w:after="60"/>
      </w:pPr>
      <w:r>
        <w:rPr>
          <w:b/>
        </w:rPr>
        <w:t xml:space="preserve">Riesgo legal abierto</w:t>
      </w:r>
      <w:r>
        <w:t xml:space="preserve">: investigación de la AGCM y nuevo juicio de la multa francesa de 158 M [1, 36].</w:t>
      </w:r>
    </w:p>
    <w:p>
      <w:pPr>
        <w:pStyle w:val="Heading2"/>
      </w:pPr>
      <w:r>
        <w:t xml:space="preserve">Qué tiene que pasar para que la tesis funcione</w:t>
      </w:r>
    </w:p>
    <w:p>
      <w:pPr>
        <w:spacing w:after="100"/>
      </w:pPr>
      <w:r>
        <w:t xml:space="preserve">La tesis depende de que 2026 sea un escalón y no el principio de una pendiente. La señal decisiva es el texto final de la ley francesa del título restaurante: si incluye un tope de comisión, el bajista deja de ser una cola y pasa a ser el caso base. La segunda es el crecimiento orgánico de Latinoamérica tras la interoperabilidad de noviembre de 2026: por debajo de cero, Brasil no ha tocado fondo. La tercera, la guía de 2027 que se publicará el 2-mar-2027.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intrínseco de los ingresos operativos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(1S26) [6]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negocio sin el efecto de los topes: es la base del +8 % / +12 % de 2027-28.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Latinoamérica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 (1S26); −3,1 % en el 2T26 [6]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después del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la red abierta y la interoperabilidad de Brasil.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revenue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M (2T26) [6]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50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17 % del EBITDA y depende de los tipos y del tamaño del float.</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Float neto (fondos a reembolsar menos cuentas ligadas)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4.357 M (jun-26) [7]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4.000 M en un cierre de junio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se encoge, sube la deuda neta y cae el other revenue.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 (1S26) [6]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del 40 %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caso base supone que el margen se recupera desde 2027; un 1S27 por debajo del 40 % lo desmentiría.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8,7x / 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13,4x / 13,3x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 · 3,5x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Edenred nace del Ticket Restaurant que el grupo Jacques Borel lanzó en Francia en 1962, cinco años antes de que la ordenanza de 1967 diera régimen legal a los títulos restaurante [1]. Accor compró Jacques Borel en 1982 y llevó el formato a Brasil, Italia, México y el resto de Europa como Accor Services [1]. La escisión aprobada por la junta de Accor el 29 de junio de 2010 sacó los servicios a cotizar en Euronext París el 2 de julio de 2010 [1, 26]. Desde entonces el grupo pasó del papel al soporte digital, entró en tarjetas de flota con UTA (2015) y amplió el perímetro con compras en beneficios, movilidad y pagos; entre 2015 y 2025 los ingresos totales se multiplicaron por 2,8 y el EBITDA por 3,5 [1]. Entró en el CAC 40 el 19 de junio de 2023 con 15.200 M EUR de capitalización y salió el 22 de diciembre de 2025, sustituida por Eiffage, con unos 4.400 M EUR tras caer ≈42 % en el año por la ofensiva regulatoria en Italia, Brasil y Francia [26,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Borel International crea Crédit-Repas y el Ticket Restaurant, primer vale de comida de Francia; la ordenanza 67-830 le da régimen legal en 1967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Novotel SIEH compra Jacques Borel International, entonces primer emisor mundial de vales de comida; el grupo pasa a llamarse Accor y exporta el modelo a Latinoamérica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los servicios de Accor: Edenred empieza a cotizar en Euronext París el 2 de julio, dentro del SBF 120 [1,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34 % de UTA, operador europeo de tarjetas de carburante: entrada en Mobility en Europa; más del 65 % del volumen emitido ya es digital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Fast Forward (2016-2019), seguido de Next Frontier (2019-2022) y Beyond (2022-2025): diversificación más allá de comida y carburante y pagos corporativos como tercer motor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Autoridad de la Competencia francesa multa a los cuatro grandes emisores de títulos restaurante con 415 M EUR (158 M EUR a Edenred, pagados en marzo de 2021) por intercambio de información y cierre del mercado [1,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Reward Gateway (compromiso de empleados) y GOintegro; entrada en el CAC 40 el 19 de junio [1,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Spirii (carga de vehículo eléctrico), RB (transporte de empleados en Brasil) y del negocio de tarjetas de energía de IP en Italia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Arranca el plan Amplify25-28. Italia aplica desde el 1 de septiembre el tope del 5 % a la comisión al comercio y Brasil publica el 12 de noviembre el decreto 12.712 del PAT [1, 6,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del CAC 40 el 22 de diciembre, sustituida por Eiffage, con una capitalización de ≈4.400 M EUR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Año valle: el decreto brasileño se aplica desde finales de febrero, la AGCM italiana abre en marzo un expediente por abuso de posición dominante y Edenred prevé que el EBITDA caiga un 7-10 % comparable [5, 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Edenred es una plataforma de pagos de uso específico: dinero que una empresa (o una administración) carga para un fin concreto y que solo se gasta en una red cerrada o filtrada de comercios. Opera en 44 países con más de 1 millón de empresas clientes, más de 60 millones de usuarios y más de 2 millones de comercios asociados, y en 2025 procesó un volumen de negocio de 49.000 M EUR [1, 6]. Tiene tres líneas: </w:t>
      </w:r>
      <w:r>
        <w:rPr>
          <w:b/>
        </w:rPr>
        <w:t xml:space="preserve">Benefits &amp; Engagement</w:t>
      </w:r>
      <w:r>
        <w:t xml:space="preserve"> (68 % de los ingresos operativos de 2025 con la nueva segmentación: Ticket Restaurant y vales de alimentación, regalo, cultura, transporte, plataformas de compromiso como Reward Gateway y programas sociales públicos), </w:t>
      </w:r>
      <w:r>
        <w:rPr>
          <w:b/>
        </w:rPr>
        <w:t xml:space="preserve">Mobility</w:t>
      </w:r>
      <w:r>
        <w:t xml:space="preserve"> (25 %: tarjetas de carburante y multienergía, carga eléctrica, peajes, mantenimiento, devolución de IVA y pago de fletes; UTA en Europa, Ticket Log y Repom en Brasil) y </w:t>
      </w:r>
      <w:r>
        <w:rPr>
          <w:b/>
        </w:rPr>
        <w:t xml:space="preserve">Payment Solutions &amp; New Markets</w:t>
      </w:r>
      <w:r>
        <w:t xml:space="preserve"> (7 %: pagos B2B y tarjetas virtuales, monederos digitales, Edenred Pay en EE. UU.) [1, 7]. Las comidas y la alimentación son el 42 % de los ingresos operativos del grupo (proforma 2025 con el efecto italiano en año completo): Brasil ≈10 puntos, Italia ≈10, Francia ≈7 y otros 24 países ≈15 [7]. Los tres primeros países por ingresos operativos en 2025 fueron Francia (576 M EUR, 21 %), Brasil (503 M EUR, 18 %) e Italia (363 M EUR, 13 %) [1].</w:t>
      </w:r>
    </w:p>
    <w:p>
      <w:pPr>
        <w:pStyle w:val="Heading2"/>
      </w:pPr>
      <w:r>
        <w:t xml:space="preserve">Cómo gana dinero</w:t>
      </w:r>
    </w:p>
    <w:p>
      <w:pPr>
        <w:spacing w:after="100"/>
      </w:pPr>
      <w:r>
        <w:t xml:space="preserve">Los ingresos totales de 2025 fueron 2.961 M EUR: 2.732 M EUR de ingresos operativos y 229 M EUR de «other revenue» [12]. Los operativos son, sobre todo, una comisión sobre el volumen cargado o gastado que pagan por los dos lados la empresa cliente y el comercio que acepta el pago (la comisión al comercio es el grueso en vales de comida), más cuotas de alta y de suscripción a la plataforma y, de forma marginal, los vales caducados no canjeados [1]. En Mobility cobra por litro, por porcentaje de la compra o por transacción, y por servicios no ligados al carburante [1]. Estimación propia: los ingresos operativos equivalen a ≈5,6 % del volumen de negocio (2.732 / 49.000). El </w:t>
      </w:r>
      <w:r>
        <w:rPr>
          <w:b/>
        </w:rPr>
        <w:t xml:space="preserve">float</w:t>
      </w:r>
      <w:r>
        <w:t xml:space="preserve"> es el segundo motor: las empresas pagan por adelantado y Edenred paga a los comercios semanas después; ese circulante negativo (4.357 M EUR de float a 30-jun-2026, sobre 5.213 M EUR de circulante total negativo) se invierte y su interés es el «other revenue»: 113 M EUR en 1S26 y ≈210 M EUR previstos para 2026, frente a 229 M EUR en 2025, por la bajada de tipos y porque la norma brasileña acorta el plazo de pago a comercios [6, 7]. Ese ingreso no lleva costes directos asociados y suma íntegro al EBITDA, que fue de 1.360 M EUR en 2025 [1, 12]. Alrededor del 60 % de los costes son fijos, de ahí el apalancamiento operativo [1]. Estacionalidad: el float baja en el primer semestre y sube con las campañas de regalo de fin de año [7].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Benefits &amp; Engagement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Payment Solutions &amp; New Markets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Benefits &amp; Engagement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Mobility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Payment Solutions &amp; New Markets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el primer cliente pesa menos del 1 % del volumen de negocio, el primer comercio menos del 2 % del volumen canjeado y el mayor programa (país × solución) ≈10 % de los ingresos operativos [7]. Las pymes son el foco: más de 700.000 nuevos usuarios pyme en 2025, en un segmento con una penetración muy inferior a la de medianas y grandes empresas [1, 12]. Las grandes cuentas firman contratos marco y las pymes, pedidos con condiciones generales [1]. La retención neta de ingresos de Benefits &amp; Engagement fue ≈104 % en 2025 y la relación valor de vida/coste de captación de pymes ≈12 veces, frente a ≈5 de media del sector según la empresa [12]. El poder de precio viene en parte del legislador: los topes de exención suben con la inflación (en Francia, 7,32 EUR por título en 2026) y más del 50 % del volumen de comidas de 2026 tendrá subidas del valor facial máximo legal (Italia y Bélgica +25 %, Rumanía +12,5 %) [1, 12]. Pero la comisión al comercio es justo lo que los reguladores están recortando: Italia la limitó al 5 % y Brasil al 3,6 %, y en Francia las comisiones eran de 3,8-4,5 % en los títulos digitales [13, 14].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negocio (business volume)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≈45.000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49.000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Emisión de vales y tarjetas más transacciones de movilidad; comisión media implícita ≈5,6 % del volumen (estimación propia: 2.732/49.000) [6,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los ingresos operativos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(2025); +1,5 % en el 1S26 (+8,0 % «intrínseco», sin la regulación de Italia y Brasil)</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p.p.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regulación de Meal &amp; Food restó 6,5 puntos al crecimiento orgánico del 1S26 [1,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revenue (rendimiento del float)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M EUR (2025); guía ≈210 M EUR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bajada de tipos se compensa en parte con más float; +1 % en orgánico en 2025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Float (fondos a reembolsar menos cuentas a cobrar ligadas)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4.402 M EUR (dic-24; estimación propia: 5.722 − 1.320)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4.668 M EUR (dic-25); 4.357 M EUR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Estacional: baja en el primer semestre por la campaña de regalos [1,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 (2025); 41,8 %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p.p.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FCF/EBITDA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 (2024; 70 % a regulación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 (2025); guía ≥35 % (2026) y ≥65 % (2027-28)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FFO (funds from operations)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 M EUR (2025); 432 M EUR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los pagos de uso específico para empresas: beneficios de comida y alimentación para empleados (vales o tarjetas con ventaja fiscal y red de comercios acotada), otros beneficios y, por otro lado, tarjetas de flota y carburante. No hay una estadística global; Edenred cifra su mercado potencial en más de 1,7 billones de EUR de volumen con una penetración inferior al 40 % en sus mercados históricos y prevé que el mercado atendido crezca un 5-7 % anual en 2025-2028 [1]. Para medir con datos oficiales se usa el mercado francés de títulos restaurante (Commission nationale des titres-restaurant y Asamblea Nacional) y se contrasta con Brasil (PAT) e Italia (buoni pasto), que junto con Francia generan ≈27 de los 42 puntos de ingresos operativos que Edenred obtiene de comidas y alimentación [7, 14,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Francia: ≈10.000 M EUR de valor facial de títulos restaurante en 2024, frente a 9.500 M EUR en 2022, con más de 5 millones de asalariados y ≈235.000-243.000 comercios autorizados [14, 17]. Brasil: el PAT cubre a más de 22 millones de trabajadores y mueve más de 150.000 M BRL al año (≈23.300 M EUR al cambio de cierre de 2025) [18, 25]. Italia: más de 3,5 millones de trabajadores, ≈170.000 comercios y ≈100.000 empleadores [19]. Como contraste, el volumen de negocio de Edenred fue de 49.000 M EUR en 2025 (incluye Mobility) y el volumen emitido de Pluxee, el n.º 2, de 24.500 M EUR en su ejercicio 2025 [1,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de valor facial de títulos restaurante en Franc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facial y topes de exención ligados a la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Francia el tope exento sube cada año con el IPC (7,32 EUR por título en 2026); más del 50 % del volumen de comidas de Edenred tendrá en 2026 subidas del valor facial máximo legal (Italia y Bélgica +25 %, Rumanía +12,5 %) [1,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Topes regulatorios a la comisión al comercio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 5 % desde el 1-sep-2025; Brasil, 3,6 % de MDR y 2 % de intercambio desde febrero de 2026; recortaron 6,5 puntos el crecimiento comparable de los ingresos operativos de Edenred en 1S26 [1, 7, 13]. La patronal italiana ANSEB estimó que el tope traslada al menos 180 M EUR anuales de coste a las empresas clientes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Empleo formal y penetración en pymes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penetración del mercado histórico es inferior al 40 % y mucho menor en pymes; Edenred captó más de 700.000 usuarios pyme en 2025 [1, 12]. Pluxee cita el empleo temporal, la consultoría y la industria como frenos de su cartera en 2025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sobre el float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«other revenue» de Edenred pasa de 229 M EUR en 2025 a ≈210 M EUR previstos en 2026 por la bajada de tipos y el menor plazo de pago en Brasil; Pluxee obtuvo un rendimiento medio del 6,0 % sobre su float en su ejercicio 2025 [6, 12,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y ampliación de usos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Francia el 60 % de los títulos ya era digital en 2023; el uso en supermercados elevó su peso del 22,4 % al 30,8 % del gasto entre 4T22 y 2T24, a costa de restaurantes [14, 17]. La tarjeta abre la puerta a la interoperabilidad que los reguladores imponen.</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Electrificación de flotas y servicios más allá del carburante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parte de Mobility ajena al carburante pasó del 31 % al 33 % de los ingresos de la línea en 2025, y en 1S26 Mobility creció a doble dígito [7, 12].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estable: en Francia los cuatro primeros superaban el 99 % en 2022 y en Brasil cuatro operadores tienen ≈80 % de los ingresos [14, 18]. Pero los nuevos digitales (Flash, Caju, Swile en Brasil) y la apertura del arranjo elevan la rivalidad, y la AGCM investiga a Edenred en Italia [5,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las empresas es poco sensible al precio según la Autoridad de la Competencia francesa, y las comisiones a la empresa llegaron a ser negativas (descuentos), lo que trasladaba el coste al comercio; el proyecto de ley francés de 2026 quiere prohibir esos descuentos [14,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principal es tecnología propia (≈520 M EUR invertidos en producto y tecnología en 2025) y la red de comercios, que es a la vez cliente; no hay proveedores críticos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eran reglamentarias y de red (los entrantes digitales tenían menos del 1 % en Francia en 2022) [14], pero el decreto brasileño obliga a abrir las redes de más de 500.000 trabajadores y a la interoperabilidad plena en 360 días, lo que permite a un emisor nuevo usar la red de comercios de los incumbentes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es la ayuda en nómina o una tarjeta bancaria universal; lo frena la ventaja fiscal (en Brasil el beneficio está exento de cargas que pueden llegar al 100 % del salario fijo) [1]. Si el legislador recorta la exención, el producto pierde razón de ser.</w:t>
            </w:r>
          </w:p>
        </w:tc>
      </w:tr>
    </w:tbl>
    <w:p>
      <w:pPr>
        <w:spacing w:after="160" w:before="0"/>
      </w:pPr>
    </w:p>
    <w:p>
      <w:pPr>
        <w:pStyle w:val="Heading2"/>
      </w:pPr>
      <w:r>
        <w:t xml:space="preserve">Ciclo</w:t>
      </w:r>
    </w:p>
    <w:p>
      <w:pPr>
        <w:spacing w:after="100"/>
      </w:pPr>
      <w:r>
        <w:t xml:space="preserve">El volumen depende del empleo formal y del valor facial, y ambos siguen creciendo: el volumen de comidas en Brasil e Italia subió más de un 10 % en 1S26 pese a la regulación [6]. El mercado francés solo retrocedió en 2020 y en el resto de años crece un 2,5-3 % anual [14]; no hay datos públicos del mercado para 2008-09. En 2022 la inflación elevó los valores faciales y los tipos, lo que impulsó a la vez comisiones y rendimiento del float. Hoy el ciclo económico pesa menos que el regulatorio: 2026 es un año de reajuste de precios por decreto, no de caída de demanda.</w:t>
      </w:r>
    </w:p>
    <w:p>
      <w:pPr>
        <w:pStyle w:val="Heading2"/>
      </w:pPr>
      <w:r>
        <w:t xml:space="preserve">Regulación</w:t>
      </w:r>
    </w:p>
    <w:p>
      <w:pPr>
        <w:spacing w:after="100"/>
      </w:pPr>
      <w:r>
        <w:rPr>
          <w:b/>
        </w:rPr>
        <w:t xml:space="preserve">Brasil</w:t>
      </w:r>
      <w:r>
        <w:t xml:space="preserve">: el decreto 12.712, de 11 de noviembre de 2025 (publicado el 12), limita la MDR al comercio al 3,6 % y el intercambio al 2 %, prohíbe otros cargos y fija la liquidación a comercios en 15 días; plazos: 90 días para tope y liquidación (≈10-feb-2026; Edenred lo aplica desde el 25-feb, tras levantar el TRF3 la cautelar que había obtenido), 180 días para abrir los arranjos de más de 500.000 trabajadores (Edenred, desde el 11-may-2026) y 360 días para la interoperabilidad plena (≈noviembre de 2026) [5, 6, 13]. La ABBT recurrió ante el Supremo en abril de 2026 [5]. </w:t>
      </w:r>
      <w:r>
        <w:rPr>
          <w:b/>
        </w:rPr>
        <w:t xml:space="preserve">Italia</w:t>
      </w:r>
      <w:r>
        <w:t xml:space="preserve">: la ley 193/2024 (art. 37) extiende al sector privado el tope del 5 % sobre el valor facial a la comisión al comercio, exigible a todos los contratos desde el 1-sep-2025; el valor exento del vale digital sube de 8 a 10 EUR en 2026 [1, 19]. </w:t>
      </w:r>
      <w:r>
        <w:rPr>
          <w:b/>
        </w:rPr>
        <w:t xml:space="preserve">Francia</w:t>
      </w:r>
      <w:r>
        <w:t xml:space="preserve">: la proposición de ley 2892 (9-jun-2026, procedimiento acelerado desde el 28-sep, sesión prevista el 12-oct) fija títulos solo digitales desde el 1-ene-2028, uso permanente en cualquier alimento, prohibición de descuentos a empresas y transparencia anual de comisiones, y descarta expresamente un tope [15, 16]. Edenred cuantifica el efecto de Italia y Brasil en 6,5 puntos de crecimiento de ingresos operativos en 1S26 y una caída del EBITDA de 2026 del 7-10 % comparable [6, 7].</w:t>
      </w:r>
    </w:p>
    <w:p>
      <w:pPr>
        <w:pStyle w:val="Heading2"/>
      </w:pPr>
      <w:r>
        <w:t xml:space="preserve">Tendencias y disrupción</w:t>
      </w:r>
    </w:p>
    <w:p>
      <w:pPr>
        <w:spacing w:after="100"/>
      </w:pPr>
      <w:r>
        <w:t xml:space="preserve">El papel desaparece: en Francia el 60 % de los títulos era digital en 2023 y la ley propuesta lo eliminará en 2028 [15, 17]. La digitalización abre la puerta a la interoperabilidad y a las redes abiertas, que es lo que imponen los reguladores: en Brasil cualquier tarjeta del PAT deberá funcionar en cualquier terminal, lo que favorece a entrantes como Flash (≈2 millones de tarjetas) o Caju y desplaza el valor de la red cerrada al software y la captación [13, 18]. El gasto migra de restaurantes a supermercados (del 22,4 % al 30,8 % en Francia en año y medio), con supermercados que exigen comisiones más bajas [14]. En Mobility gana la electrificación: Edenred compra capacidad de carga (Spirii, The Mobility House Solutions) frente a Corpay, WEX y DKV [1, 6]. Edenred gana con la escala tecnológica y pierde con la apertura de redes.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Benefits &amp; Engagement, con una cuota relativa de 1,7 veces la del n.º 2 (Pluxee) por ingresos operativos, y 3.º mundial en Mobility; ≈70 % de sus ingresos operativos procede de mercados en los que es n.º 1 [1, 12]. En títulos restaurante en Francia tiene un 30-40 % del mercado según la Autoridad de la Competencia (35 % es el punto medio del rango, estimación propia) [14]. En Mobility en Brasil su cuota es 2,3 veces la del n.º 2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Pluxee (antes Sodexo Benefits &amp; Rewards)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otro grupo global de beneficios. Ejercicio a agosto de 2025: 24.500 M EUR de volumen emitido (la mitad que Edenred), ingresos totales de 1.287 M EUR, de los que 162 M EUR de float, y EBIT de 335 M EUR [21]. Cuota del 10-20 % en Francia [14]; refuerza Brasil con la alianza de Santander.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Corpay (antes Fleetcor)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Estados Unidos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tarjetas de flota y pagos corporativos, con fuerte presencia en Brasil (peajes) y Reino Unido. Ingresos de 4.528 M USD y resultado operativo de 1.994 M USD en 2025 [22], convertidos a 1,175 USD/EUR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Estados Unidos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Tarjetas de flota, pagos corporativos y beneficios en EE. UU.; 2.661 M USD de ingresos y 664 M USD de resultado operativo en 2025, con ventas planas frente a 2024 [23,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DKV Mobility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de UTA en Europa (carburante y peaje). 19.426 M EUR de volumen de transacciones, 839 M EUR de ingresos y 323 M EUR de EBIT en 2024, último ejercicio publicado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Bimpli-Swile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enero de 2024 del entrante digital Swile con Bimpli (antes del grupo BPCE); 10-20 % del mercado francés de títulos restaurante [14]. Swile también compite en Brasil [18]. No publica cuentas consolidadas.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Groupe Up (Up Coop)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Cooperativa, antes Chèque Déjeuner; 0-10 % del mercado francés [14] y presente en Brasil e Italia. Su informe anual no fue accesible (403).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Alelo y VR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Ticket (Edenred) y Pluxee forman los cuatro operadores que concentran ≈80 % de los ingresos del mercado brasileño [18]; Alelo pertenece a Bradesco y Banco do Brasil. Sin cuentas propias publicadas por separado.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dos lados con más de 2 millones de comercios y 60 millones de usuarios; los entrantes digitales tenían menos del 1 % en Francia en 2022 [1, 6]. Brasil la erosiona por ley: arranjo abierto desde mayo de 2026 e interoperabilidad plena en noviembre de 2026 [2,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neta de ingresos ≈104 % en Benefits &amp; Engagement en 2025 y relación valor de vida/coste de captación ≈12 veces [4]; Pluxee tiene una retención del 100 % [13]. Las grandes cuentas, sin embargo, cambian por concurso y negocian descuentos.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Ticket Restaurant desde 1962, licencias de dinero electrónico en Reino Unido, Bélgica y Francia y autorizaciones del Banco Central de Brasil [1]. La licencia no es exclusiva y la ventaja fiscal la puede reescribir el legislador.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60 % de costes fijos y ≈520 M EUR invertidos en producto y tecnología en 2025; margen EBIT del 36,9 % en 2025 (1.094 / 2.961 M EUR) frente al 26,0 % de Pluxee [1, 4,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emisores superaban el 99 % del mercado francés en 2022 y cuatro operadores tienen ≈80 % del brasileño; nichos nacionales que no admiten muchos jugadores rentables [6, 10].</w:t>
            </w:r>
          </w:p>
        </w:tc>
      </w:tr>
    </w:tbl>
    <w:p>
      <w:pPr>
        <w:spacing w:after="160" w:before="0"/>
      </w:pPr>
    </w:p>
    <w:p>
      <w:pPr>
        <w:pStyle w:val="Heading2"/>
      </w:pPr>
      <w:r>
        <w:t xml:space="preserve">Amenazas</w:t>
      </w:r>
    </w:p>
    <w:p>
      <w:pPr>
        <w:spacing w:after="100"/>
      </w:pPr>
      <w:r>
        <w:t xml:space="preserve">La amenaza principal no es un competidor sino el regulador, que actúa contra la comisión al comercio, la fuente de la rentabilidad: topes en Italia (5 %) y Brasil (3,6 %), transparencia y fin de los descuentos en Francia (2028), y expedientes de competencia en Italia (A578, conclusión antes del 30-sep-2027) [5, 13, 15]. La apertura de redes en Brasil reduce el valor de la red cerrada y facilita la entrada de Flash, Caju o Swile [18]. No hay forma de medir la probabilidad de contagio a otros países; Francia, el primer mercado, ha descartado por ahora el tope [15]. En Mobility, la electrificación desplaza el gasto a la carga eléctrica, donde compiten fabricantes y operadores de carga.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spacing w:after="100"/>
      </w:pPr>
      <w:r>
        <w:t xml:space="preserve">Crecimiento anual compuesto 2018-2025: ingresos </w:t>
      </w:r>
      <w:r>
        <w:rPr>
          <w:b/>
          <w:bCs/>
        </w:rPr>
        <w:t xml:space="preserve">11,5 %</w:t>
      </w:r>
      <w:r>
        <w:t xml:space="preserve">, EBITDA </w:t>
      </w:r>
      <w:r>
        <w:rPr>
          <w:b/>
          <w:bCs/>
        </w:rPr>
        <w:t xml:space="preserve">14,2 %</w:t>
      </w:r>
      <w:r>
        <w:t xml:space="preserve">, BPA </w:t>
      </w:r>
      <w:r>
        <w:rPr>
          <w:b/>
          <w:bCs/>
        </w:rPr>
        <w:t xml:space="preserve">10,4 %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totales pasaron de 1.378 M EUR en 2018 a 2.961 M en 2025 (×2,1) y el EBITDA de 536 a 1.360 M; el margen subió de 38,9 % a 45,9 % [1, 4]. Dos motores explican el salto de 2022-2024: el crecimiento orgánico de los ingresos operativos (+12,7 % en 2024) y el other revenue, el rendimiento del float, que pasó de 44 M EUR en 2021 a 247 M en 2024 al subir los tipos (de 2,7 % a 8,6 % de los ingresos totales) y bajó a 229 M en 2025 (guía ≈210 M en 2026) [1, 2, 3, 6]. Ese other revenue cae casi entero al EBITDA, así que explica buena parte de la expansión de margen: el EBITDA «operativo» (sin other revenue) fue de 1.131 M EUR en 2025, un 41,4 % de los ingresos operativos (estimación propia: 1.360 − 229). 2020 fue el único año de caída de ingresos (−9,9 %, Covid). 2023 no es comparable en beneficio neto: incluye 158 M EUR de deterioro de la multa francesa de 2019 en otros gastos [2]. 2026 es un año valle: guía de EBITDA de −7 % a −10 % orgánico por los topes de comisión en Italia y Brasil [6]. Otro revenue anual 2016-2025 (M EUR): 66, 67, 51, 56, 42, 44, 87, 203, 247, 229 (2016-2017 llamado «financial revenue»; el salto de 2017 a 2018 coincide con el cambio de normas, NIIF 15) [1, 2, 3, 4, 11].</w:t>
      </w:r>
    </w:p>
    <w:p>
      <w:pPr>
        <w:pStyle w:val="Heading2"/>
      </w:pPr>
      <w:r>
        <w:t xml:space="preserve">Ajustes y partidas no recurrentes</w:t>
      </w:r>
    </w:p>
    <w:p>
      <w:pPr>
        <w:spacing w:after="100"/>
      </w:pPr>
      <w:r>
        <w:t xml:space="preserve">Las cifras son las reportadas. Tres particularidades. (1) </w:t>
      </w:r>
      <w:r>
        <w:rPr>
          <w:b/>
        </w:rPr>
        <w:t xml:space="preserve">El EBITDA incluye el other revenue</w:t>
      </w:r>
      <w:r>
        <w:t xml:space="preserve">, el rendimiento de la inversión del float: 229 M en 2025 (17 % del EBITDA), 247 M en 2024 y solo 42-87 M en 2020-2022, cuando los tipos estaban en cero [1]. Es un ingreso financiero contabilizado como ingreso de explotación: su subida explica 1,9 puntos de los 4,7 que ganó el margen EBITDA entre 2021 y 2025. (2) </w:t>
      </w:r>
      <w:r>
        <w:rPr>
          <w:b/>
        </w:rPr>
        <w:t xml:space="preserve">Otros ingresos y gastos</w:t>
      </w:r>
      <w:r>
        <w:t xml:space="preserve"> quedan por debajo del EBIT: −31, −25, −41, −33, −30, −195, −28 y −46 M de 2018 a 2025; el de 2023 incluye el deterioro de 158 M de la multa francesa de 2019 [1, 2]. (3) La empresa publica un </w:t>
      </w:r>
      <w:r>
        <w:rPr>
          <w:b/>
        </w:rPr>
        <w:t xml:space="preserve">BPA ajustado</w:t>
      </w:r>
      <w:r>
        <w:t xml:space="preserve"> sin la amortización de activos de adquisiciones (92 M en 2025, 21 M de Reward Gateway) ni otros ingresos y gastos: 2,59 EUR en 2025 frente a 2,12 EUR contable [1, 49]; el consenso de MarketScreener y este informe usan el contable. La cuenta se presenta por naturaleza (personal, coste de ventas, impuestos y otros); los gastos generales recogen todos los gastos operativos. El LTM a jun-26 (EBITDA 1.322 M) ya incluye la caída regulatoria del 1S26 [5].</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Resultados del 1S26 (23-jul-2026): la dirección subió la guía de EBITDA de 2026 a −7 %/−10 % orgánico (antes −8 %/−12 %), mantuvo la conversión ≥35 % y repitió +8 %/+12 % de EBITDA y ≥65 % de conversión para 2027 y 2028 [6]. El mensaje se apoya en el crecimiento «intrínseco» (sin la regulación de Italia y Brasil) de los ingresos operativos: +8,0 % en el semestre frente al +1,5 % orgánico publicado; la regulación restó 6,5 puntos y pesó más en el 2T (+0,0 % orgánico) que en el 1T (+3,1 %) porque el decreto brasileño se aplicó desde finales de febrero y la apertura a esquemas abiertos desde el 11 de mayo [6, 7]. Mobility creció +11,1 % y compensa a Benefits &amp; Engagement (−2,2 %). La dirección elevó la previsión de other revenue a ≈210 M EUR para 2026 porque los tipos bajan más despacio de lo esperado, y anunció el programa Fit for Growth y una nueva línea de crédito de 900 M EUR [6]. En los resultados anuales (24-feb-2026) el mensaje era el mismo pero con la guía más baja y con la batalla judicial en Brasil abierta; un día después, el Tribunal Regional Federal declaró aplicable el decreto y la empresa confirmó que su guía ya lo incluía [10]. No se han leído las transcripciones de las conferencias: ver huecos.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(2023: Reward Gateway, consolidada desde el 16-may-2023 (1.150 M GBP; fondo de comercio de 1.092 M EUR): 7,5 meses en la cuenta de 2023 (80 M EUR de ingresos) y el año completo en 2024 [2].; 2024: IP Plus (negocio de tarjetas de energía en Italia), consolidada desde el 2-dic-2024: entra en el balance de 2024 (fondo de comercio de 167 M EUR) y casi nada en la cuenta; además Spirii (abr-24) y RB (ago-24)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de Edenred no se lee como el de una industrial. El patrimonio neto atribuido es negativo (−922 M a dic-25, −861 M a jun-26) por la escisión de Accor en 2010, no por pérdidas [1, 7]; invalida el ROE y el Altman Z. El circulante es estructuralmente negativo porque las empresas pagan los vales antes de que los comercios cobren: −5.601 M en 2025 según la empresa, de los que 4.668 M son float neto (fondos a reembolsar 6.125 M menos cuentas ligadas 1.457 M) [1]. De ese float, 1.661 M están en caja restringida por ley (Francia 755, Bélgica 332, Reino Unido 195 M…) y el resto financia la tesorería que la empresa resta en su deuda neta [1]. </w:t>
      </w:r>
      <w:r>
        <w:rPr>
          <w:b/>
        </w:rPr>
        <w:t xml:space="preserve">Criterio del informe</w:t>
      </w:r>
      <w:r>
        <w:t xml:space="preserve">: a jun-26, 2.739 M de los 3.319 M de caja y valores «libres» tienen como contrapartida vales pendientes; no los contamos como caja libre (van a otros_ajustes del puente) y mantenemos su rendimiento en el EBITDA. La deuda neta ajustada es de 4.616 M (3,5x el EBITDA de los últimos 12 meses) frente a 1.764 M (1,3x) de la empresa. Contarla como caja libre subiría el valor en 11,96 EUR por acción, pero solo es coherente si se quita del EBITDA su rendimiento; hecho así, el DCF da 60,72 EUR en vez de 45,84 (ver dcf.lectura). El riesgo de esta estructura es de liquidez regulatoria: el plazo de 15 días en Brasil ya restó caja en el 1S26 (circulante −553 M) [5, 7].</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5.271</w:t>
      </w:r>
      <w:r>
        <w:t xml:space="preserve">, conversión </w:t>
      </w:r>
      <w:r>
        <w:rPr>
          <w:b/>
          <w:bCs/>
        </w:rPr>
        <w:t xml:space="preserve">188 %</w:t>
      </w:r>
      <w:r>
        <w:t xml:space="preserve"> del beneficio neto; adquisiciones 2.980, dividendos 1.556, recompras 669.</w:t>
      </w:r>
    </w:p>
    <w:p>
      <w:pPr>
        <w:spacing w:after="100"/>
      </w:pPr>
      <w:r>
        <w:t xml:space="preserve">`flujo_operativo` es la línea (A) del estado de flujos: ya incluye intereses e impuestos pagados, la variación del circulante y la de la caja restringida, que mueven mucho la caja de un año a otro: en 2020 el circulante aportó +1.039 M EUR y la caja restringida restó −770 M; en 2025, +239 y +171 M [1, 3]. Free cash flow según la empresa (FFO + circulante + caja restringida − capex): 435 (2018, estimación propia con su definición), 400 (2019), 640 (2020), 518 (2021; 675 sin la multa francesa), 881 (2022, estimación propia), 905 (2023), 832 (2024; 881 a regulación constante) y 1.111 M EUR (2025) [1, 2, 3, 4]. Conversión FCF/EBITDA publicada: 60 % (2019), 110 % (2020), 77 % (2021), 83 % (2023), 66 % (2024; 70 % a regulación constante), 82 % (2025); guía ≥35 % en 2026 por el plazo de reembolso de 15 días en Brasil y ≥65 % en 2027-28 [1, 6]. 1S26: FFO 432 M, circulante −553 M, caja restringida +66 M, capex 99 M, FCF −154 M [5]. Capex: 6,7 % de los ingresos totales en 2025, dentro del 6-8 % del plan Amplify25-28, sobre todo desarrollo de plataformas capitalizado; la empresa no separa mantenimiento y crecimiento [1]. `pagos_arrendamientos` es una estimación propia: el estado de flujos no los separa (van dentro de la variación de deuda), y se aproximan con la amortización de los derechos de uso (28-44 M EUR al año) [1, 2, 3, 4]. Los dividendos de 2019-2021 son bajos porque había dividendo en acciones (scrip).</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Associés y Ernst &amp; Young Audit (cofirmantes, como exige la ley francesa)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las cuentas de 2025; cuestiones clave de auditoría: valoración del fondo de comercio y de los intangibles, y registro del pasivo por vales en circulación y fondos a reembolsar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Deloitte (desde 2010, 16 años) y EY (desde 2016) firman sin salvedades [1]. No hay cambios de criterio relevantes; el fondo de comercio (3.003 M, 22 % del activo) se reasignó en 2025 a las líneas de negocio sin deterioro [1]. Los tres indicadores del motor hay que leerlos con cuidado. El </w:t>
      </w:r>
      <w:r>
        <w:rPr>
          <w:b/>
        </w:rPr>
        <w:t xml:space="preserve">Altman Z de 0,53</w:t>
      </w:r>
      <w:r>
        <w:t xml:space="preserve"> («zona de riesgo») es mecánico: penaliza el patrimonio y las reservas negativas de la escisión de 2010 y un circulante negativo que aquí es fuente de caja, no de tensión; el rating A− de S&amp;P confirmado en julio de 2026 lo contradice [6]. El </w:t>
      </w:r>
      <w:r>
        <w:rPr>
          <w:b/>
        </w:rPr>
        <w:t xml:space="preserve">Piotroski F de 6</w:t>
      </w:r>
      <w:r>
        <w:t xml:space="preserve"> sobre 9 es correcto. El </w:t>
      </w:r>
      <w:r>
        <w:rPr>
          <w:b/>
        </w:rPr>
        <w:t xml:space="preserve">Beneish M de −2,77</w:t>
      </w:r>
      <w:r>
        <w:t xml:space="preserve"> está por debajo del umbral de manipulación (−1,78). Los puntos que sí importan: el EBITDA incluye 229 M de rendimiento financiero del float (17 %), que depende de la Selic y del euríbor y no tiene sensibilidad publicada; la remuneración en acciones es pequeña (23 M, 1,7 % del EBITDA); y la conversión FCF/EBITDA que publica la empresa (82 % en 2025) incluye la variación del float y de la caja restringida, de modo que no es una medida de calidad del beneficio [1]. La multa francesa de 2019 (158 M, deteriorada en 2023) vuelve a juicio tras la anulación del Supremo de octubre de 2025 [1, 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EBITDA incluye el rendimiento del float</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229 M EUR del EBITDA de 2025 (17 %) son intereses de la caja de clientes; dependen de los tipos de Brasil y de la eurozona y la empresa no publica su sensibilidad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restada en la deuda neta que procede del float</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3.585 M EUR de caja y valores restados en la deuda neta conviven con 6.125 M de fondos a reembolsar; una caída del float (plazo de 15 días en Brasil) sube la deuda neta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 francesa de 2019 y demandas de daños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158 M EUR pagados en 2021 y deteriorados en 2023; el Tribunal de Casación anuló la sentencia de 2023 y Edenred volvió a recurrir el 16-ene-2026; demandas de comercios y fondos de litigación sin cuantificar ni provisionar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Italia: procedimiento Consip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Procedimiento administrativo contra Edenred Italia y penal contra cuatro directivos actuales o antiguos por la licitación de 2019; ≈20 M EUR embargados; sin provisión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Inspecciones fiscales en Brasil e Italia sin provisión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(amortización fiscal del fondo de comercio de Ticket Serviços): 15 + 30 M EUR (2007-2010), 4 + 13 M (2011) y 2 + 8 M (2012) de principal más recargos; aval de 60 M. Italia: cánones de marca 2014-2018 en procedimiento amistoso con Francia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neto negativo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−922 M EUR a dic-25 por el registro a coste histórico de la escisión de Accor de 2010 (−1.044 M EUR de partida); no indica pérdidas acumuladas, pero invalida el ROE y el Altman Z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Dilución por la OCEANE 2028</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Convertible de 400 M EUR al 0 % con vencimiento en junio de 2028: 6,4 millones de acciones en el BPA diluido de 2025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26,7 % · </w:t>
      </w:r>
      <w:r>
        <w:rPr>
          <w:b/>
          <w:bCs/>
        </w:rPr>
        <w:t xml:space="preserve">WACC</w:t>
      </w:r>
      <w:r>
        <w:t xml:space="preserve">: 8,7 %.</w:t>
      </w:r>
    </w:p>
    <w:p>
      <w:pPr>
        <w:spacing w:after="100"/>
      </w:pPr>
      <w:r>
        <w:rPr>
          <w:b/>
        </w:rPr>
        <w:t xml:space="preserve">El ROIC del motor no mide lo que parece.</w:t>
      </w:r>
      <w:r>
        <w:t xml:space="preserve"> Con el capital invertido como patrimonio más deuda neta de la empresa, el capital fue negativo en 2018-2023 (el float financiaba más que todo el inmovilizado), así que el ROIC de esos años no tiene significado, y en 2024-2025 sale del 147,5 % y el 130,8 %. Lo infla el circulante negativo: los clientes financian 4.668 M de float y la empresa cuenta la caja que generan como suya [1]. Medido con el float como pasivo operativo (capital invertido de ≈3.430 M a dic-25: fondo de comercio, intangibles e inmovilizado menos el circulante sin float), el ROIC de 2025 es del ≈21 % (NOPAT de 736 M; estimación propia), todavía 12 puntos sobre el WACC del 8,65 %. Crea valor desde siempre, pero menos de lo que dice el ratio contable, y el ROIC incremental del 26,7 % incluye la compra de Reward Gateway a 25,6 veces el EBITDA [62], que rinde por debajo. Frente a los comparables (13-15 % de ROIC en Pluxee, Corpay y Adyen según Stock Analysis [60]), Edenred gana por margen (EBITDA del 45,9 % en 2025) más que por rotación. El margen ya está en máximos de la serie: la regulación de 2025-26 demuestra que una parte venía de comisiones que los reguladores consideran excesivas.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4.616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31-dic-2025: caja y equivalentes 1.885 M EUR + valores negociables 1.689 M + otros activos financieros corrientes 11 M (3.585 M que la empresa resta en su deuda neta), más 1.661 M de caja restringida (no se resta). Línea de crédito sindicada de 750 M sin disponer (sustituida el 22-jul-2026 por una de 900 M a 2031); programas de NEU CP (750 M, sin saldo) y NEU MTN (250 M, sin usar). Sin covenants financieros [1, 6, 7]. A 30-jun-2026: caja y equivalentes 1.609 M + valores 1.704 M + otros 6 M = 3.319 M; caja restringida 1.618 M; deuda neta 1.764 M (2.351 M a jun-25) [5,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con perspectiva estable (desde el 24-abr-2023; confirmado en diciembre de 2025 y en julio de 2026) [1, 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Deuda neta según la empresa</w:t>
      </w:r>
      <w:r>
        <w:t xml:space="preserve"> (nota 6.5): deuda bruta (bonos, OCEANE, bancos, NEU CP, descubiertos) + otros pasivos financieros (arrendamientos NIIF 16, opciones de venta de minoritarios, derivados, depósitos) − caja − valores negociables − otros activos financieros corrientes y derivados. </w:t>
      </w:r>
      <w:r>
        <w:rPr>
          <w:b/>
        </w:rPr>
        <w:t xml:space="preserve">Excluye la caja restringida.</w:t>
      </w:r>
      <w:r>
        <w:t xml:space="preserve"> Serie (M EUR): 2018: 659; 2019: 1.290; 2020: 1.115; 2021: 816; 2022: 307; 2023: 1.100; 2024: 1.806; 2025: 1.241; jun-26: 1.764 [1, 2, 3, 4, 5]. En 2025: deuda 4.507 + otros pasivos financieros 319 (arrendamientos 119, opciones sobre minoritarios 76, derivados 58, depósitos 37, otros 29) − 3.585 = 1.241. Como `balance.historico` solo lleva deuda, arrendamientos y caja, la deuda neta que calcula el motor sale 200 M por debajo (1.041 en 2025): esos 200 M de opciones, derivados y depósitos deberían ir a `otros_ajustes` del puente. </w:t>
      </w:r>
      <w:r>
        <w:rPr>
          <w:b/>
        </w:rPr>
        <w:t xml:space="preserve">Caja restringida</w:t>
      </w:r>
      <w:r>
        <w:t xml:space="preserve"> (fondos de clientes segregados por ley: Francia 755, Bélgica 332, Reino Unido 195, EE. UU. 109, Rumanía 92, Taiwán 49, Brasil 39, México 31 M EUR a dic-25): 1.402 (2018), 1.864, 2.578, 2.428, 2.120, 2.073, 1.866, 1.661 (2025), 1.618 (jun-26) [1, 2, 3, 4, 5]. </w:t>
      </w:r>
      <w:r>
        <w:rPr>
          <w:b/>
        </w:rPr>
        <w:t xml:space="preserve">Fondos a reembolsar (vales en circulación)</w:t>
      </w:r>
      <w:r>
        <w:t xml:space="preserve">: 4.959 (2018), 5.161, 4.874, 5.258, 5.840, 5.690, 5.722, 6.125 (2025), 5.940 (jun-26). Contingencias: multa de la Autoridad de la Competencia (158 M EUR, pagada en 2021 y deteriorada en 2023) con demandas de daños de comercios y fondos de litigación en curso; 20 M EUR embargados en Italia (Consip); inspecciones fiscales en Brasil (≈72 M EUR entre principal y recargos, sin provisión; aval de 60 M) [1]. Compromisos fuera de balance: 646 M EUR [1].</w:t>
      </w:r>
    </w:p>
    <w:p>
      <w:pPr>
        <w:pStyle w:val="Heading1"/>
      </w:pPr>
      <w:r>
        <w:t xml:space="preserve">12. Asignación de capital</w:t>
      </w:r>
    </w:p>
    <w:p>
      <w:pPr>
        <w:pStyle w:val="Confianza"/>
        <w:spacing w:after="100"/>
      </w:pPr>
      <w:r>
        <w:t xml:space="preserve">Confianza: Media</w:t>
      </w:r>
    </w:p>
    <w:p>
      <w:pPr>
        <w:spacing w:after="100"/>
      </w:pPr>
      <w:r>
        <w:t xml:space="preserve">Dividendo progresivo en valor absoluto durante el plan Amplify25-28: 1,33 EUR por acción con cargo a 2025 (+10 %; 308 M EUR pagados el 12-jun-2026), tras 1,21 (2024), 1,10 (2023), 1,00 (2022) y 0,90 (2021) [1, 5]. Recompras para amortizar: 300 M EUR ejecutados en 2024; ampliación anunciada el 3-dic-2024 de otros 300 M en tres años (hasta noviembre de 2027; 600 M en total), de los que a 31-dic-2025 se habían comprado algo más de 5 millones de acciones por 125 M EUR, y se amortizaron 4,999 millones de acciones (128 M) en 2025 [1]. Mandato a un proveedor de servicios de inversión de hasta 50 M EUR del 29-may al 31-oct-2026 para cubrir el plan de acciones de incentivo (≈2,1 millones de acciones, 0,9 % del capital) [6]. En el 1S26 se devolvieron 520 M EUR (dividendo y recompras) [6]. Capex del 6-8 % de los ingresos y adquisiciones selectivas; objetivo de mantener la calificación A- [1,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Embratec (Brasil): fusión en la sociedad conjunta Ticket Log, con el 65 % para Edenred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Aportación de activos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Ticket Log es hoy el núcleo de Mobility en Brasil (peajes, fletes, mantenimiento)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UTA (Alemania, tarjetas de carburante): subida del 34 % al 51 % (enero) y al 66 % (diciembre); 83 % en enero de 2018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UTA crece a doble dígito en 2026 y es la base de Mobility en Europa [4,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Corporate Spending Innovations (pagos B2B, EE. UU.) y The Right Fuelcard Company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CSI es hoy Edenred Pay North America; amortización de su lista de clientes de 9 M EUR en 2025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Reward Gateway (plataforma de compromiso de empleados, Reino Unido/Australia)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de 1.200 M EUR en dos tramos y 100 M de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1.150 M GBP; múltiplo de 20x EBITDA 2023 según la empresa; fondo de comercio de 1.092 M EUR; 80 M EUR de ingresos y 17 M de EBIT en 7,5 meses de 2023; sin deterioros hasta 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GOintegro (75 %, plataforma de compromiso en América Latina), con opción de venta para el 25 % restante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provisional de 17 M EUR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Spirii (87,6 %, plataforma SaaS de recarga eléctrica, Dinamarca), RB (transporte de empleados, Brasil) e IP Plus (tarjetas de energía, Italia)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504 M EUR es la salida de caja por adquisiciones de 2024. Fondo de comercio: Spirii 113 M, RB 67,5 M, IP Plus 167 M; el 12,4 % restante de Spirii se compró en el 1S25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Mobility House Solutions (TMH Solutions, recarga eléctrica B2B, Alemania y Austria)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Firmada el 15-jun-2026; precio no publicado (35 M EUR de salidas por adquisiciones en el 1S26) [5, 6].</w:t>
            </w:r>
          </w:p>
        </w:tc>
      </w:tr>
    </w:tbl>
    <w:p>
      <w:pPr>
        <w:spacing w:after="160" w:before="0"/>
      </w:pPr>
    </w:p>
    <w:p>
      <w:pPr>
        <w:spacing w:after="100"/>
      </w:pPr>
      <w:r>
        <w:t xml:space="preserve">De 2018 a 2025 Edenred generó 5.271 M de flujo libre en la definición del motor (después de la variación del float) y gastó 2.980 M en compras, 1.556 M en dividendos y 669 M en recompras. La pieza clave fue Reward Gateway (2023): 1.150 M GBP, 25,6 veces el EBITDA antes de sinergias y 20 veces después [1, 62]; el negocio de beneficios fuera de comida creció, pero la compra se pagó en máximos del ciclo de múltiplos y hoy la empresa entera cotiza a 6,6 veces con su propia deuda neta. Desde 2024 la prioridad ha cambiado hacia el accionista: 300 M de recompras en 2024 y un programa de 600 M hasta noviembre de 2027, del que a 31-jul-2026 se habían ejecutado 500 M (17,2 M de acciones) [37], con amortización de 13,2 M de acciones en 24 meses [1]. Las acciones diluidas bajaron de 264,5 M (2023) a 246,2 M (2025) y 229,1 M hoy [1, 57]. Recomprar a 6-9 veces el EBITDA crea más valor que comprar a 20-25: es la mejor decisión de capital reciente. El dividendo (1,33 EUR, +10 %) es progresivo y cubierto por el flujo libre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Bertrand Dumazy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 de Bain, director de inversiones en BC Partners, directivo de Neopost y presidente y consejero delegado de Materis (Cromology) antes de llegar a Edenred en octubre de 2015 [1]. Con él, el EBITDA pasó de 580 M EUR en 2020 a 1.360 M EUR en 2025, con crecimientos orgánicos del 18 % al 34 % anual en 2021-2024 y del 11,2 % en 2025 [40, 45]. Tenía 175.166 acciones a fin de 2025 (0,07 % del capital) y recibió 53.385 más al consolidar un plan en febrero de 2026 [1,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Virginie Duperat-Vergne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Finanzas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Auditora en Arthur Andersen y EY, finanzas en Canal+ y Technip (directora financiera adjunta), y directora financiera de Gemalto y de Arcadis [1]. Nombrada el 12-mar-2025 en sustitución de Julien Tanguy, se incorporó el 2-jun-2025 con el encargo de vigilar el plan de eficiencia «Fit for Growth» [1]. Lleva poco más de un año: sin historial medible propio en Edenred.</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Dominique D'Hinnin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independiente de referencia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Inspector de Finanzas, director financiero de Lagardère y socio gerente de Lagardère SCA hasta 2016 [1]. Preside la comisión de Retribuciones, Nombramientos y RSC y organiza las reuniones de independientes sin el PDG [1]. Su reelección en 2024 obtuvo solo un 77,17 % a favor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Diane Coliche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Mobility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Banca de inversión en Morgan Stanley y diversos cargos financieros en el grupo Casino, del que fue consejera delegada desde 2019 [1]. Dirige Mobility desde 2023, la línea cuyo crecimiento orgánico es uno de los tres objetivos de negocio del variable del PDG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Fabrizio Ruggiero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Benefits &amp; Engagement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Accenture y Bain; consejero delegado de Leasys y consejero delegado adjunto de Europcar Mobility Group; director general de Edenred Italia desde 2021 [38]. Sustituye desde el 28-sep-2026 a Arnaud Erulin, que deja el grupo tras 32 años, justo cuando Italia es uno de los dos mercados con cambio regulatorio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Philippe Relland-Bernard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general de Asuntos Jurídicos y Regulatorios y secretario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Jurista, entró en Accor Services en 1999 y es director jurídico del grupo desde 2009 [1]. Lleva los frentes regulatorios y litigiosos abiertos: la multa de la Autoridad de la Competencia francesa, Consip y la AGCM en Italia y los litigios fiscales de Brasil [1, 36].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entre 520 y 550 M EUR; objetivos anuales de Next Frontier: ingresos operativos orgánicos &gt;+8 %, EBITDA orgánico &gt;+10 %, conversión FCF/EBITDA &gt;65 %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545 M EUR; ingresos operativos +14 % y EBITDA +14 % orgánicos; conversión 65 %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anuales suspendidos en marzo de 2020 por la covid; después, EBITDA entre 550 y 600 M EUR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580 M EUR (−4,6 % orgánico)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Rango de EBITDA anunciado durante el año (la cifra no aparece en los documentos leídos)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670 M EUR, «en el extremo alto del rango», +18 % orgánico; conversión 77 % tras pagar la multa de 157 M EUR</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Next Frontier: ingresos operativos &gt;+8 %, EBITDA &gt;+10 %, conversión &gt;65 %; EBITDA elevado en octubre a 810-840 M EUR (desde 770-810 M EUR)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836 M EUR (+23,3 % orgánico); ingresos operativos +19,2 %; conversión del 85 % sin el efecto puntual de Alemania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Beyond22-25: EBITDA orgánico &gt;+12 %, conversión &gt;70 %; en julio, EBITDA entre 1.020 y 1.090 M EUR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1.094 M EUR (+33,9 % orgánico); conversión 83 %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Beyond22-25: EBITDA orgánico &gt;+12 %, conversión &gt;70 %; en julio, EBITDA entre 1.230 y 1.300 M EUR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1.265 M EUR (+19,0 % orgánico); conversión 70 %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orgánico ≥+10 % (con 60 M EUR de impacto regulatorio en Italia), conversión &gt;70 %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1.360 M EUR (+11,2 % orgánico); conversión 82 %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Año de reajuste por la regulación de Italia y Brasil: EBITDA entre −8 % y −12 % orgánico, conversión ≥35 %; mejorado en julio a −7 % / −10 % (≈1.230-1.270 M EUR)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la empresa dice que el 1S26 fue mejor de lo previsto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tiene un historial de guía casi impecable: desde 2019 cumplió o superó cada objetivo anual de EBITDA y de conversión de caja, salvo 2020, cuando suspendió la guía por la covid [39, 40, 41, 42, 43, 44, 45]. Los objetivos eran mínimos holgados (&gt;+10 % o &gt;+12 %) que el ciclo de tipos e inflación ayudó a batir por mucho en 2022-2024. La prueba de credibilidad real es 2026, el primer año con una caída del EBITDA en la guía (mejorada en julio) [6]. La estabilidad es menor de lo que parece: en 2025-2026 cambiaron el director financiero, el de tecnología y el de Benefits &amp; Engagement, la mayor línea de negocio [1, 38]. Dumazy, PDG desde 2015 y reelegido hasta 2030, concentra presidencia y ejecución; el consejo dice revisar su plan de sucesión, pero no hay un sucesor visible [1, 34].</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Bertrand Dumazy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 reelegido en mayo de 2026 hasta la junta de 2030</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Dominique D'Hinnin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independiente de referencia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Retribuciones, Nombramientos y RSC; vocal de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Bernardo Sanchez Incera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de Coface)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Augustin de Romanet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(cooptado en oct-2025, ratificado en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Kelly Richdale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(cooptada en sep-2025, ratificada en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Sylvia Coutinho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Philippe Vallée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Compromisos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Nathalie Balla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Kristell Rivaille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Cédric Appert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en representación de los empleados (es además el responsable de Relación con Inversores)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Fanny Mitre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 (sustituye a Graziella Gavezotti desde mayo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las cuentas de 2025; cuestiones clave de auditoría: valoración del fondo de comercio y de los intangibles, y registro del pasivo por vales en circulación y fondos a reembolsar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0,04 / ventas 1,08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Rock Investment SAS (NJJ Holding, grupo familiar de Xavier Niel)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(exposición mediante opciones de compra)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nueva: cruzó al alza el 5 % el 28-jul-2026 con 18.957.967 acciones (8,00 % del capital, 7,89 % de los votos), todas por asimilación mediante dos contratos de opciones de compra ejercitables entre el 4-ene-2027 y el 31-may-2027, con liquidación por defecto en efectivo y opción de entrega física [31]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Baillie Gifford &amp; 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Subió del 2,45 % (fin de 2024) al 8,49 % (fin de 2025) y bajó del 5 % el 4-jun-2026 (4,99 %, 11.840.299 acciones) [1,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World Investors (Capital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9,90 % a fin de 2024 al 6,67 % a fin de 2025; bajó del 5 % del capital el 21-may-2026 (4,88 %) por ventas en mercado [1,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Pale Fire Capital SE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(sociedad de inversión checa)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nueva: del 0 % al 5,14 %; cruzó el 5 % el 15-16 dic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Harris Associates L.P. (Oakmark)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6,81 % a fin de 2024 al 4,26 %; bajó del 5 % el 10-abr-2025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LLC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1,60 % a fin de 2024 al 0,05 % (5,12 % a fin de 2023)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Accionistas individuales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Minoristas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4,79 % a fin de 2024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6.157.673 acciones a 30-jun-2026 (0,64 % y 1.506.506 acciones a fin de 2025), por la recompra en curso [1,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Goldman Sachs Group (vía Goldman Sachs International)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(posición mayoritariamente de intermediación y derivados)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cruzado el 5 % arriba y abajo ocho veces entre feb y jun-2026; última declaración: 5,06 % del capital y 4,99 % de los votos el 19-jun-2026, de ellos 5,77 M de acciones por swaps y warrants liquidados en efectivo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del 5 % el 27-feb-2026 (3,54 %) por ventas en mercado [32]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Adoue (director general de RR. HH. y RSC)</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Augustin de Romanet (consejero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Kelly Richdale (consejera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Bertrand Dumazy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Adoue (director general de RR. HH. y RSC)</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Philippe Relland-Bernard (director general de Asuntos Jurídicos y Regulatorios)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Philippe Relland-Bernard (director general de Asuntos Jurídicos y Regulatorios)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Arnaud Erulin (director general de Benefits &amp; Engagement)</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Jacques Adoue (director general de RR. HH. y RSC)</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Constance Le Bouar (directora general de Estrategia y Transformación)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Fijo de 1,03 M EUR, sin cambios desde 2023. El variable anual va del 0 % al 120 % del fijo (máximo 180 %): 50 % EBITDA orgánico, 15 % BPA, 30 % tres objetivos de negocio y 25 % cualitativo; por 2025 cobró 1,73 M EUR, el 167,6 % del fijo [1]. El variable a largo plazo (136.525 acciones, 3,10 M EUR) consolida a tres años: 55 % crecimiento orgánico del EBITDA, 20 % TSR frente al CAC 40 y 25 % RSC; premia crecimiento y apenas retorno sobre el capital [1]. Indemnización por cese de hasta dos años, sujeta a rendimiento; sin pacto de no competencia; el informe no menciona </w:t>
      </w:r>
      <w:r>
        <w:rPr>
          <w:i/>
        </w:rPr>
        <w:t xml:space="preserve">clawback</w:t>
      </w:r>
      <w:r>
        <w:t xml:space="preserve"> [1]. </w:t>
      </w:r>
      <w:r>
        <w:rPr>
          <w:b/>
        </w:rPr>
        <w:t xml:space="preserve">El rechazo es alto y recurrente</w:t>
      </w:r>
      <w:r>
        <w:t xml:space="preserve">: 34,33 % en contra de la política en 2024 y entre el 23 % y el 30 % en contra del ex post en 2024, 2025 y 2026 [28, 29, 30]. Ratio de equidad 2025: 73,7 veces la media de la plantilla francesa [1].</w:t>
      </w:r>
    </w:p>
    <w:p>
      <w:pPr>
        <w:pStyle w:val="Heading2"/>
      </w:pPr>
      <w:r>
        <w:t xml:space="preserve">Operaciones vinculadas, estructura de control y defensas</w:t>
      </w:r>
    </w:p>
    <w:p>
      <w:pPr>
        <w:spacing w:after="100"/>
      </w:pPr>
      <w:r>
        <w:t xml:space="preserve">No hay accionista de control ni pactos parasociales: el capital libre es del 99,36 % [1]. El artículo 24 de los estatutos da </w:t>
      </w:r>
      <w:r>
        <w:rPr>
          <w:b/>
        </w:rPr>
        <w:t xml:space="preserve">doble voto</w:t>
      </w:r>
      <w:r>
        <w:t xml:space="preserve"> a las acciones nominativas con dos años de antigüedad (240,07 M de votos frente a 236,97 M de acciones), con poco efecto porque los nominativos son el 1,92 % del capital [1]. No hay convenios con partes vinculadas en vigor [1]. Lo nuevo es el accionariado: en junio de 2026 la empresa admitió aproximaciones exploratorias de fondos de inversión [35] y en julio Rock Investment (grupo Niel) declaró un 8,00 % mediante opciones de compra liquidables en acciones entre enero y mayo de 2027 [31]. Antes entraron Pale Fire Capital y Baillie Gifford, y redujeron Capital Group, Harris y BlackRock [1, 32, 47].</w:t>
      </w:r>
    </w:p>
    <w:p>
      <w:pPr>
        <w:pStyle w:val="Heading2"/>
      </w:pPr>
      <w:r>
        <w:t xml:space="preserve">Señales de alerta</w:t>
      </w:r>
    </w:p>
    <w:p>
      <w:pPr>
        <w:pStyle w:val="ListParagraph"/>
        <w:numPr>
          <w:ilvl w:val="0"/>
          <w:numId w:val="2"/>
        </w:numPr>
        <w:spacing w:after="60"/>
      </w:pPr>
      <w:r>
        <w:t xml:space="preserve">Voto en contra recurrente de la remuneración del PDG: 34,33 % contra la política en 2024 y entre el 23 % y el 30 % contra el ex post en 2024, 2025 y 2026 [28, 29, 30].</w:t>
      </w:r>
    </w:p>
    <w:p>
      <w:pPr>
        <w:pStyle w:val="ListParagraph"/>
        <w:numPr>
          <w:ilvl w:val="0"/>
          <w:numId w:val="2"/>
        </w:numPr>
        <w:spacing w:after="60"/>
      </w:pPr>
      <w:r>
        <w:t xml:space="preserve">Rotación del director financiero en junio de 2025 (Julien Tanguy sustituido por Virginie Duperat-Vergne) y del director de Benefits &amp; Engagement en septiembre de 2026 [1, 38].</w:t>
      </w:r>
    </w:p>
    <w:p>
      <w:pPr>
        <w:pStyle w:val="ListParagraph"/>
        <w:numPr>
          <w:ilvl w:val="0"/>
          <w:numId w:val="2"/>
        </w:numPr>
        <w:spacing w:after="60"/>
      </w:pPr>
      <w:r>
        <w:t xml:space="preserve">Autoridad de la Competencia francesa: multa de 158 M EUR (2019, pagada en 2021); el Supremo anuló en octubre de 2025 la sentencia de apelación y el recurso vuelve a la Corte de Apelación de París; hay demandas de daños de comercios, fondos de litigación y Octoplus [1].</w:t>
      </w:r>
    </w:p>
    <w:p>
      <w:pPr>
        <w:pStyle w:val="ListParagraph"/>
        <w:numPr>
          <w:ilvl w:val="0"/>
          <w:numId w:val="2"/>
        </w:numPr>
        <w:spacing w:after="60"/>
      </w:pPr>
      <w:r>
        <w:t xml:space="preserve">Italia: proceso administrativo y penal por la licitación de Consip de 2019 contra Edenred Italia y cuatro directivos actuales y anteriores, con unos 20 M EUR embargados [1]; en marzo de 2026 la AGCM abrió una investigación por abuso de posición dominante en vales de comida [36].</w:t>
      </w:r>
    </w:p>
    <w:p>
      <w:pPr>
        <w:pStyle w:val="ListParagraph"/>
        <w:numPr>
          <w:ilvl w:val="0"/>
          <w:numId w:val="2"/>
        </w:numPr>
        <w:spacing w:after="60"/>
      </w:pPr>
      <w:r>
        <w:t xml:space="preserve">Brasil: liquidaciones fiscales por la amortización del fondo de comercio de Ticket Serviços (principal más recargos de unos 72 M EUR en 2007-2012), con aval bancario de 60 M EUR y sin provisión [1].</w:t>
      </w:r>
    </w:p>
    <w:p>
      <w:pPr>
        <w:pStyle w:val="ListParagraph"/>
        <w:numPr>
          <w:ilvl w:val="0"/>
          <w:numId w:val="2"/>
        </w:numPr>
        <w:spacing w:after="60"/>
      </w:pPr>
      <w:r>
        <w:t xml:space="preserve">Otras investigaciones de competencia en Chequia (multa de 4,1 M EUR recurrida) y Turquía (investigación abierta en 2025) [1].</w:t>
      </w:r>
    </w:p>
    <w:p>
      <w:pPr>
        <w:pStyle w:val="ListParagraph"/>
        <w:numPr>
          <w:ilvl w:val="0"/>
          <w:numId w:val="2"/>
        </w:numPr>
        <w:spacing w:after="60"/>
      </w:pPr>
      <w:r>
        <w:t xml:space="preserve">Posiciones cortas publicadas en la AMF: Two Sigma 0,99 % (23-sep-2026) y AQR 0,51 % (14-sep-2026); en abril de 2026 se declararon CPPIB 2,11 % y Marshall Wace 1,39 % [46].</w:t>
      </w:r>
    </w:p>
    <w:p>
      <w:pPr>
        <w:pStyle w:val="ListParagraph"/>
        <w:numPr>
          <w:ilvl w:val="0"/>
          <w:numId w:val="2"/>
        </w:numPr>
        <w:spacing w:after="60"/>
      </w:pPr>
      <w:r>
        <w:t xml:space="preserve">El consejero en representación de los empleados Cédric Appert, miembro de la comisión de retribuciones, figura a la vez como contacto de Relación con Inversores en las notas de prensa [1, 35].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4-nov-2025, en su día del inversor, Edenred fijó para 2026 un crecimiento del EBITDA del 2-4 % y del 8-12 % anual en 2027-2028, con conversión de flujo libre sobre EBITDA superior al 65 %; la acción cayó un 9,1 % ese día [51]. Tras los cambios regulatorios de los vales de comida en Italia y Brasil, la guía de 2026 pasó a una caída del EBITDA del 8-12 % comparable. El 23-jul-2026 la elevó a una caída del 7-10 % comparable (≈1.230-1.270 M EUR), con conversión de flujo libre/EBITDA de al menos el 35 %, y confirmó para 2027 y 2028 un crecimiento anual del EBITDA del 8-12 % comparable y una conversión de al menos el 65 % [6]. Próxima referencia: ingresos del 3T26, el 21-oct-2026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15 analistas, consultado el 7-oct-2026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15 analistas, consultado el 7-oct-2026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15 analistas, consultado el 7-oct-2026 [49]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19,00 – 37,00</w:t>
            </w:r>
          </w:p>
        </w:tc>
      </w:tr>
    </w:tbl>
    <w:p>
      <w:pPr>
        <w:spacing w:after="160" w:before="0"/>
      </w:pPr>
    </w:p>
    <w:p>
      <w:pPr>
        <w:pStyle w:val="Heading2"/>
      </w:pPr>
      <w:r>
        <w:t xml:space="preserve">Revisiones de estimaciones</w:t>
      </w:r>
    </w:p>
    <w:p>
      <w:pPr>
        <w:spacing w:after="100"/>
      </w:pPr>
      <w:r>
        <w:t xml:space="preserve">Investing da los mismos 15 analistas y el mismo precio objetivo (9 comprar, 5 mantener, 1 vender) [50]. MarketScreener no publica en texto la serie de revisiones (solo gráficos), así que no hay cifras de 3 y 12 meses de una sola fuente [49]. Los hechos: hace 12 meses el mercado trabajaba con el plan anterior (EBITDA +12 % anual); el 4-nov-2025 la empresa guio un +2-4 % para 2026 [51] y después una caída del 8-12 % comparable por la regulación de Italia y Brasil, lo que supone un recorte de 2026 de unos 10-15 puntos de crecimiento en un año. En los últimos tres meses la revisión ha sido al alza: el 1S26 batió el consenso que compila la propia empresa (EBITDA de 616 M frente a 606 M; ingresos de 1.473 M frente a ≈1.450 M) [52] y la guía mejoró a −7/−10 % [6]. El BPA del consenso es el </w:t>
      </w:r>
      <w:r>
        <w:rPr>
          <w:b/>
        </w:rPr>
        <w:t xml:space="preserve">contable (NIIF)</w:t>
      </w:r>
      <w:r>
        <w:t xml:space="preserve">, no el ajustado de Edenred: en 2025, MarketScreener da 2,12 EUR frente a 2,18 EUR de BPA diluido contable y 2,59 EUR de BPA ajustado [1, 49].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bl>
    <w:p>
      <w:pPr>
        <w:spacing w:after="160" w:before="0"/>
      </w:pPr>
    </w:p>
    <w:p>
      <w:pPr>
        <w:spacing w:after="100"/>
      </w:pPr>
      <w:r>
        <w:t xml:space="preserve">Índice: CAC 40; sector: ETF iShares STOXX Europe 600 Financial Services (EXH2.DE), todo en precio [48]. Edenred perdió un 41 % en 2024 y un 40 % en 2025 por la regulación de los vales de comida (tope de comisiones en Italia y Brasil) y por un plan 2026-2028 por debajo de lo esperado: el 4-nov-2025 cayó un 9,1 % [51]. Salió del CAC 40 el 22-dic-2025, sustituida por Eiffage [27]. La caída máxima de cinco años (−73,4 %) va de junio de 2023 al 26-mar-2026, cuando bajó un 17,2 % en una sesión tras abrir la autoridad italiana de la competencia (AGCM) una investigación por abuso de posición dominante [36]. Desde ese mínimo (15,23 EUR) ha subido un 81 %: el 18-jun-2026 ganó un 17,6 % al publicarse que BC Partners estudiaba una oferta, que Edenred no confirmó [53], y el 23-jul elevó la guía [6]. Entre julio y septiembre la empresa recompró 4,1 M de acciones (la autocartera pasó de 4,6 M a 8,7 M) [5, 57] con dos mandatos de 50 M [58]. Las posiciones cortas publicadas suman un 1,50 % del capital (Two Sigma 0,99 % y AQR 0,51 %) [54].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la deuda neta de la empresa, Edenred cotiza a 6,6 veces el EBITDA de los últimos 12 meses, frente a una media de 15,8 veces en los cierres de 2018-2025; el motor da 8,7 veces porque su valor empresa lleva el float como deuda, y aun así está en el percentil 25. El PER de los últimos 12 meses (13,4 veces) está un 61 % por debajo de su media (34,5 veces) [48]. El descuento no es un error de precio puntual: es estructural. Hasta 2023 el mercado pagaba un crecimiento del EBITDA del 12 % anual sin riesgo regulatorio; hoy descuenta topes de comisión que ya se han aprobado en Italia y Brasil, una ley francesa en trámite y una investigación de la AGCM [1, 36, 52]. Además los tipos de 2026 son más altos (OAT al 4,0 % [56]) y el other revenue, que infló el beneficio de 2023-2025, depende de ellos. Volver a 15 veces exigiría demostrar que el crecimiento de 2027-28 es real y sin nuevos topes.</w:t>
      </w:r>
    </w:p>
    <w:p>
      <w:pPr>
        <w:pStyle w:val="Heading1"/>
      </w:pPr>
      <w:r>
        <w:t xml:space="preserve">18. Comparables cotizados</w:t>
      </w:r>
    </w:p>
    <w:p>
      <w:pPr>
        <w:pStyle w:val="Confianza"/>
        <w:spacing w:after="100"/>
      </w:pPr>
      <w:r>
        <w:t xml:space="preserve">Confianza: Media</w:t>
      </w:r>
    </w:p>
    <w:p>
      <w:pPr>
        <w:spacing w:after="100"/>
      </w:pPr>
      <w:r>
        <w:t xml:space="preserve">Seis cotizadas de pagos y tarjetas de empresa. Pluxee es el único rival directo en vales de beneficios; Corpay y WEX, en tarjetas de flota y pagos corporativos (la otra mitad de Edenred, Mobility); Nexi, Adyen y Global Payments, en procesamiento de pagos, para el negocio de pagos y la sensibilidad a tipos y regulación. Excluidas: Worldline (pérdidas recurrentes y deterioro de 5.100 M en 2025: PER negativo y múltiplos de reestructuración) [59], Sodexo (restauración colectiva, otro negocio tras escindir Pluxee), DKV y UTA (no cotizan), Swile (privada) y Shift4 (sin datos del mismo proveedor). Capitalización a 7-oct-2026 [60], estimaciones y deuda neta de MarketScreener [59], dólares al cambio del BCE del 6-oct-2026 [61].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Edenred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Pluxee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Adyen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Global Payments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 / 7,0x / 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 / 8,2x / 12,1x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13,2x / 17,1x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 / 3,3x / 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(5 comparables): múltiplo = 4,5 + 0,24 × crecimiento; R² = 0,59. Para el crecimiento esperado de la empresa (3,1 %), el múltiplo ajustado es 5,2x y el valor por acción, 7,77.</w:t>
      </w:r>
    </w:p>
    <w:p>
      <w:pPr>
        <w:spacing w:after="100"/>
      </w:pPr>
      <w:r>
        <w:t xml:space="preserve">Edenred cotiza a 13,3 veces el PER de los próximos 12 meses, en la mediana de los seis comparables (13,2 veces), y a 6,6 veces el EBITDA con su propia deuda neta frente a 7,1 veces de mediana; con el float como deuda, 8,6 veces. Crece menos (3,1 % de ventas en los próximos 12 meses, por la regulación, frente a 5,3 % de mediana) y gana más margen (44,3 % frente a 50,3 % de mediana, que eleva Adyen y Nexi). Nada justifica una prima ni un descuento grande: el mercado trata a Edenred como un procesador de pagos maduro. La muestra es frágil: Pluxee, su único rival directo, cotiza a 1,9 veces el EBITDA porque resta la caja de sus fondos de clientes, y Corpay y Adyen a 9-12 veces; la mediana va de 6,5 a 7,6 veces según quién entre. La regresión múltiplo-crecimiento (R² 0,59 con cinco puntos) da 7,77 EUR por acción, pero mezcla valores empresa con y sin float y no se usa. El PER, que no depende del puente, es el múltiplo útil: dice que la acción vale lo mismo que el sector, 27,40 EUR; por eso pesa un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Reward Gateway (plataforma de compromiso de empleados, Reino Unido y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de 1.150 M GBP (≈1.300 M EUR, financiados con un préstamo puente de 1.000 M EUR y 300 M EUR de caja); ventas 2023e de 95 M GBP y EBITDA de 45 M GBP: 25,6 veces antes de sinergias (cálculo con la nota) y 20 veces después de sinergias, según la empresa [62].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 (procesamiento de pagos, países nórdicos y Centroeuropa)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por canje de acciones: VE de 7.800 M EUR y valor de las acciones de 6.000 M EUR, ≈20 veces el EBITDA de 2020e, más un pago contingente de hasta 250 M EUR en acciones [63].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Ingenico (terminales y pagos a comercios)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Worldline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con 81 % en acciones y 19 % en efectivo; valor de las acciones de 7.800 M EUR, ≈15 veces el EBITDA de 2020e según la guía y prima del 24 % sobre la media ponderada de un mes [64]. La nota no da el VE.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 Group International (divisas y cuentas para empresas,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 de ≈2.200 M USD (1.600 M GBP); 42,50 GBP por acción, prima del 55 % sobre el precio sin perturbar del 1-may-2025. La nota no publica múltiplos [65].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20,0x (17,5x – 22,8x)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78,62 – 109,20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tres operaciones con múltiplo publicado (Reward Gateway 25,6x, Nets ≈20x e Ingenico ≈15x el EBITDA) son de 2020-2023, cuando el sector cotizaba a 15-25 veces; aplicadas a Edenred darían 93,04 EUR, una cifra sin relación con el mercado actual, y no pesan en el valor objetivo [62, 63, 64]. Lo relevante es el control: el 18-jun-2026 la empresa admitió aproximaciones exploratorias de fondos de capital privado (la prensa citó a BC Partners) y la acción subió un 17,6 % [35, 53]; Rock Investment (grupo de Xavier Niel) tiene opciones de compra sobre el 8,00 % ejercitables entre enero y mayo de 2027 [31]; y no hay accionista de referencia (capital flotante del 98 %). Una OPA no tiene bloqueo accionarial, pero sí regulatorio y de financiación: con 4.616 M de deuda neta ajustada, un comprador apalancado tendría que respetar los fondos de clientes. A 10 veces el EBITDA de 2026e (1.256 M), una oferta valdría ≈34 EUR por acción con la deuda de la empresa (estimación propia).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 proyección separa los dos motores de los ingresos (estimación propia). </w:t>
      </w:r>
      <w:r>
        <w:rPr>
          <w:b/>
        </w:rPr>
        <w:t xml:space="preserve">Ingresos operativos</w:t>
      </w:r>
      <w:r>
        <w:t xml:space="preserve">: +2,1 % en 2026e (1S26 +1,6 % publicado con 6,5 puntos de efecto regulatorio [6]), +6,0 % en 2027e (el efecto de Brasil solo dura dos meses más), +7,0 % en 2028e y bajada gradual hasta el 3,5 % en 2035e, frente al crecimiento intrínseco del 8,0 % del 1S26 y al 8,3 % de 2025 [6]. </w:t>
      </w:r>
      <w:r>
        <w:rPr>
          <w:b/>
        </w:rPr>
        <w:t xml:space="preserve">Other revenue</w:t>
      </w:r>
      <w:r>
        <w:t xml:space="preserve">: 210 M en 2026e (guía [6]); después, float de 1,62 veces los ingresos operativos (1,66 de media en 2025, menos por el plazo de 15 días en Brasil) a un rendimiento que baja del 4,3 % al 3,5 % con la Selic y el euríbor (5,0 % implícito en 2025 [1]). Los ingresos totales crecen un 1,3 % en 2026e, un 5,4 % en 2027e y un 6,5 % en 2028e: 1,2 %, 0,6 % y 0,2 % por encima del consenso [49].</w:t>
      </w:r>
    </w:p>
    <w:p>
      <w:pPr>
        <w:keepNext/>
        <w:spacing w:after="100"/>
      </w:pPr>
      <w:r>
        <w:rPr>
          <w:b/>
          <w:bCs/>
        </w:rPr>
        <w:t xml:space="preserve">Márgenes.</w:t>
      </w:r>
    </w:p>
    <w:p>
      <w:pPr>
        <w:spacing w:after="100"/>
      </w:pPr>
      <w:r>
        <w:t xml:space="preserve">El margen EBITDA operativo (sin other revenue) baja del 41,4 % de 2025 al 37,5 % en 2026e: es la guía (EBITDA ≈1.256 M, en la mitad alta de 1.230-1.270 M [6]). Sube al 39,6 % en 2027e y al 40,6 % en 2028e, con un EBITDA que crece un 9,6 % y un 8,1 %, dentro del +8 % / +12 % que la empresa confirma [6], y se queda en el 41,0 %, por debajo del 41,4 % de 2025: suponemos que el programa Fit for Growth y la escala compensan la inversión en IA, pero no que se recupere el margen anterior a los topes. El margen total, con el other revenue, pasa del 45,9 % (2025) al 41,9 % (2026e) y se estabiliza en el 44,2 %. El EBITDA queda un 0,2 %, un 2,0 % y un 2,2 % por encima del consenso en 2026-28 [49].</w:t>
      </w:r>
    </w:p>
    <w:p>
      <w:pPr>
        <w:keepNext/>
        <w:spacing w:after="100"/>
      </w:pPr>
      <w:r>
        <w:rPr>
          <w:b/>
          <w:bCs/>
        </w:rPr>
        <w:t xml:space="preserve">Inversión y circulante.</w:t>
      </w:r>
    </w:p>
    <w:p>
      <w:pPr>
        <w:spacing w:after="100"/>
      </w:pPr>
      <w:r>
        <w:t xml:space="preserve">Capex del 8,2 % de los ingresos en 2026e que baja al 7,7 %: el 6,7 % de 2025 (dentro del 6-8 % del plan Amplify25-28, sobre todo desarrollo de plataformas) [1] más ≈1,5 puntos de pagos de arrendamientos, porque con NIIF 16 el EBITDA no lleva los alquileres. La amortización baja del 8,8 % al 7,7 % de las ventas: la de 2025 (9,0 %) incluye 92 M de activos de adquisiciones que se agotan [1]. </w:t>
      </w:r>
      <w:r>
        <w:rPr>
          <w:b/>
        </w:rPr>
        <w:t xml:space="preserve">Circulante</w:t>
      </w:r>
      <w:r>
        <w:t xml:space="preserve">: −30 % de las ventas, el circulante sin float de 2024-2025 (−35,3 % y −31,5 %). El crecimiento del float no se cuenta como flujo libre, porque el float no se trata como caja libre (coherencia con el puente). Tipo impositivo del 33 % (32,7 % en 2025, 34,1 % en el 1S26) [1, 6].</w:t>
      </w:r>
    </w:p>
    <w:p>
      <w:pPr>
        <w:keepNext/>
        <w:spacing w:after="100"/>
      </w:pPr>
      <w:r>
        <w:rPr>
          <w:b/>
          <w:bCs/>
        </w:rPr>
        <w:t xml:space="preserve">Coste del capital.</w:t>
      </w:r>
    </w:p>
    <w:p>
      <w:pPr>
        <w:spacing w:after="100"/>
      </w:pPr>
      <w:r>
        <w:t xml:space="preserve">Tasa libre del 4,00 %: OAT francesa a 10 años, media de agosto de 2026 del BCE [56]. </w:t>
      </w:r>
      <w:r>
        <w:rPr>
          <w:b/>
        </w:rPr>
        <w:t xml:space="preserve">Beta de 1,00</w:t>
      </w:r>
      <w:r>
        <w:t xml:space="preserve">: frente al STOXX 600 sale 1,01 (mensual, 5 años) y frente al CAC 40 0,83; las semanales de 2 años dan 0,96-1,09 con los cuatro índices probados [48]. Elegimos el STOXX 600 porque Edenred salió del CAC 40 en diciembre de 2025 [27], factura un 60 % en Europa y un 30 % en Latinoamérica y su accionariado es internacional; el CAC 40, concentrado en lujo y energía, no es su mercado. Con 0,83 el valor sería 55,06 EUR; con 1,09, 41,80. Prima de mercado del 5,5 % más 0,8 puntos de riesgo regulatorio específico (topes de comisión en sus tres mayores mercados de comida). Coste de la deuda del 4,2 % antes de impuestos (cupones del 3,25-3,625 % y rating A− [1, 5]); peso de la deuda del 22 % con la deuda neta de la empresa a precios de mercado. Coste de los fondos propios del 10,3 %; WACC del 8,65 %.</w:t>
      </w:r>
    </w:p>
    <w:p>
      <w:pPr>
        <w:keepNext/>
        <w:spacing w:after="100"/>
      </w:pPr>
      <w:r>
        <w:rPr>
          <w:b/>
          <w:bCs/>
        </w:rPr>
        <w:t xml:space="preserve">Valor terminal.</w:t>
      </w:r>
    </w:p>
    <w:p>
      <w:pPr>
        <w:spacing w:after="100"/>
      </w:pPr>
      <w:r>
        <w:t xml:space="preserve">Crecimiento a perpetuidad del 2,5 % en euros: inflación esperada del 2 % y medio punto real, coherente con la OAT al 4,00 % (por debajo de la tasa libre menos medio punto). Es menos que el 3,5 % del último año explícito y que el crecimiento nominal de los mercados de beneficios a empleados, porque la regulación limita el precio. El múltiplo de salida implícito es de 9,6 veces el EBITDA (con el float como deuda), por debajo de la media histórica de 15,8 veces y cerca de los comparables; con un múltiplo de 10 veces el valor terminal sería de 20.774 M frente a los 19.939 M de Gordon: los dos métodos difieren un 4 %.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 M (-6 % del NOPAT)</w:t>
            </w:r>
          </w:p>
        </w:tc>
      </w:tr>
    </w:tbl>
    <w:p>
      <w:pPr>
        <w:spacing w:after="160" w:before="0"/>
      </w:pPr>
    </w:p>
    <w:p>
      <w:pPr>
        <w:spacing w:after="100"/>
      </w:pPr>
      <w:r>
        <w:t xml:space="preserve">La proyección apenas necesita inversión neta de la amortización (reinversión acumulada de -565 M, con un capex bruto medio del 7,8 % de las ventas). En un negocio de activos ligeros, el crecimiento medio del 4,8 %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operativos +2,1 %: crecimiento intrínseco del 8,0 % del 1S26 (volumen de negocio a comisión media constante) menos 6,5 puntos de los topes de Italia y Brasil [6, 7]; ponderados por su 92 % del total. Otros: el other revenue baja de 229 a ≈210 M por los tipos y el plazo de 15 días en Brasil (−0,6 puntos), compensado en parte por divisa y perímetro (+0,5) [6]. Reparto,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operativos +6,0 %: volumen al 7 %, algo por debajo del intrínseco del 8,0 % [6], y un punto de precio porque el tope brasileño aún resta enero y febrero frente a 2026 [13]. Other revenue plano: más float con un rendimiento que baja del 5,0 % implícito al 4,3 %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operativos +7,0 %, todo volumen: empleo formal, penetración en pymes (más de 700.000 usuarios nuevos en 2025) y valores faciales ligados al IPC (más del 50 % del volumen de comidas los sube en 2026) [1, 12]. Precio sin cambios: supone que la ley francesa sale sin tope, como la propuesta actual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operativos +6,5 %, en la banda del 5-7 % que la empresa prevé para su mercado atendido [1]; el rendimiento del float baja al 3,8 % y lo compensa el mayor float.</w:t>
            </w:r>
          </w:p>
        </w:tc>
      </w:tr>
    </w:tbl>
    <w:p>
      <w:pPr>
        <w:spacing w:after="160" w:before="0"/>
      </w:pPr>
    </w:p>
    <w:p>
      <w:pPr>
        <w:spacing w:after="100"/>
      </w:pPr>
      <w:r>
        <w:t xml:space="preserve">En parte. El volumen se sostiene: 49.000 M de volumen de negocio en 2025 (+9 %), el doble que Pluxee, con una penetración inferior al 40 % en sus mercados históricos y volúmenes de comidas en Brasil e Italia por encima del +10 % en el 1S26 pese a los topes [1, 6, 21]. La reinversión no es la prueba: el circulante negativo financia el crecimiento. El precio, en cambio, no depende de Edenred: tres reguladores han actuado en dos años y la comisión media ya bajaba antes (volumen +9 % frente a ingresos +6,2 % en 2025) [1, 13, 19]. El foso es estrecho y se estrecha. No hay perímetro comparable para la cuota: la del 35 % es solo Francia [14].</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(base: 5,1 %)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 (base: 44,2 %)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 (WACC: 8,7 %)</w:t>
            </w:r>
          </w:p>
        </w:tc>
      </w:tr>
    </w:tbl>
    <w:p>
      <w:pPr>
        <w:spacing w:after="160" w:before="0"/>
      </w:pPr>
    </w:p>
    <w:p>
      <w:pPr>
        <w:spacing w:after="100"/>
      </w:pPr>
      <w:r>
        <w:t xml:space="preserve">El DCF da </w:t>
      </w:r>
      <w:r>
        <w:rPr>
          <w:b/>
        </w:rPr>
        <w:t xml:space="preserve">45,84 EUR por acción</w:t>
      </w:r>
      <w:r>
        <w:t xml:space="preserve">, un 66,0 % sobre el precio, con un WACC del 8,65 % y el valor terminal como el 59 % del valor empresa (15.627 M). La proyección es la del consenso (EBITDA un 0,2-2,2 % por encima en 2026-28): la diferencia con el precio no viene de las cifras, sino de lo que se exige a la acción. </w:t>
      </w:r>
      <w:r>
        <w:rPr>
          <w:b/>
        </w:rPr>
        <w:t xml:space="preserve">El DCF inverso</w:t>
      </w:r>
      <w:r>
        <w:t xml:space="preserve"> dice que el precio de 27,61 EUR descuenta un crecimiento de los ingresos del 1,2 % anual en 2027e-2035e (frente al 5,1 % del caso base y al 11,5 % anual de 2018-2025), o un margen EBITDA del 33,9 % (frente al 44,2 % del caso base y al 45,9 % de 2025), o una rentabilidad anual del 10,9 % con nuestros flujos, 2,3 puntos por encima del WACC. Es un precio conservador: supone que la regulación se lleva casi todo el crecimiento de una década o diez puntos de margen, cuando la guía de la empresa para 2027-28 es crecer el EBITDA un 8-12 % y Brasil e Italia ya están dentro de 2026. </w:t>
      </w:r>
      <w:r>
        <w:rPr>
          <w:b/>
        </w:rPr>
        <w:t xml:space="preserve">El float decide mucho</w:t>
      </w:r>
      <w:r>
        <w:t xml:space="preserve">: con el criterio de la empresa (su caja como libre y su rendimiento fuera del EBITDA, para no contarlo dos veces) el DCF sube a 60,72 EUR, y sin quitar ese rendimiento, como hace la convención del mercado, a 66,93. Nos quedamos con el criterio prudente. Cada 100 puntos básicos menos de rendimiento del float restan 2,60 EUR por acción (43,24) y una caída del 10 % del real brasileño 1,39 EUR (44,45).</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aprueba en 2027 un tope de comisión que el texto actual descarta, como ya hicieron Italia (5 %) y Brasil (3,6 %) [13, 15, 19], y la interoperabilidad brasileña de noviembre de 2026 recorta cuota: en 2028e el crecimiento cae 6 puntos y el margen 4 puntos, y en todo el periodo el crecimiento es 2,5 puntos menor y el margen 3 puntos menor (crecimiento medio del 2,2 % y margen final del 41,2 %), con un terminal del 1,5 %. Es lo que ya ha pasado en 2026: el EBITDA cae un 7-10 % en un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 es el valle (EBITDA ≈1.256 M, guía [6]); en 2027-28 el EBITDA crece un 9,6 % y un 8,1 %, en la parte baja del +8 % / +12 % de la empresa, con ingresos operativos al 6-7 % y el other revenue plano en ≈205-210 M porque los tipos bajan. Después el crecimiento se modera hasta el 3,5 % y el margen se queda en el 44,2 %. Coincide con el consenso [49].</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ley francesa sale sin tope y digitaliza el mercado desde 2028 (el formato en papel es el más barato para los competidores pequeños) [15], Mobility sigue creciendo a doble dígito [6] y Fit for Growth devuelve un punto de margen: crecimiento 1,5 puntos mayor (6,6 % de media) y margen final del 45,2 %, con un terminal del 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27,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42,03 EUR (+52,2 %).</w:t>
      </w:r>
    </w:p>
    <w:p>
      <w:pPr>
        <w:spacing w:after="100"/>
      </w:pPr>
      <w:r>
        <w:t xml:space="preserve">El valor ponderado de los tres escenarios es de 42,03 EUR. El bajista (23,10 EUR, −16,3 %) está por encima del mínimo de 52 semanas (15,23 EUR) [48], y el alcista (60,90 EUR, +120,6 %) da una asimetría de 7,40 veces: se gana mucho más de lo que se pierde. La asimetría es tan grande porque el precio ya descuenta casi el bajista: un crecimiento del 1,2 % anual frente al 2,2 % del escenario bajista. El bajista no es cosmético: suma un tercer tope de comisión en el mercado más rentable del grupo y una pérdida permanente de crecimiento y de margen; aun así deja la acción solo un 16 % más abajo, porque el EBITDA de 2026 ya incorpora el golpe de Italia y Brasil. Le damos un 30 % de probabilidad, más que al alcista (20 %), porque tres reguladores ya han actuado en dos años.</w:t>
      </w:r>
    </w:p>
    <w:p>
      <w:pPr>
        <w:pStyle w:val="Heading1"/>
      </w:pPr>
      <w:r>
        <w:t xml:space="preserve">22. Suma de partes</w:t>
      </w:r>
    </w:p>
    <w:p>
      <w:pPr>
        <w:pStyle w:val="Confianza"/>
        <w:spacing w:after="100"/>
      </w:pPr>
      <w:r>
        <w:t xml:space="preserve">Confianza: Media</w:t>
      </w:r>
    </w:p>
    <w:p>
      <w:pPr>
        <w:spacing w:after="100"/>
      </w:pPr>
      <w:r>
        <w:t xml:space="preserve">No aplica. Las tres líneas (Benefits &amp; Engagement, Mobility y Payment Solutions &amp; New Markets) comparten plataforma, red de comercios y clientes, y la empresa solo publica su EBITDA desde 2024 [1, 6]. Una suma de partes con Mobility a múltiplos de Corpay (≈11 veces) y Benefits a los de Pluxee (≈2 veces, deformado por su caja de float) daría una horquilla demasiado amplia para ser útil.</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27,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42,22 EUR (+52,9 % sobre 27,61).</w:t>
      </w:r>
    </w:p>
    <w:p>
      <w:pPr>
        <w:spacing w:after="100"/>
      </w:pPr>
      <w:r>
        <w:rPr>
          <w:b/>
        </w:rPr>
        <w:t xml:space="preserve">Pesos</w:t>
      </w:r>
      <w:r>
        <w:t xml:space="preserve">: DCF 55 %, escenarios 35 % y comparables 10 %; las transacciones no pesan. El DCF es el método más fiable porque permite separar el float (puente) de su rendimiento (EBITDA) y modelar la regulación año a año; los escenarios recogen el riesgo regulatorio, que es la variable que el mercado está descontando. Los comparables pesan poco porque cada uno trata su caja de clientes de forma distinta (Pluxee a 1,9 veces el EBITDA) y porque el mercado de pagos entero cotiza deprimido; su lectura útil es el PER (27,40 EUR por acción). Las transacciones de 2020-2023 (93,04 EUR) están fuera de mercado. </w:t>
      </w:r>
      <w:r>
        <w:rPr>
          <w:b/>
        </w:rPr>
        <w:t xml:space="preserve">Puente</w:t>
      </w:r>
      <w:r>
        <w:t xml:space="preserve"> (30-jun-2026): deuda neta de la empresa de 1.764 M, más 2.739 M de caja financiada por el float que no tratamos como libre (−11,96 EUR por acción frente al criterio de la empresa), más 113 M de recompras de julio a septiembre; minoritarios a 12 veces su beneficio de 2025 (43 M), 516 M en vez de 122 M de valor contable (−1,72 EUR por acción), porque son participaciones en Brasil que ganan dinero [1, 5]. La dispersión es grande: de 22,95 EUR (comparables) a 45,84 (DCF), y el precio objetivo medio de los analistas es de 30,57 [49].</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(11.9x) × 1.1 (tope: la mediana de 5 años, 27.8x,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+83,7 %</w:t>
            </w:r>
          </w:p>
        </w:tc>
      </w:tr>
    </w:tbl>
    <w:p>
      <w:pPr>
        <w:spacing w:after="160" w:before="0"/>
      </w:pPr>
    </w:p>
    <w:p>
      <w:pPr>
        <w:spacing w:after="100"/>
      </w:pPr>
      <w:r>
        <w:rPr>
          <w:b/>
          <w:bCs/>
        </w:rPr>
        <w:t xml:space="preserve">Objetivo a 12 meses (ponderado):</w:t>
      </w:r>
      <w:r>
        <w:t xml:space="preserve"> 33,24 EUR · rentabilidad +25,2 % (base +28,2 %) · señal Comprar.</w:t>
      </w:r>
    </w:p>
    <w:p>
      <w:pPr>
        <w:spacing w:after="100"/>
      </w:pPr>
      <w:r>
        <w:t xml:space="preserve">Para comparar, con la regla v2 (historia al cierre, mismo precio): 8,9x / 11,9x / 15,5x, 11,6 % Mantener; con el tope anterior del base (×1,3, 14-oct mediodía): 47,1 % Comprar. Decide la regla vigente (v3 con tope ×1,1; METODO-VIGENTE.md).</w:t>
      </w:r>
    </w:p>
    <w:p>
      <w:pPr>
        <w:keepNext/>
        <w:spacing w:after="100"/>
      </w:pPr>
      <w:r>
        <w:rPr>
          <w:b/>
          <w:bCs/>
        </w:rPr>
        <w:t xml:space="preserve">Frente al consenso (solo contraste).</w:t>
      </w:r>
    </w:p>
    <w:p>
      <w:pPr>
        <w:spacing w:after="100"/>
      </w:pPr>
      <w:r>
        <w:t xml:space="preserve">Nuestro BPA base de 2028e (2,60) se separa un +7,4 % del consenso (2,42) y nuestro precio base (30,94) un +1,2 % del objetivo medio de los analistas (30,57).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42,22 (+52,9 %) frente al objetivo a 12 meses ponderado 29,49 (+11,6 % con dividendo; base +16,9 %).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en la Asamblea Nacional de la proposición de ley 2892 sobre el título restaurante (procedimiento acelerado desde el 28-sep) [15, 16]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marco francés: solo digital desde 2028, uso en cualquier alimento, prohibición de descuentos a las empresas y transparencia de comisiones; el texto descarta un tope. Una enmienda que lo introduzca sería el riesgo; sin tope, despeja la mayor incógnita regulatoria que queda.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3T26 [6]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completo con Brasil en red abierta (desde el 11-may) y último con efecto residual de Italia; mide si el crecimiento intrínseco aguanta en torno al 8 %.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Interoperabilidad plena del PAT en Brasil (360 días desde el decreto 12.712) [13]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Cualquier tarjeta podrá aceptarse en cualquier red: presión adicional sobre la comisión y sobre la cuota en comida en Brasil (≈10 % de los ingresos operativos)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4-ene a 31-may-2027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Ventana de ejercicio de las opciones de compra de Rock Investment (grupo de Xavier Niel) sobre el 8,00 % del capital [31]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elige la entrega física, entra un accionista de referencia con el 8 % en una empresa con el 98 % de capital flotante; con las aproximaciones de fondos admitidas el 18-jun-2026 [35], sostiene la opción de una operación corporativa.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confirmación de la guía de 2027 (EBITDA +8 % / +12 % comparable, conversión ≥65 %) [6]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prueba de que 2026 fue el valle: el precio descuenta poco crecimiento, así que confirmar la guía con la regulación brasileña completa es la principal palanca de revalorización.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 de la ABBT ante el Supremo de Brasil contra el decreto del PAT [5]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suspensión del tope devolvería parte de los ≈20 puntos de EBITDA que Italia y Brasil restan en 2026; una confirmación cierra la puerta.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 la AGCM italiana por abuso de posición dominante en vales de comida (abierta en marzo de 2026) y nuevo juicio en París de la multa francesa de 2019 [1, 36]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Multas posibles de un orden de magnitud similar a la de 2019 (158 M EUR, 0,68 EUR por acción) y demandas de daños de comercios.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Hasta nov-2027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mandato de 50 M EUR hasta el 31-oct-2026 con intención de ampliarlo a 100 M EUR hasta el 30-nov-2027 [37]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la deuda neta de la empresa en 1.764 M a jun-26 y el A− confirmado, hay margen para recomprar más; cada 100 M EUR son ≈1,5 % del capital al precio actual.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Tope de comisión en Francia (tercer gran mercado de comida, ≈7 % de los ingresos operativos)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(escenario bajista: 23,10 frente a 45,84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proposición de ley 2892 descarta expresamente el tope y solo exige transparencia de comisiones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Enmiendas en la Asamblea (sesión del 12-oct-2026) o en el Senado que fijen un tope.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Interoperabilidad y red abierta en Brasil erosionan cuota y comisión más allá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 por cada punto de crecimiento perdido en todo el periodo (40,63 EUR en la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mantuvo un crecimiento de doble dígito del volumen en Brasil en el 1S26 [6]; Mobility en Brasil (Ticket Log) no está afectada.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Latinoamérica por debajo de cero después de noviembre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en Brasil y la eurozona: el other revenue (17 % del EBITDA) cae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−5,7 % por cada 100 pb de rendimiento del float (43,24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cubre parte con swaps en BRL y MXN [1]; el float crece con el volumen.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Other revenue trimestral por debajo de 50 M (56 M en el 2T26 [6]).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float se encoge por nuevas reglas de plazo de pago a comercios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Liquidez</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1.000 M de float que se devuelve sube la deuda neta de la empresa en 4,4 EUR por acción y quita ≈40 M de other revenue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 línea de crédito de 900 M hasta 2031 y sin covenants [1,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Float neto por debajo de 4.000 M en un cierre de junio (4.357 M en jun-26 [7]).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Multas de competencia: AGCM en Italia (abierta en marzo de 2026) y nuevo juicio de la multa francesa de 2019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−0,7 EUR por acción por cada 158 M de multa (la de 2019)</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multa francesa ya está pagada; el Supremo anuló la sentencia que la confirmaba [1,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Pliego de cargos de la AGCM o demandas de daños de comercios en Francia con cuantía.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Real brasileño: Brasil es el 21,1 % de los ingresos operativos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por una caída del 10 % del BRL (−25 M de EBIT al año [1]; 44,45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e ingreso en la misma divisa; coberturas parciales del float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EUR/BRL por encima de 7,0 (5,90 a 30-jun-2026 [7]).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beta y tasa libre más altas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con una beta de 1,09 (41,80 EUR); −21 % con un WACC 1 punto mayor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ya implica una rentabilidad anual del 10,9 %.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OAT a 10 años por encima del 4,5 %.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Asignación de capital: volver a comprar caro (Reward Gateway a 25,6x)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 EUR por acción por cada 1.000 M pagados a 20 veces un EBITDA que rinde la mitad del WACC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Prioridad actual a recompras (600 M hasta 2027) y rating A− [37].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una compra de más de 500 M o de un aumento de la deuda neta de la empresa por encima de 2x el EBITDA.</w:t>
            </w:r>
          </w:p>
        </w:tc>
      </w:tr>
    </w:tbl>
    <w:p>
      <w:pPr>
        <w:spacing w:after="160" w:before="0"/>
      </w:pPr>
    </w:p>
    <w:p>
      <w:pPr>
        <w:pStyle w:val="Heading2"/>
      </w:pPr>
      <w:r>
        <w:t xml:space="preserve">Pre-mortem</w:t>
      </w:r>
    </w:p>
    <w:p>
      <w:pPr>
        <w:spacing w:after="100"/>
      </w:pPr>
      <w:r>
        <w:t xml:space="preserve">Octubre de 2029: la acción ha perdido un 40 % y cotiza a 16-17 EUR. La historia más probable empieza en el Senado francés, que en la primavera de 2027 añade a la ley del título restaurante un tope a la comisión del comercio para compensar a los restaurantes por la digitalización obligatoria de 2028; Edenred, con un 30-40 % del mercado francés [14], pierde en dos años un margen parecido al de Italia. Al mismo tiempo la interoperabilidad brasileña de noviembre de 2026 convierte los vales en un medio de pago más: los grandes bancos y las fintech ganan cuota en comida con comisiones del 1-2 % y el negocio de comida en Brasil deja de crecer. La Selic baja del 15 % al 9 % y el other revenue cae de 210 a 150 M. La guía de 2027 (+8 % / +12 %) se incumple por primera vez desde 2020 y el mercado deja de creer en el «intrínseco». La empresa responde con una compra grande en movilidad para recuperar crecimiento, financiada con deuda, y S&amp;P revisa la perspectiva. Los indicadores que lo habrían anticipado: enmiendas al texto francés con un tope, el crecimiento orgánico de Latinoamérica tras noviembre de 2026, el other revenue trimestral por debajo de 50 M y la guía de 2027 en los resultados del 2-mar-2027.</w:t>
      </w:r>
    </w:p>
    <w:p>
      <w:pPr>
        <w:pStyle w:val="Heading1"/>
      </w:pPr>
      <w:r>
        <w:t xml:space="preserve">26. ESG y controversias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 Ratings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(estable frente a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13,04 – riesgo bajo (15,2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71/100 (+6 puntos); en el DJSI World y Europe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(estable)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Prime; transparencia E:1 S:1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77/100, medalla de oro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FTSE4Good (FTSE Russell)</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3,7/5</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Lo material es la </w:t>
      </w:r>
      <w:r>
        <w:rPr>
          <w:b/>
        </w:rPr>
        <w:t xml:space="preserve">gobernanza de un producto que vive de la ventaja fiscal</w:t>
      </w:r>
      <w:r>
        <w:t xml:space="preserve">: los títulos restaurante cuestan al Estado francés ≈1.500 M EUR al año en exenciones [14], y en Brasil la exención alcanza cargas de hasta el 100 % del salario fijo [1]; esa dependencia es la que justifica la intervención sobre las comisiones. El segundo asunto es la </w:t>
      </w:r>
      <w:r>
        <w:rPr>
          <w:b/>
        </w:rPr>
        <w:t xml:space="preserve">conducta competitiva</w:t>
      </w:r>
      <w:r>
        <w:t xml:space="preserve">: Edenred acumula sanciones o expedientes en Francia, Italia, Chequia, Turquía y Chile [1, 5]. El tercero es la </w:t>
      </w:r>
      <w:r>
        <w:rPr>
          <w:b/>
        </w:rPr>
        <w:t xml:space="preserve">protección de fondos de clientes y la ciberseguridad</w:t>
      </w:r>
      <w:r>
        <w:t xml:space="preserve">: 1.618 M EUR de caja restringida a 30-jun-2026 y riesgo de fraude en una plataforma de pagos [6]. El clima pesa poco en las cifras: las emisiones de alcance 1 y 2 por superficie han caído un 78 % frente a 2013 y los objetivos están validados por SBTi; la nueva línea de crédito de 900 M EUR liga su coste a la reducción de emisiones [1, 6].</w:t>
      </w:r>
    </w:p>
    <w:p>
      <w:pPr>
        <w:pStyle w:val="Heading2"/>
      </w:pPr>
      <w:r>
        <w:t xml:space="preserve">Controversias</w:t>
      </w:r>
    </w:p>
    <w:p>
      <w:pPr>
        <w:spacing w:after="100"/>
      </w:pPr>
      <w:r>
        <w:t xml:space="preserve">Francia: multa de 158 M EUR de la Autoridad de la Competencia (dic-2019), pagada en 2021; el Supremo anuló la sentencia de apelación el 15-oct-2025, Edenred recurrió de nuevo el 16-ene-2026 y afronta demandas de daños de comercios y fondos de litigios [1]. Italia: expediente A578 de la AGCM por abuso de posición dominante (marzo de 2026) y causa penal Consip con ≈20 M EUR embargados y juicio previsto en 2027 [5]. Brasil: litigio contra el decreto 12.712 [5]. Chile: denuncia de la FNE (mayo de 2026) con clemencia y sin multa para Edenred; Chequia: multa de 4,1 M EUR reimpuesta en julio de 2025 y recurrida [1, 5]. No hay provisiones dotadas.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Float y caja libre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3.319 M de efectivo y activos financieros de junio de 2026 corresponde a fondos de clientes sin restricción legal, y en qué escenario regulatorio (como el plazo de 15 días de Brasil) tendría que inmovilizarse o devolverse?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cifra que más mueve el puente: 2.739 M (11,96 EUR por acción) según se trate como caja libre o como pasivo operativo.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del float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sensibilidad tiene el other revenue a 100 pb de tipos en euros y en reales, y qué cobertura tiene la cartera (plazos, swaps en BRL y MXN)?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URD no la publica [1]; el other revenue es el 17 % del EBITDA de 2025 y cae si bajan la Selic y el euríbor.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 tras la interoperabilidad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de comida en Brasil queda tras el tope del 3,6 % y la red abierta, y qué cuota se pierde cuando la interoperabilidad sea plena en noviembre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comida es ≈10 % de los ingresos operativos y el golpe de 2026 se concentra ahí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ley francesa termina con un tope de comisión (lo que el texto actual descarta), ¿qué parte del ≈7 % de los ingresos operativos que es comida en Francia estaría expuesta?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escenario bajista: Italia y Brasil ya han demostrado que los topes se aprueban.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Operación corporativa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contestó el consejo a las aproximaciones de fondos de junio de 2026 y qué pretende Rock Investment con sus opciones sobre el 8 %?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transacciones del sector se pagan a 15-20x EBITDA frente a ≈6x de Edenred; la prima de control es el alcista más claro.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conversión ≥65 % de 2027-28 viene del crecimiento del float y cuál del negocio, si el plazo de pago a comercios se acorta en otros países?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libre que publica la empresa incluye la variación del float; nuestro DCF no la cuenta.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el plan de acciones de rendimiento mide el EBITDA y no el ROIC o el flujo libre por acción, con un 23-34 % de votos en contra en tres juntas?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Premiar EBITDA favorece comprar crecimiento (Reward Gateway, 1.150 M GBP en 2023).</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25 controles correctos y 6 explicados. Fuentes: 65 (47 primarias); citas distintas en el texto: 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42,3 %: explica la causa (créditos fiscales, regularizaciones, mezcla de países) y no lo proyectes en el DCF. Explicación: El 42,3 % de 2023 se debe al deterioro de 158 M del activo por la multa francesa de 2019, registrado en «otros ingresos y gastos» y no deducible [1, 2]. Sin él, el tipo se queda en el 32-34 % habitual (Brasil y retenciones). El DCF usa el 33 %.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28 (¿asociadas o extraordinarios?). Explicación: Edenred deja los «otros ingresos y gastos» (reestructuración, deterioros, costes de adquisición: −28, −25, −195 y −46 M en 2020, 2021, 2023 y 2025) y la participación en asociadas por debajo del EBIT [1, 2, 3, 4]. El EBITDA y el EBIT son los que publica la empresa y los que usa el consenso; la diferencia está en financieros.ajustes.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25 (¿asociadas o extraordinarios?). Explicación: Edenred deja los «otros ingresos y gastos» (reestructuración, deterioros, costes de adquisición: −28, −25, −195 y −46 M en 2020, 2021, 2023 y 2025) y la participación en asociadas por debajo del EBIT [1, 2, 3, 4]. El EBITDA y el EBIT son los que publica la empresa y los que usa el consenso; la diferencia está en financieros.ajustes.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195 (¿asociadas o extraordinarios?). Explicación: Edenred deja los «otros ingresos y gastos» (reestructuración, deterioros, costes de adquisición: −28, −25, −195 y −46 M en 2020, 2021, 2023 y 2025) y la participación en asociadas por debajo del EBIT [1, 2, 3, 4]. El EBITDA y el EBIT son los que publica la empresa y los que usa el consenso; la diferencia está en financieros.ajustes.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46 (¿asociadas o extraordinarios?). Explicación: Edenred deja los «otros ingresos y gastos» (reestructuración, deterioros, costes de adquisición: −28, −25, −195 y −46 M en 2020, 2021, 2023 y 2025) y la participación en asociadas por debajo del EBIT [1, 2, 3, 4]. El EBITDA y el EBIT son los que publica la empresa y los que usa el consenso; la diferencia está en financieros.ajustes.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-30,0 % frente a -31,5 % real: genera una variación de circulante de 33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6,5x a 7,6x según qué comparable se quite (15,30 a 21,68 por acción): la muestra es frágil; explícalo y no le des mucho peso. Explicación: Pluxee cotiza a 1,9x EV/EBITDA porque resta de su deuda la caja de sus fondos de clientes, y Corpay y Adyen a 9-12x: la mediana depende de quién entre. Además, el valor empresa de Edenred lleva el float como deuda y el de los comparables no. Por eso los comparables pesan solo un 10 % y se lee sobre todo el PER (13,3x frente a 13,2x de mediana), que no depende del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11,4 %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57,7 %, asimetría de 7,40, bajista del -16,3 % y el precio descuenta 3,9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fuentes (47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del 1S26 y de 2025 (transcripciones)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Edenred (solo publica presentaciones y notas de prensa en los documentos descargados); 2) búsqueda de transcripciones (roic.ai aparece en el buscador, de pago); 3) no se intentó una tercera vía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Sensibilidad del other revenue a los tipos de interés (p. ej., ±100 pb)</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nota 6.6 y capítulo 5 de riesgos (solo da la sensibilidad de la deuda: ∓12 M EUR por ±100 pb); 2) informe semestral 1S26 y nota de prensa; 3) presentación del 1S26 (solo cualitativo: «decrease of interest rates, but lower than expected»)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rendimiento implícito del float (≈5,0 %) se calculó y se marcó como estimación propia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Peso de Brasil en el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nota 4 (solo ingresos operativos por país: Brasil 576 M EUR, 21,1 %); 2) presentación del 1S26 (Meal &amp; Food de Brasil ≈10 % de los ingresos operativos); 3) notas de prensa sobre el PAT (9,5 % de los ingresos operativos de 2024 y 10 % de 2025, sin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Impacto cuantificado de la reforma francesa de los títulos restaurante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apartado de entorno regulatorio; 2) nota de prensa y presentación del 1S26; 3) informe semestral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y múltiplo de UTA, CSI, TRFC, GOintegro, RB, Spirii, IP Plus y TMH Solutions por separado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las URD 2019, 2023 y 2025 (solo dan la asignación del precio y el fondo de comercio); 2) estados de flujos (salida de caja agregada por año: 757 M EUR en 2019, 504 M en 2024); 3) notas de prensa del 1S26 (TMH sin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dan el fondo de comercio y la salida de caja agregada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de principal de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 de flujos de las URD (no hay línea propia); 2) nota 6.5 de deuda neta (variación agregada); 3) aproximado por la amortización de derechos de uso (nota 5.6)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del 1S24, 2S24 y 2S25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1S25 (solo 1S25 frente a 1S24); 2) URD 2025 (solo anual); 3) nota de prensa del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Groupe Up (Up Coop): ingresos y margen EBIT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y «Upcoop en bref 2025-2026» en groupe.up.coop: HTTP 403 con descargar.mjs, WebFetch y curl; 2) reporting de durabilidad 2025 en el mismo dominio: 403; 3) búsqueda en prensa: solo una cifra de 858 M EUR de ingresos sin documento original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Alelo, VR y Bimpli-Swile: ingresos y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propias: no cotizan ni publican cuentas consolidadas accesibles; 2) informe de la Asamblea Nacional y dictamen de la Autoridad de la Competencia: solo rangos de cuota en Francia; 3) prensa brasileña: solo la cuota conjunta de los cuatro grandes (≈80 %)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DKV Mobility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resultados 2025 en la web de DKV: sin nota de resultados; 2) registro de lobby del Bundestag: solo cuentas de 2024; 3) prensa: sin cifras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2024, último ejercicio publicado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brasileño del PAT en fuente oficial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del Ministério do Trabalho y Casa Civil sobre el decreto: página restringida o CAPTCHA; 2) Planalto (preguntas y respuestas): CAPTCHA; 3) prensa (InvestNews): &gt;150.000 M BRL al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la prensa, citada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italiano de buoni pasto en EUR y del mercado europeo de tarjetas de flota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ANSEB (nota de enero de 2025 en Teleborsa): sin volumen total; 2) Sky TG24: trabajadores y comercios, sin volumen; 3) cuentas de DKV y Edenred: solo volúmenes propios, sin estadística de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anual del mercado francés 2019-2025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CNTR (comunicados): solo cifras sueltas (8.500 M EUR utilizados, 2023); 2) informe 552 de la Asamblea: 9.500 M EUR en 2022 y ≈10.000 M EUR en 2024, gráfico sin tabla; 3) búsqueda de estadística anual de la CNTR: no publicada en abierto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con dos puntos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del CFO y de los demás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capítulo 6 (solo publica las acciones de los consejeros); 2) declaraciones de directivos de la AMF (dan operaciones, no saldos); 3) notas de resultados y presentaciones (no las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2021: rango de EBITDA anunciado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de 2021 (dice «extremo alto del rango» sin cifras); 2) URD 2025 (no recoge la guía de 2021); 3) búsqueda en la lista de notas de prensa (no se descargó la semestral de 2021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cláusula de recuperación (clawback) del variable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sección 6.2 de remuneraciones (búsqueda de «clawback», «claw», «reclaim», «restitution»: sin resultados); 2) tabla ex post de 2025 y política de 2026 del mismo documento (no la mencionan); 3) nota de prensa de la junta de 2026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dice que el informe no la menciona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OAT a 10 años a la fecha de corte (dato diario)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Webstat de la Banque de France (TEC 10 diario): los registros no son públicos sin clave; 2) página de tipos indicativos de la Banque de France: 403 antibot; 3) BCE: no hay serie diaria del bono francés; se usa la media mensual oficial de agosto de 2026 (4,00 %), último dato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consenso a 3 y 12 meses en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(revisiones): datos solo en gráficos SVG; 2) Investing: sin histórico de revisiones; 3) prensa (guías del 4-nov-2025 y del 23-jul-2026, consenso de la empresa del 1S26): se describe en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operaciones recientes (Corpay-Alpha, WEX, Swile-Bimpli, TMH Solutions por Edenred)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oficiales (8-K de Corpay; nota del 1S26 de Edenred sobre TMH): sin múltiplo ni precio; 2) búsqueda de prensa de Swile-Bimpli y compras de WEX: sin múltiplo oficial; 3) se incluyen sin múltiplo (Alpha) o se omiten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2025 Universal Registration Document (incluye el informe financiero anual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https://www.edenred.com/system/files/documents/edenred-deu-2025-uk.pdf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 2023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https://www.edenred.com/system/files/documents/2023-2024-en-urd-edenred-mel.pdf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2021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https://www.edenred.com/system/files/documents/2021-2022-en-edenredurd2021defmel220329.pdf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2019 Universal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https://www.edenred.com/system/files/documents/2019-2020-en-edenredurd2019def.pdf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2026 Half-Year Financial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https://www.edenred.com/system/files/documents/edenred-2026-half-year-financial-report.pdf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nota de prensa de resultados del 1S26 (con anexo de 2025 reexpresado por líneas de negocio)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https://www.edenred.com/system/files/documents/pr-23-07-2026-edenred-h1-2026-final-version.pdf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presentación de resultados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https://www.edenred.com/system/files/documents/2026-07-23-h1-2026-results_eng.pdf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2025 Half-Year Financial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https://www.edenred.com/system/files/documents/edenred-rfs-va-2025-23-07.pdf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nota de prensa sobre el nuevo marco del PAT en Brasil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https://www.edenred.com/system/files/documents/pr-bresil-20251112-vf.pdf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nota de prensa sobre la decisión del Tribunal Regional Federal (PAT, Brasil)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https://www.edenred.com/system/files/documents/pr-brazil-20260225-version-finale.pdf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2017 Registration Document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https://www.edenred.com/system/files/documents/2017-2018-en-edenreddocumentdereference2017def.pdf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https://www.edenred.com/system/files/documents/2026-02-24-fy-2025-results-presentation-vdef.pdf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Decreto n.º 12.712, de 11 de noviembre de 2025 (modifica el Programa de Alimentação do Trabalhador)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Presidência da República (Brasil), Diário Oficial da União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https://www.planalto.gov.br/ccivil_03/_ato2023-2026/2025/decreto/d12712.htm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n.º 552 sur la proposition de loi relative à l’utilisation des titres-restaurant (Commission des affaires économiques)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https://www.assemblee-nationale.fr/dyn/17/rapports/cion-eco/l17b0552_rapport-fond.pdf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Proposition de loi n.º 2892 visant à moderniser et rééquilibrer le fonctionnement du titre-restaurant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https://www.assemblee-nationale.fr/dyn/opendata/PIONANR5L17B2892.html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Dossier législatif: Moderniser et rééquilibrer le fonctionnement du titre-restaurant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https://www.assemblee-nationale.fr/dyn/17/dossiers/moderniser_fonctionnement_titre_restaurant_17e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Communiqué de presse de la Commission nationale des titres-restaurant (21 de noviembre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https://www.cntr.fr/wp-content/uploads/2023/11/CP-Commission-Nationale-Titres-Restaurant-21-Nov-2023.pdf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Benefícios: novas regras do PAT e a concorrência no vale-refeição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https://investnews.com.br/negocios/beneficios-novas-regras/amp/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Buoni pasto, dal 1° settembre tetto del 5% alle commissioni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Sky TG24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https://tg24.sky.it/economia/2025/08/29/buoni-pasto-tetto-commissioni-imprese-novita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ANSEB: tetto commissioni buoni pasto pesa sulle imprese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https://www.teleborsa.it/News/2025/01/29/anseb-tetto-commissioni-buoni-pasto-pesa-sulle-imprese-detassazione-per-qualita-e-concorrenza-153.html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resultados del ejercicio 2025 (cerrado el 31 de agosto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https://www.globenewswire.com/news-release/2025/10/30/3177048/0/en/Pluxee-Fiscal-2025-Results.html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https://data.sec.gov/api/xbrl/companyfacts/CIK0001175454.json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WEX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https://data.sec.gov/api/xbrl/companyfacts/CIK0001309108.json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DKV SE: Konzernabschluss 2024 (IFRS) y Konzernlagebericht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DKV Mobility (registro de lobby del Bundestag)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https://www.lobbyregister.bundestag.de/media/63/06/680012/DKV-SE_2024_01-Konzernabschluss-2024-IFRS-published-U_Register.pdf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(31-dic-2025: 1,175 USD; 6,4364 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intègre l'indice CAC 40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https://echanges.dila.gouv.fr/OPENDATA/AMF/ECO/2023/06/FCECO071412_20230608.pdf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CAC 40: Edenred sort, Eiffage entre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FranceTransactions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https://www.francetransactions.com/actus/news-bourse/marches/cac40-edenred-sort-eiffage-entre.html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7 mai 2026 — Résultat du vote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https://www.edenred.com/system/files/documents/resultat-des-votes-assemblee-generale-2026.pdf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7 mai 2025 — Résultat du vote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https://www.edenred.com/system/files/documents/resultat-des-votes-assemblee-generale-2025.pdf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7 mai 2024 — Résultat du vote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https://www.edenred.com/system/files/documents/resultats-des-votes-de-l-assemblee-generale-2024.pdf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Déclaration de franchissement de seuils 226C1170 (Rock Investment / EDENRED)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https://bdif.amf-france.org/back/api/v1/documents/2026/226C1170/07B4C2D0269D323D83EFEEFBB7CB9D2A47ECEBF9D60B240D56B1D5CFA412A3BB.pdf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 declaraciones de cruce de umbrales de EDENRED de 2026 (226C0195, 226C0224, 226C0240, 226C0338, 226C0444, 226C0582, 226C0675, 226C0697, 226C0698, 226C0721, 226C0722, 226C0808, 226C0941)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https://bdif.amf-france.org/back/api/v1/informations?Jetons=RS00005100&amp;TypesInformation=SPDE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 declaraciones de operaciones de directivos de EDENRED (21 declaraciones, oct-2025 a 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https://bdif.amf-france.org/back/api/v1/informations?Jetons=RS00005100&amp;TypesInformation=DD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Edenred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https://www.edenred.com/system/files/documents/07-05-2026-pr-edenred-general-meeting-2026.pdf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Edenred statement (aproximación exploratoria de fondos de inversión)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https://www.edenred.com/system/files/documents/18-06-2026-pr-edenred-edenred-statement.pdf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Edenred statement (investigación de la AGCM en Italia)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https://www.edenred.com/system/files/documents/25-03-2026-pr-edenred-agcm-investigation-in-italy.pdf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Share buyback mandate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https://www.edenred.com/system/files/documents/31-07-2026-pr-edenred-share-buyback-mandate.pdf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Appointment to Edenred's Executive Committee — Fabrizio Ruggiero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https://www.edenred.com/system/files/documents/02-09-2026-pr-edenred-appointment-fabrizio-ruggiero-final-version.pdf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2019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https://www.edenred.com/system/files/documents/20200226-edenred2019annualresults-prveng.pdf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https://www.edenred.com/system/files/documents/20210302-edenred2020annualresults-prvengvdef.pdf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https://www.edenred.com/system/files/documents/20220222-edenredresultatsfy2021cpengvdef.pdf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https://www.edenred.com/system/files/documents/2023-02-21-edenred-results-fy-2022-cp-eng-vdef.pdf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https://www.edenred.com/system/files/documents/2024-02-27-edenred-resultats-fy-2023-pr-vdef.pdf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https://www.edenred.com/system/files/documents/2025-02-18-edenred-fy-2024-pr.pdf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annual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https://www.edenred.com/system/files/documents/2026-02-24-edenred-fy-2025-pr.pdf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 Edenred: déclarations de positions courtes nettes (recopilación de las publicaciones de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https://www.ideal-investisseur.fr/actions/edenred-FR0010908533-transparence.html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Déclaration de franchissement de seuil 225C2130 (Pale Fire Capital / EDENRED)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https://bdif.amf-france.org/back/api/v1/documents/2025/225C2130/165DECB2A4BDE5E6CAC8004321CDBC5DF76A0E7843AC8755547682422FD0E848.pdf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EDEN.PA, ^FCHI, ^STOXX y EXH2.DE (hasta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https://finance.yahoo.com/quote/EDEN.PA/history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 finanzas y consenso de analistas (estimaciones 2026-2028,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https://www.marketscreener.com/quote/stock/EDENRED-SE-6365724/consensus/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consenso de analistas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https://www.investing.com/equities/edenred-consensus-estimates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dévoile ses objectifs d'EBITDA pour 2026-28, le titre chute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https://www.tradingsat.com/edenred-FR0010908533/actualites/edenred-edenred-devoile-ses-objectifs-d-ebitda-pour-2026-28-le-titre-chute-1149804.html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anticipe une baisse de son EBITDA moindre que prévu en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https://www.abcbourse.com/marches/edenred-anticipe-une-baisse-de-son-ebitda-moindre-que-prevu-en-2026_700141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approché par des fonds d'investissement avec un potentiel rachat en vue, Edenred bondit de près de 18 %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https://www.tradingsat.com/edenred-FR0010908533/actualites/edenred-approche-par-des-fonds-d-investissement-avec-un-potentiel-rachat-en-vue-edenred-bondit-de-pres-18-en-bourse-ce-qui-montre-a-quel-point-sa-valorisation-evolue-a-la-casse-1165289.html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Historique des positions courtes nettes sur actions rendues publiques (export del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(data.gouv.fr)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https://www.data.gouv.fr/datasets/historique-des-positions-courtes-nettes-sur-actions-rendues-publiques-depuis-le-1er-novembre-2012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actualización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interest rate for convergence purposes, Francia, 10 años (IRS.M.FR.L.L40.CI.0000.EUR.N.Z)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https://data-api.ecb.europa.eu/service/data/IRS/M.FR.L.L40.CI.0000.EUR.N.Z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Disclosure of share capital and voting rights at September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(vía AMF/DILA)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https://echanges.dila.gouv.fr/OPENDATA/AMF/ECO/2026/10/FCECO083382_20261007.pdf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 extension du mandat de rachat d'actions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Bourse Direct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https://www.boursedirect.fr/fr/actualites/categorie/divers/edenred-extension-du-mandat-de-rachat-d-actions-boursier-51034c6b97c4e63f396b2c9297e95d68182363db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Finanzas y estimaciones de Pluxee, Corpay, WEX, Nexi, Adyen, Global Payments y Worldline (consenso a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https://www.marketscreener.com/quote/stock/PLUXEE-N-V-164508055/finances/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capitalización, valor empresa y ROIC de Pluxee, Corpay, WEX, Nexi, Adyen y Global Payments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https://stockanalysis.com/quote/epa/PLX/statistics/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(USD/EUR, 6-oct-2026: 1,1269)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annonce l'acquisition de Reward Gateway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(vía AMF/DILA)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https://echanges.dila.gouv.fr/OPENDATA/AMF/ECO/2023/05/FCECO071204_20230516.pdf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and Nets merger: press release of November 15,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https://emarketstorage.it/sites/default/files/comunicati/2022-05/20201115_87109.pdf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Creation of a new world-class leader in payment services: Worldline to acquire Ingenico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https://investors.worldline.com/en/home/news-events/operation-disclaimer/operation/pr-2020_02_03-02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to acquire Alpha Group International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https://www.sec.gov/Archives/edgar/data/1175454/000117545425000010/ex991corpaypressrelease.htm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89,5 %</w:t>
      </w:r>
      <w:r>
        <w:t xml:space="preserve"> · Secciones con menos del 60 % de campos cubiertos: </w:t>
      </w:r>
      <w:r>
        <w:rPr>
          <w:b/>
          <w:bCs/>
        </w:rPr>
        <w:t xml:space="preserve">sentimiento</w:t>
      </w:r>
      <w:r>
        <w:t xml:space="preserve"> · Generado el 14 oct 2026.</w:t>
      </w:r>
    </w:p>
    <w:p>
      <w:pPr>
        <w:pStyle w:val="Nota"/>
        <w:spacing w:after="100"/>
      </w:pPr>
      <w:r>
        <w:t xml:space="preserve">Una sola línea cotizada (Euronext Paris, EDEN), cuentas y cotización en euros: no hay conversión en las cifras de la empresa. El precio es el cierre del 6-oct-2026 (27,61 EUR), porque la sesión del 7-oct no había cerrado al calcular [48]. Las acciones (229,1 M) son las de la declaración de derechos de voto a 30-sep-2026 más 0,82 M de acciones de rendimiento; como son posteriores al balance de junio, los ≈113 M pagados en recompras de julio a septiembre se restan de la caja del puente (estimación propia con el precio medio del periodo) [57, 58]. </w:t>
      </w:r>
      <w:r>
        <w:rPr>
          <w:b/>
        </w:rPr>
        <w:t xml:space="preserve">El float</w:t>
      </w:r>
      <w:r>
        <w:t xml:space="preserve">: la caja que Edenred resta en su deuda neta (3.319 M a jun-26) está financiada en ≈2.739 M por los vales pendientes de pago; el informe no la cuenta como caja libre y la suma a la deuda en el puente (deuda neta ajustada de 4.616 M frente a 1.764 M publicada), mientras el EBITDA mantiene todo el rendimiento del float (other revenue) [5, 7]. Por eso los múltiplos de Edenred sobre valor empresa salen más altos que los que publica el mercado (8,7x frente a 6,6x de EV/EBITDA de los últimos 12 meses con la deuda neta de la empresa). El circulante de 2024 y 2025 se presenta sin el float (cuentas ligadas a vales y fondos a reembolsar fuera); el de 2018-2023 lo incluye, porque no hay desglose: la serie no es homogénea [1]. Los segmentos por línea de negocio solo existen reexpresados para 2024-2025 [1, 6]. La OAT a 10 años es la media de agosto de 2026 del BCE: no hay dato diario oficial gratuito [56]. Los pagos de arrendamientos son una estimación propia (amortización de derechos de uso) [1].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Edenred SE (EDEN)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27,61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(15,23 – 30,85)</c:v>
                </c:pt>
                <c:pt idx="1">
                  <c:v>Precio objetivo de los analistas (19,00 – 37,00)</c:v>
                </c:pt>
                <c:pt idx="2">
                  <c:v>Comparables: EV/EBITDA NTM (9,22 – 29,07)</c:v>
                </c:pt>
                <c:pt idx="3">
                  <c:v>Comparables: PER NTM (24,28 – 35,49)</c:v>
                </c:pt>
                <c:pt idx="4">
                  <c:v>DCF (WACC y g ± 0,5) (38,03 – 56,61)</c:v>
                </c:pt>
                <c:pt idx="5">
                  <c:v>Escenarios (bajista – alcista) (23,10 – 60,90)</c:v>
                </c:pt>
                <c:pt idx="6">
                  <c:v>DCF con la prima implícita del mercado (4,2 %)</c:v>
                </c:pt>
                <c:pt idx="7">
                  <c:v>Precio actual (27,61)</c:v>
                </c:pt>
              </c:strCache>
            </c:strRef>
          </c:cat>
          <c:val>
            <c:numRef>
              <c:f>Hoja1!$B$2:$B$9</c:f>
              <c:numCache>
                <c:formatCode>#,##0.0</c:formatCode>
                <c:ptCount val="8"/>
                <c:pt idx="0">
                  <c:v>15.23</c:v>
                </c:pt>
                <c:pt idx="1">
                  <c:v>19</c:v>
                </c:pt>
                <c:pt idx="2">
                  <c:v>9.22</c:v>
                </c:pt>
                <c:pt idx="3">
                  <c:v>24.28</c:v>
                </c:pt>
                <c:pt idx="4">
                  <c:v>38.03</c:v>
                </c:pt>
                <c:pt idx="5">
                  <c:v>23.1</c:v>
                </c:pt>
                <c:pt idx="6">
                  <c:v>52.09</c:v>
                </c:pt>
                <c:pt idx="7">
                  <c:v>27.47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(15,23 – 30,85)</c:v>
                </c:pt>
                <c:pt idx="1">
                  <c:v>Precio objetivo de los analistas (19,00 – 37,00)</c:v>
                </c:pt>
                <c:pt idx="2">
                  <c:v>Comparables: EV/EBITDA NTM (9,22 – 29,07)</c:v>
                </c:pt>
                <c:pt idx="3">
                  <c:v>Comparables: PER NTM (24,28 – 35,49)</c:v>
                </c:pt>
                <c:pt idx="4">
                  <c:v>DCF (WACC y g ± 0,5) (38,03 – 56,61)</c:v>
                </c:pt>
                <c:pt idx="5">
                  <c:v>Escenarios (bajista – alcista) (23,10 – 60,90)</c:v>
                </c:pt>
                <c:pt idx="6">
                  <c:v>DCF con la prima implícita del mercado (4,2 %)</c:v>
                </c:pt>
                <c:pt idx="7">
                  <c:v>Precio actual (27,61)</c:v>
                </c:pt>
              </c:strCache>
            </c:strRef>
          </c:cat>
          <c:val>
            <c:numRef>
              <c:f>Hoja1!$C$2:$C$9</c:f>
              <c:numCache>
                <c:formatCode>#,##0.0</c:formatCode>
                <c:ptCount val="8"/>
                <c:pt idx="0">
                  <c:v>15.620000000000001</c:v>
                </c:pt>
                <c:pt idx="1">
                  <c:v>18</c:v>
                </c:pt>
                <c:pt idx="2">
                  <c:v>19.85</c:v>
                </c:pt>
                <c:pt idx="3">
                  <c:v>11.21</c:v>
                </c:pt>
                <c:pt idx="4">
                  <c:v>18.58</c:v>
                </c:pt>
                <c:pt idx="5">
                  <c:v>37.8</c:v>
                </c:pt>
                <c:pt idx="6">
                  <c:v>16.159999999999997</c:v>
                </c:pt>
                <c:pt idx="7">
                  <c:v>0.28000000000000114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Benefits &amp; Engagement</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2013</c:v>
                </c:pt>
                <c:pt idx="1">
                  <c:v>2054</c:v>
                </c:pt>
              </c:numCache>
            </c:numRef>
          </c:val>
        </c:ser>
        <c:ser>
          <c:idx val="1"/>
          <c:order val="1"/>
          <c:tx>
            <c:strRef>
              <c:f>Hoja1!$C$1</c:f>
              <c:strCache>
                <c:ptCount val="1"/>
                <c:pt idx="0">
                  <c:v>Mobility</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601</c:v>
                </c:pt>
                <c:pt idx="1">
                  <c:v>683</c:v>
                </c:pt>
              </c:numCache>
            </c:numRef>
          </c:val>
        </c:ser>
        <c:ser>
          <c:idx val="2"/>
          <c:order val="2"/>
          <c:tx>
            <c:strRef>
              <c:f>Hoja1!$D$1</c:f>
              <c:strCache>
                <c:ptCount val="1"/>
                <c:pt idx="0">
                  <c:v>Payment Solutions &amp; New Markets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242</c:v>
                </c:pt>
                <c:pt idx="1">
                  <c:v>224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Benefits &amp; Engagement</c:v>
                </c:pt>
                <c:pt idx="1">
                  <c:v>Mobility</c:v>
                </c:pt>
                <c:pt idx="2">
                  <c:v>Payment Solutions &amp; New Markets</c:v>
                </c:pt>
              </c:strCache>
            </c:strRef>
          </c:cat>
          <c:val>
            <c:numRef>
              <c:f>Hoja1!$B$2:$B$4</c:f>
              <c:numCache>
                <c:formatCode>General</c:formatCode>
                <c:ptCount val="3"/>
                <c:pt idx="0">
                  <c:v>69.4</c:v>
                </c:pt>
                <c:pt idx="1">
                  <c:v>23.1</c:v>
                </c:pt>
                <c:pt idx="2">
                  <c:v>7.6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Brasil</c:v>
                </c:pt>
                <c:pt idx="1">
                  <c:v>Italia</c:v>
                </c:pt>
                <c:pt idx="2">
                  <c:v>Francia</c:v>
                </c:pt>
                <c:pt idx="3">
                  <c:v>Resto de Europa</c:v>
                </c:pt>
                <c:pt idx="4">
                  <c:v>Resto de América Latina</c:v>
                </c:pt>
                <c:pt idx="5">
                  <c:v>Resto del mundo</c:v>
                </c:pt>
              </c:strCache>
            </c:strRef>
          </c:cat>
          <c:val>
            <c:numRef>
              <c:f>Hoja1!$B$2:$B$7</c:f>
              <c:numCache>
                <c:formatCode>0"%"</c:formatCode>
                <c:ptCount val="6"/>
                <c:pt idx="0">
                  <c:v>21.1</c:v>
                </c:pt>
                <c:pt idx="1">
                  <c:v>18.4</c:v>
                </c:pt>
                <c:pt idx="2">
                  <c:v>13.3</c:v>
                </c:pt>
                <c:pt idx="3">
                  <c:v>28.2</c:v>
                </c:pt>
                <c:pt idx="4">
                  <c:v>9.1</c:v>
                </c:pt>
                <c:pt idx="5">
                  <c:v>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de valor facial de títulos restaurante en Francia)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2022</c:v>
                </c:pt>
                <c:pt idx="1">
                  <c:v>2024</c:v>
                </c:pt>
              </c:strCache>
            </c:strRef>
          </c:cat>
          <c:val>
            <c:numRef>
              <c:f>Hoja1!$B$2:$B$3</c:f>
              <c:numCache>
                <c:formatCode>#,##0</c:formatCode>
                <c:ptCount val="2"/>
                <c:pt idx="0">
                  <c:v>9500</c:v>
                </c:pt>
                <c:pt idx="1">
                  <c:v>10000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1</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Edenred</c:v>
                </c:pt>
                <c:pt idx="1">
                  <c:v>Pluxee (antes Sodexo Benefits &amp; Rewards)</c:v>
                </c:pt>
                <c:pt idx="2">
                  <c:v>Corpay (antes Fleetcor)</c:v>
                </c:pt>
                <c:pt idx="3">
                  <c:v>WEX</c:v>
                </c:pt>
                <c:pt idx="4">
                  <c:v>DKV Mobility</c:v>
                </c:pt>
                <c:pt idx="5">
                  <c:v>Bimpli-Swile</c:v>
                </c:pt>
                <c:pt idx="6">
                  <c:v>Groupe Up (Up Coop)</c:v>
                </c:pt>
                <c:pt idx="7">
                  <c:v>Alelo y VR</c:v>
                </c:pt>
              </c:strCache>
            </c:strRef>
          </c:cat>
          <c:val>
            <c:numRef>
              <c:f>Hoja1!$B$2:$B$9</c:f>
              <c:numCache>
                <c:formatCode>0.0"%"</c:formatCode>
                <c:ptCount val="8"/>
                <c:pt idx="0">
                  <c:v>36.9</c:v>
                </c:pt>
                <c:pt idx="1">
                  <c:v>26</c:v>
                </c:pt>
                <c:pt idx="2">
                  <c:v>44</c:v>
                </c:pt>
                <c:pt idx="3">
                  <c:v>25</c:v>
                </c:pt>
                <c:pt idx="4">
                  <c:v>38.5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1378</c:v>
                </c:pt>
                <c:pt idx="1">
                  <c:v>1626</c:v>
                </c:pt>
                <c:pt idx="2">
                  <c:v>1465</c:v>
                </c:pt>
                <c:pt idx="3">
                  <c:v>1627</c:v>
                </c:pt>
                <c:pt idx="4">
                  <c:v>2031</c:v>
                </c:pt>
                <c:pt idx="5">
                  <c:v>2514</c:v>
                </c:pt>
                <c:pt idx="6">
                  <c:v>2856</c:v>
                </c:pt>
                <c:pt idx="7">
                  <c:v>2961</c:v>
                </c:pt>
                <c:pt idx="8">
                  <c:v>2999</c:v>
                </c:pt>
                <c:pt idx="9">
                  <c:v>3163</c:v>
                </c:pt>
                <c:pt idx="10">
                  <c:v>3369</c:v>
                </c:pt>
                <c:pt idx="11">
                  <c:v>3577</c:v>
                </c:pt>
                <c:pt idx="12">
                  <c:v>3780</c:v>
                </c:pt>
                <c:pt idx="13">
                  <c:v>3982</c:v>
                </c:pt>
                <c:pt idx="14">
                  <c:v>4181</c:v>
                </c:pt>
                <c:pt idx="15">
                  <c:v>4369</c:v>
                </c:pt>
                <c:pt idx="16">
                  <c:v>4544</c:v>
                </c:pt>
                <c:pt idx="17">
                  <c:v>4703</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0">
                  <c:v>536</c:v>
                </c:pt>
                <c:pt idx="1">
                  <c:v>668</c:v>
                </c:pt>
                <c:pt idx="2">
                  <c:v>580</c:v>
                </c:pt>
                <c:pt idx="3">
                  <c:v>670</c:v>
                </c:pt>
                <c:pt idx="4">
                  <c:v>836</c:v>
                </c:pt>
                <c:pt idx="5">
                  <c:v>1094</c:v>
                </c:pt>
                <c:pt idx="6">
                  <c:v>1265</c:v>
                </c:pt>
                <c:pt idx="7">
                  <c:v>1360</c:v>
                </c:pt>
                <c:pt idx="8">
                  <c:v>1256</c:v>
                </c:pt>
                <c:pt idx="9">
                  <c:v>1377</c:v>
                </c:pt>
                <c:pt idx="10">
                  <c:v>1489</c:v>
                </c:pt>
                <c:pt idx="11">
                  <c:v>1589</c:v>
                </c:pt>
                <c:pt idx="12">
                  <c:v>1673</c:v>
                </c:pt>
                <c:pt idx="13">
                  <c:v>1759</c:v>
                </c:pt>
                <c:pt idx="14">
                  <c:v>1847</c:v>
                </c:pt>
                <c:pt idx="15">
                  <c:v>1930</c:v>
                </c:pt>
                <c:pt idx="16">
                  <c:v>2007</c:v>
                </c:pt>
                <c:pt idx="17">
                  <c:v>2077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38.9</c:v>
                </c:pt>
                <c:pt idx="1">
                  <c:v>41.1</c:v>
                </c:pt>
                <c:pt idx="2">
                  <c:v>39.6</c:v>
                </c:pt>
                <c:pt idx="3">
                  <c:v>41.2</c:v>
                </c:pt>
                <c:pt idx="4">
                  <c:v>41.2</c:v>
                </c:pt>
                <c:pt idx="5">
                  <c:v>43.5</c:v>
                </c:pt>
                <c:pt idx="6">
                  <c:v>44.3</c:v>
                </c:pt>
                <c:pt idx="7">
                  <c:v>45.9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33.5</c:v>
                </c:pt>
                <c:pt idx="1">
                  <c:v>33.5</c:v>
                </c:pt>
                <c:pt idx="2">
                  <c:v>31.1</c:v>
                </c:pt>
                <c:pt idx="3">
                  <c:v>33.1</c:v>
                </c:pt>
                <c:pt idx="4">
                  <c:v>33.8</c:v>
                </c:pt>
                <c:pt idx="5">
                  <c:v>35.8</c:v>
                </c:pt>
                <c:pt idx="6">
                  <c:v>36.4</c:v>
                </c:pt>
                <c:pt idx="7">
                  <c:v>36.9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18.4</c:v>
                </c:pt>
                <c:pt idx="1">
                  <c:v>19.2</c:v>
                </c:pt>
                <c:pt idx="2">
                  <c:v>16.2</c:v>
                </c:pt>
                <c:pt idx="3">
                  <c:v>19.2</c:v>
                </c:pt>
                <c:pt idx="4">
                  <c:v>19</c:v>
                </c:pt>
                <c:pt idx="5">
                  <c:v>10.6</c:v>
                </c:pt>
                <c:pt idx="6">
                  <c:v>17.8</c:v>
                </c:pt>
                <c:pt idx="7">
                  <c:v>17.6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4</c:v>
                </c:pt>
                <c:pt idx="3">
                  <c:v>3.4</c:v>
                </c:pt>
                <c:pt idx="4">
                  <c:v>1.5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2">
                  <c:v>6.4</c:v>
                </c:pt>
                <c:pt idx="4">
                  <c:v>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578</c:v>
                </c:pt>
                <c:pt idx="1">
                  <c:v>546</c:v>
                </c:pt>
                <c:pt idx="2">
                  <c:v>515</c:v>
                </c:pt>
                <c:pt idx="3">
                  <c:v>581</c:v>
                </c:pt>
                <c:pt idx="4">
                  <c:v>592</c:v>
                </c:pt>
                <c:pt idx="5">
                  <c:v>503</c:v>
                </c:pt>
                <c:pt idx="6">
                  <c:v>273</c:v>
                </c:pt>
                <c:pt idx="7">
                  <c:v>265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2513</c:v>
                </c:pt>
                <c:pt idx="1">
                  <c:v>2474</c:v>
                </c:pt>
                <c:pt idx="2">
                  <c:v>2880</c:v>
                </c:pt>
                <c:pt idx="3">
                  <c:v>2838</c:v>
                </c:pt>
                <c:pt idx="4">
                  <c:v>2514</c:v>
                </c:pt>
                <c:pt idx="5">
                  <c:v>2320</c:v>
                </c:pt>
                <c:pt idx="6">
                  <c:v>721</c:v>
                </c:pt>
                <c:pt idx="7">
                  <c:v>703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436</c:v>
                </c:pt>
                <c:pt idx="1">
                  <c:v>339</c:v>
                </c:pt>
                <c:pt idx="2">
                  <c:v>583</c:v>
                </c:pt>
                <c:pt idx="3">
                  <c:v>460</c:v>
                </c:pt>
                <c:pt idx="4">
                  <c:v>831</c:v>
                </c:pt>
                <c:pt idx="5">
                  <c:v>825</c:v>
                </c:pt>
                <c:pt idx="6">
                  <c:v>768</c:v>
                </c:pt>
                <c:pt idx="7">
                  <c:v>1029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254</c:v>
                </c:pt>
                <c:pt idx="1">
                  <c:v>312</c:v>
                </c:pt>
                <c:pt idx="2">
                  <c:v>238</c:v>
                </c:pt>
                <c:pt idx="3">
                  <c:v>313</c:v>
                </c:pt>
                <c:pt idx="4">
                  <c:v>386</c:v>
                </c:pt>
                <c:pt idx="5">
                  <c:v>267</c:v>
                </c:pt>
                <c:pt idx="6">
                  <c:v>507</c:v>
                </c:pt>
                <c:pt idx="7">
                  <c:v>521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-33.3</c:v>
                </c:pt>
                <c:pt idx="1">
                  <c:v>-80.2</c:v>
                </c:pt>
                <c:pt idx="2">
                  <c:v>-795.7</c:v>
                </c:pt>
                <c:pt idx="3">
                  <c:v>-339.6</c:v>
                </c:pt>
                <c:pt idx="4">
                  <c:v>-132.6</c:v>
                </c:pt>
                <c:pt idx="5">
                  <c:v>-309.8</c:v>
                </c:pt>
                <c:pt idx="6">
                  <c:v>147.5</c:v>
                </c:pt>
                <c:pt idx="7">
                  <c:v>130.8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8.7</c:v>
                </c:pt>
                <c:pt idx="1">
                  <c:v>8.7</c:v>
                </c:pt>
                <c:pt idx="2">
                  <c:v>8.7</c:v>
                </c:pt>
                <c:pt idx="3">
                  <c:v>8.7</c:v>
                </c:pt>
                <c:pt idx="4">
                  <c:v>8.7</c:v>
                </c:pt>
                <c:pt idx="5">
                  <c:v>8.7</c:v>
                </c:pt>
                <c:pt idx="6">
                  <c:v>8.7</c:v>
                </c:pt>
                <c:pt idx="7">
                  <c:v>8.7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-16.3</c:v>
                </c:pt>
                <c:pt idx="1">
                  <c:v>-22.7</c:v>
                </c:pt>
                <c:pt idx="2">
                  <c:v>-19.6</c:v>
                </c:pt>
                <c:pt idx="3">
                  <c:v>-28.7</c:v>
                </c:pt>
                <c:pt idx="4">
                  <c:v>-46.2</c:v>
                </c:pt>
                <c:pt idx="5">
                  <c:v>-38.2</c:v>
                </c:pt>
                <c:pt idx="6">
                  <c:v>-63.9</c:v>
                </c:pt>
                <c:pt idx="7">
                  <c:v>-56.9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0.88</c:v>
                </c:pt>
                <c:pt idx="1">
                  <c:v>1.62</c:v>
                </c:pt>
                <c:pt idx="2">
                  <c:v>1.76</c:v>
                </c:pt>
                <c:pt idx="3">
                  <c:v>1.14</c:v>
                </c:pt>
                <c:pt idx="4">
                  <c:v>0.01</c:v>
                </c:pt>
                <c:pt idx="5">
                  <c:v>0.76</c:v>
                </c:pt>
                <c:pt idx="6">
                  <c:v>1.2</c:v>
                </c:pt>
                <c:pt idx="7">
                  <c:v>0.91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1122</c:v>
                </c:pt>
                <c:pt idx="1">
                  <c:v>491</c:v>
                </c:pt>
                <c:pt idx="2">
                  <c:v>394</c:v>
                </c:pt>
                <c:pt idx="3">
                  <c:v>565</c:v>
                </c:pt>
                <c:pt idx="4">
                  <c:v>748</c:v>
                </c:pt>
                <c:pt idx="5">
                  <c:v>1187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255</c:v>
                </c:pt>
                <c:pt idx="1">
                  <c:v>766</c:v>
                </c:pt>
                <c:pt idx="2">
                  <c:v>190</c:v>
                </c:pt>
                <c:pt idx="3">
                  <c:v>91</c:v>
                </c:pt>
                <c:pt idx="4">
                  <c:v>89</c:v>
                </c:pt>
                <c:pt idx="5">
                  <c:v>1050</c:v>
                </c:pt>
                <c:pt idx="6">
                  <c:v>510</c:v>
                </c:pt>
                <c:pt idx="7">
                  <c:v>29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136</c:v>
                </c:pt>
                <c:pt idx="1">
                  <c:v>87</c:v>
                </c:pt>
                <c:pt idx="2">
                  <c:v>81</c:v>
                </c:pt>
                <c:pt idx="3">
                  <c:v>96</c:v>
                </c:pt>
                <c:pt idx="4">
                  <c:v>238</c:v>
                </c:pt>
                <c:pt idx="5">
                  <c:v>278</c:v>
                </c:pt>
                <c:pt idx="6">
                  <c:v>307</c:v>
                </c:pt>
                <c:pt idx="7">
                  <c:v>333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42</c:v>
                </c:pt>
                <c:pt idx="1">
                  <c:v>52</c:v>
                </c:pt>
                <c:pt idx="2">
                  <c:v>23</c:v>
                </c:pt>
                <c:pt idx="3">
                  <c:v>41</c:v>
                </c:pt>
                <c:pt idx="4">
                  <c:v>2</c:v>
                </c:pt>
                <c:pt idx="5">
                  <c:v>25</c:v>
                </c:pt>
                <c:pt idx="6">
                  <c:v>359</c:v>
                </c:pt>
                <c:pt idx="7">
                  <c:v>125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1</c:v>
                </c:pt>
                <c:pt idx="1">
                  <c:v>8</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Rock Investment SAS (NJJ Holding, grupo familiar de Xavier Niel)</c:v>
                </c:pt>
                <c:pt idx="1">
                  <c:v>Baillie Gifford &amp; Co</c:v>
                </c:pt>
                <c:pt idx="2">
                  <c:v>Capital World Investors (Capital Group)</c:v>
                </c:pt>
                <c:pt idx="3">
                  <c:v>Pale Fire Capital SE</c:v>
                </c:pt>
                <c:pt idx="4">
                  <c:v>Harris Associates L.P. (Oakmark)</c:v>
                </c:pt>
                <c:pt idx="5">
                  <c:v>FMR LLC (Fidelity)</c:v>
                </c:pt>
                <c:pt idx="6">
                  <c:v>Accionistas individuales</c:v>
                </c:pt>
                <c:pt idx="7">
                  <c:v>Autocartera</c:v>
                </c:pt>
                <c:pt idx="8">
                  <c:v>Goldman Sachs Group (vía Goldman Sachs International)</c:v>
                </c:pt>
                <c:pt idx="9">
                  <c:v>BlackRock</c:v>
                </c:pt>
              </c:strCache>
            </c:strRef>
          </c:cat>
          <c:val>
            <c:numRef>
              <c:f>Hoja1!$B$2:$B$11</c:f>
              <c:numCache>
                <c:formatCode>0.0"%"</c:formatCode>
                <c:ptCount val="10"/>
                <c:pt idx="0">
                  <c:v>8</c:v>
                </c:pt>
                <c:pt idx="1">
                  <c:v>4.99</c:v>
                </c:pt>
                <c:pt idx="2">
                  <c:v>4.88</c:v>
                </c:pt>
                <c:pt idx="3">
                  <c:v>5.14</c:v>
                </c:pt>
                <c:pt idx="4">
                  <c:v>4.26</c:v>
                </c:pt>
                <c:pt idx="5">
                  <c:v>0.05</c:v>
                </c:pt>
                <c:pt idx="6">
                  <c:v>5.26</c:v>
                </c:pt>
                <c:pt idx="7">
                  <c:v>2.6</c:v>
                </c:pt>
                <c:pt idx="8">
                  <c:v>5.06</c:v>
                </c:pt>
                <c:pt idx="9">
                  <c:v>3.54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7.6</c:v>
                </c:pt>
                <c:pt idx="1">
                  <c:v>28.4</c:v>
                </c:pt>
                <c:pt idx="2">
                  <c:v>32.8</c:v>
                </c:pt>
                <c:pt idx="3">
                  <c:v>43.6</c:v>
                </c:pt>
                <c:pt idx="4">
                  <c:v>0.7</c:v>
                </c:pt>
                <c:pt idx="5">
                  <c:v>-12.6</c:v>
                </c:pt>
                <c:pt idx="6">
                  <c:v>25.4</c:v>
                </c:pt>
                <c:pt idx="7">
                  <c:v>6.4</c:v>
                </c:pt>
                <c:pt idx="8">
                  <c:v>-41.4</c:v>
                </c:pt>
                <c:pt idx="9">
                  <c:v>-40.4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15.4</c:v>
                </c:pt>
                <c:pt idx="1">
                  <c:v>18.6</c:v>
                </c:pt>
                <c:pt idx="2">
                  <c:v>21.6</c:v>
                </c:pt>
                <c:pt idx="3">
                  <c:v>17.2</c:v>
                </c:pt>
                <c:pt idx="4">
                  <c:v>16.2</c:v>
                </c:pt>
                <c:pt idx="5">
                  <c:v>13.9</c:v>
                </c:pt>
                <c:pt idx="6">
                  <c:v>7.6</c:v>
                </c:pt>
                <c:pt idx="7">
                  <c:v>4.4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15.8</c:v>
                </c:pt>
                <c:pt idx="1">
                  <c:v>15.8</c:v>
                </c:pt>
                <c:pt idx="2">
                  <c:v>15.8</c:v>
                </c:pt>
                <c:pt idx="3">
                  <c:v>15.8</c:v>
                </c:pt>
                <c:pt idx="4">
                  <c:v>15.8</c:v>
                </c:pt>
                <c:pt idx="5">
                  <c:v>15.8</c:v>
                </c:pt>
                <c:pt idx="6">
                  <c:v>15.8</c:v>
                </c:pt>
                <c:pt idx="7">
                  <c:v>15.8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Edenred</c:v>
                </c:pt>
                <c:pt idx="1">
                  <c:v>Pluxee</c:v>
                </c:pt>
                <c:pt idx="2">
                  <c:v>Corpay</c:v>
                </c:pt>
                <c:pt idx="3">
                  <c:v>WEX</c:v>
                </c:pt>
                <c:pt idx="4">
                  <c:v>Nexi</c:v>
                </c:pt>
                <c:pt idx="5">
                  <c:v>Adyen</c:v>
                </c:pt>
                <c:pt idx="6">
                  <c:v>Global Payments</c:v>
                </c:pt>
              </c:strCache>
            </c:strRef>
          </c:cat>
          <c:val>
            <c:numRef>
              <c:f>Hoja1!$B$2:$B$8</c:f>
              <c:numCache>
                <c:formatCode>0.0"x"</c:formatCode>
                <c:ptCount val="7"/>
                <c:pt idx="0">
                  <c:v>8.6</c:v>
                </c:pt>
                <c:pt idx="1">
                  <c:v>1.9</c:v>
                </c:pt>
                <c:pt idx="2">
                  <c:v>10.7</c:v>
                </c:pt>
                <c:pt idx="3">
                  <c:v>7.6</c:v>
                </c:pt>
                <c:pt idx="4">
                  <c:v>5.1</c:v>
                </c:pt>
                <c:pt idx="5">
                  <c:v>9.3</c:v>
                </c:pt>
                <c:pt idx="6">
                  <c:v>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Edenred</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3.1</c:v>
                </c:pt>
              </c:numCache>
            </c:numRef>
          </c:xVal>
          <c:yVal>
            <c:numRef>
              <c:f>Hoja1!$C$2</c:f>
              <c:numCache>
                <c:formatCode>0.0"x"</c:formatCode>
                <c:ptCount val="1"/>
                <c:pt idx="0">
                  <c:v>8.6</c:v>
                </c:pt>
              </c:numCache>
            </c:numRef>
          </c:yVal>
          <c:smooth val="0"/>
        </c:ser>
        <c:ser>
          <c:idx val="1"/>
          <c:order val="1"/>
          <c:tx>
            <c:strRef>
              <c:f>Hoja1!$A$3</c:f>
              <c:strCache>
                <c:ptCount val="1"/>
                <c:pt idx="0">
                  <c:v>Pluxee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0.2</c:v>
                </c:pt>
              </c:numCache>
            </c:numRef>
          </c:xVal>
          <c:yVal>
            <c:numRef>
              <c:f>Hoja1!$C$3</c:f>
              <c:numCache>
                <c:formatCode>0.0"x"</c:formatCode>
                <c:ptCount val="1"/>
                <c:pt idx="0">
                  <c:v>1.9</c:v>
                </c:pt>
              </c:numCache>
            </c:numRef>
          </c:yVal>
          <c:smooth val="0"/>
        </c:ser>
        <c:ser>
          <c:idx val="2"/>
          <c:order val="2"/>
          <c:tx>
            <c:strRef>
              <c:f>Hoja1!$A$4</c:f>
              <c:strCache>
                <c:ptCount val="1"/>
                <c:pt idx="0">
                  <c:v>Corpay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15.1</c:v>
                </c:pt>
              </c:numCache>
            </c:numRef>
          </c:xVal>
          <c:yVal>
            <c:numRef>
              <c:f>Hoja1!$C$4</c:f>
              <c:numCache>
                <c:formatCode>0.0"x"</c:formatCode>
                <c:ptCount val="1"/>
                <c:pt idx="0">
                  <c:v>10.7</c:v>
                </c:pt>
              </c:numCache>
            </c:numRef>
          </c:yVal>
          <c:smooth val="0"/>
        </c:ser>
        <c:ser>
          <c:idx val="3"/>
          <c:order val="3"/>
          <c:tx>
            <c:strRef>
              <c:f>Hoja1!$A$5</c:f>
              <c:strCache>
                <c:ptCount val="1"/>
                <c:pt idx="0">
                  <c:v>WEX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5.3</c:v>
                </c:pt>
              </c:numCache>
            </c:numRef>
          </c:xVal>
          <c:yVal>
            <c:numRef>
              <c:f>Hoja1!$C$5</c:f>
              <c:numCache>
                <c:formatCode>0.0"x"</c:formatCode>
                <c:ptCount val="1"/>
                <c:pt idx="0">
                  <c:v>7.6</c:v>
                </c:pt>
              </c:numCache>
            </c:numRef>
          </c:yVal>
          <c:smooth val="0"/>
        </c:ser>
        <c:ser>
          <c:idx val="4"/>
          <c:order val="4"/>
          <c:tx>
            <c:strRef>
              <c:f>Hoja1!$A$6</c:f>
              <c:strCache>
                <c:ptCount val="1"/>
                <c:pt idx="0">
                  <c:v>Nexi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2.5</c:v>
                </c:pt>
              </c:numCache>
            </c:numRef>
          </c:xVal>
          <c:yVal>
            <c:numRef>
              <c:f>Hoja1!$C$6</c:f>
              <c:numCache>
                <c:formatCode>0.0"x"</c:formatCode>
                <c:ptCount val="1"/>
                <c:pt idx="0">
                  <c:v>5.1</c:v>
                </c:pt>
              </c:numCache>
            </c:numRef>
          </c:yVal>
          <c:smooth val="0"/>
        </c:ser>
        <c:ser>
          <c:idx val="5"/>
          <c:order val="5"/>
          <c:tx>
            <c:strRef>
              <c:f>Hoja1!$A$7</c:f>
              <c:strCache>
                <c:ptCount val="1"/>
                <c:pt idx="0">
                  <c:v>Adyen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27.4</c:v>
                </c:pt>
              </c:numCache>
            </c:numRef>
          </c:xVal>
          <c:yVal>
            <c:numRef>
              <c:f>Hoja1!$C$7</c:f>
              <c:numCache>
                <c:formatCode>0.0"x"</c:formatCode>
                <c:ptCount val="1"/>
                <c:pt idx="0">
                  <c:v>9.3</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Reward Gateway (plataforma de compromiso de empleados, Reino Unido y Australia)</c:v>
                </c:pt>
                <c:pt idx="1">
                  <c:v>Nets (procesamiento de pagos, países nórdicos y Centroeuropa)</c:v>
                </c:pt>
                <c:pt idx="2">
                  <c:v>Ingenico (terminales y pagos a comercios)</c:v>
                </c:pt>
                <c:pt idx="3">
                  <c:v>Alpha Group International (divisas y cuentas para empresas, Reino Unido)</c:v>
                </c:pt>
              </c:strCache>
            </c:strRef>
          </c:cat>
          <c:val>
            <c:numRef>
              <c:f>Hoja1!$B$2:$B$5</c:f>
              <c:numCache>
                <c:formatCode>0.0"x"</c:formatCode>
                <c:ptCount val="4"/>
                <c:pt idx="0">
                  <c:v>25.6</c:v>
                </c:pt>
                <c:pt idx="1">
                  <c:v>20</c:v>
                </c:pt>
                <c:pt idx="2">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650</c:v>
                </c:pt>
                <c:pt idx="1">
                  <c:v>808</c:v>
                </c:pt>
                <c:pt idx="2">
                  <c:v>887</c:v>
                </c:pt>
                <c:pt idx="3">
                  <c:v>945</c:v>
                </c:pt>
                <c:pt idx="4">
                  <c:v>987</c:v>
                </c:pt>
                <c:pt idx="5">
                  <c:v>1036</c:v>
                </c:pt>
                <c:pt idx="6">
                  <c:v>1083</c:v>
                </c:pt>
                <c:pt idx="7">
                  <c:v>1124</c:v>
                </c:pt>
                <c:pt idx="8">
                  <c:v>1163</c:v>
                </c:pt>
                <c:pt idx="9">
                  <c:v>1197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6359</c:v>
                </c:pt>
                <c:pt idx="1">
                  <c:v>9267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27,61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23.1</c:v>
                </c:pt>
                <c:pt idx="1">
                  <c:v>45.84</c:v>
                </c:pt>
                <c:pt idx="2">
                  <c:v>60.9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27,61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(15,23 – 30,85)</c:v>
                </c:pt>
                <c:pt idx="1">
                  <c:v>Precio objetivo de los analistas (19,00 – 37,00)</c:v>
                </c:pt>
                <c:pt idx="2">
                  <c:v>Comparables: EV/EBITDA NTM (9,22 – 29,07)</c:v>
                </c:pt>
                <c:pt idx="3">
                  <c:v>Comparables: PER NTM (24,28 – 35,49)</c:v>
                </c:pt>
                <c:pt idx="4">
                  <c:v>DCF (WACC y g ± 0,5) (38,03 – 56,61)</c:v>
                </c:pt>
                <c:pt idx="5">
                  <c:v>Escenarios (bajista – alcista) (23,10 – 60,90)</c:v>
                </c:pt>
                <c:pt idx="6">
                  <c:v>DCF con la prima implícita del mercado (4,2 %)</c:v>
                </c:pt>
                <c:pt idx="7">
                  <c:v>Precio actual (27,61)</c:v>
                </c:pt>
              </c:strCache>
            </c:strRef>
          </c:cat>
          <c:val>
            <c:numRef>
              <c:f>Hoja1!$B$2:$B$9</c:f>
              <c:numCache>
                <c:formatCode>#,##0.0</c:formatCode>
                <c:ptCount val="8"/>
                <c:pt idx="0">
                  <c:v>15.23</c:v>
                </c:pt>
                <c:pt idx="1">
                  <c:v>19</c:v>
                </c:pt>
                <c:pt idx="2">
                  <c:v>9.22</c:v>
                </c:pt>
                <c:pt idx="3">
                  <c:v>24.28</c:v>
                </c:pt>
                <c:pt idx="4">
                  <c:v>38.03</c:v>
                </c:pt>
                <c:pt idx="5">
                  <c:v>23.1</c:v>
                </c:pt>
                <c:pt idx="6">
                  <c:v>52.09</c:v>
                </c:pt>
                <c:pt idx="7">
                  <c:v>27.47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(15,23 – 30,85)</c:v>
                </c:pt>
                <c:pt idx="1">
                  <c:v>Precio objetivo de los analistas (19,00 – 37,00)</c:v>
                </c:pt>
                <c:pt idx="2">
                  <c:v>Comparables: EV/EBITDA NTM (9,22 – 29,07)</c:v>
                </c:pt>
                <c:pt idx="3">
                  <c:v>Comparables: PER NTM (24,28 – 35,49)</c:v>
                </c:pt>
                <c:pt idx="4">
                  <c:v>DCF (WACC y g ± 0,5) (38,03 – 56,61)</c:v>
                </c:pt>
                <c:pt idx="5">
                  <c:v>Escenarios (bajista – alcista) (23,10 – 60,90)</c:v>
                </c:pt>
                <c:pt idx="6">
                  <c:v>DCF con la prima implícita del mercado (4,2 %)</c:v>
                </c:pt>
                <c:pt idx="7">
                  <c:v>Precio actual (27,61)</c:v>
                </c:pt>
              </c:strCache>
            </c:strRef>
          </c:cat>
          <c:val>
            <c:numRef>
              <c:f>Hoja1!$C$2:$C$9</c:f>
              <c:numCache>
                <c:formatCode>#,##0.0</c:formatCode>
                <c:ptCount val="8"/>
                <c:pt idx="0">
                  <c:v>15.620000000000001</c:v>
                </c:pt>
                <c:pt idx="1">
                  <c:v>18</c:v>
                </c:pt>
                <c:pt idx="2">
                  <c:v>19.85</c:v>
                </c:pt>
                <c:pt idx="3">
                  <c:v>11.21</c:v>
                </c:pt>
                <c:pt idx="4">
                  <c:v>18.58</c:v>
                </c:pt>
                <c:pt idx="5">
                  <c:v>37.8</c:v>
                </c:pt>
                <c:pt idx="6">
                  <c:v>16.159999999999997</c:v>
                </c:pt>
                <c:pt idx="7">
                  <c:v>0.28000000000000114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