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Objetivo 12 m</w:t>
            </w:r>
          </w:p>
          <w:p>
            <w:pPr>
              <w:spacing w:after="0"/>
            </w:pPr>
            <w:r>
              <w:rPr>
                <w:rFonts w:ascii="Calibri" w:cs="Calibri" w:eastAsia="Calibri" w:hAnsi="Calibri"/>
                <w:b/>
                <w:bCs/>
                <w:color w:val="1F2A3C"/>
                <w:sz w:val="26"/>
                <w:szCs w:val="26"/>
              </w:rPr>
              <w:t xml:space="preserve">34,61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12 m</w:t>
            </w:r>
          </w:p>
          <w:p>
            <w:pPr>
              <w:spacing w:after="0"/>
            </w:pPr>
            <w:r>
              <w:rPr>
                <w:rFonts w:ascii="Calibri" w:cs="Calibri" w:eastAsia="Calibri" w:hAnsi="Calibri"/>
                <w:b/>
                <w:bCs/>
                <w:color w:val="1F2A3C"/>
                <w:sz w:val="26"/>
                <w:szCs w:val="26"/>
              </w:rPr>
              <w:t xml:space="preserve">+12,3 % (base +17,6 %)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intrínseco</w:t>
            </w:r>
          </w:p>
          <w:p>
            <w:pPr>
              <w:spacing w:after="0"/>
            </w:pPr>
            <w:r>
              <w:rPr>
                <w:rFonts w:ascii="Calibri" w:cs="Calibri" w:eastAsia="Calibri" w:hAnsi="Calibri"/>
                <w:b/>
                <w:bCs/>
                <w:color w:val="1F2A3C"/>
                <w:sz w:val="26"/>
                <w:szCs w:val="26"/>
              </w:rPr>
              <w:t xml:space="preserve">31,05 EUR · mercado 34,28</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Objetivo a 12 meses </w:t>
      </w:r>
      <w:r>
        <w:rPr>
          <w:b/>
          <w:bCs/>
        </w:rPr>
        <w:t xml:space="preserve">34,61 EUR</w:t>
      </w:r>
      <w:r>
        <w:t xml:space="preserve"> frente a 31,40 · Rentabilidad a 12 meses </w:t>
      </w:r>
      <w:r>
        <w:rPr>
          <w:b/>
          <w:bCs/>
        </w:rPr>
        <w:t xml:space="preserve">+12,3 % (base +17,6 %)</w:t>
      </w:r>
      <w:r>
        <w:t xml:space="preserve"> · Valor intrínseco 31,05 EUR · con la prima implícita del mercado: 34,28 (+9,2 %) · Alcista / bajista +16,4 % / -47,2 %</w:t>
      </w:r>
    </w:p>
    <w:p>
      <w:pPr>
        <w:spacing w:after="100"/>
      </w:pPr>
      <w:r>
        <w:rPr>
          <w:b/>
        </w:rPr>
        <w:t xml:space="preserve">La recomendación y por qué.</w:t>
      </w:r>
      <w:r>
        <w:t xml:space="preserve"> Mantener, con convicción media. El valor objetivo de 31,05 EUR deja una rentabilidad total esperada casi nula, y la asimetría es mala: el escenario alcista gana un 16 % y el bajista pierde un 47 %. Con la prima de riesgo que hoy pide el mercado el valor sube a 34,28 EUR (+9 %), que tampoco llega para comprar: las dos reglas dan Mantener.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28,08 EUR, con una etapa de transición de cinco años (27,61 EUR sin ella),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30,37 EUR o si la cartera de redes acelera por encima del 10 %; venderíamos por encima de 37,10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Objetivo a 12 meses: </w:t>
      </w:r>
      <w:r>
        <w:rPr>
          <w:b/>
          <w:bCs/>
        </w:rPr>
        <w:t xml:space="preserve">34,61 EUR</w:t>
      </w:r>
      <w:r>
        <w:t xml:space="preserve"> (rentabilidad +12,3 % (base +17,6 %)) · Valor intrínseco: 31,05 EUR (-1,1 % sobre 31,40) · con la prima implícita del mercado: 34,28 (+9,2 %)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Objetivo a 12 meses (nuestro PER × nuestro BPA 2028e, ponderado 25/55/20)</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 / base / alcista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 × 1,70 = 24,14 · 17,7x × 2,05 = 36,28 · 19,6x × 2,20 = 43,12</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 12 meses: ponderada / del base (con dividendo)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12,3 % / 17,6 %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de múltiplos aplicada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v3: base a mitad de camino hacia la mediana adelantada, sin alejarse del actual más de ×1.1; bajista mín. 5 a (adelantado) o base × 0,80; alcista techo base × 1,35</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Objetivo medio de los analistas (solo contraste)</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34,50 (nuestro base +5,2 %)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intrínseco (síntesis ponderada, largo plazo)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31,05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 / -47,2 %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 frente a 8,5 % y 7,4 %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objetivo con la prima implícita del mercado (4,3 %, WACC 7,4 %)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34,28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anual implícito en el precio (2027e-2032e)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 frente a 7,3 %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calidad de la empresa sostiene el crecimiento previsto?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Sí (4,9 % anual proyectado; sin inversión neta)</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Señal del valor intrínseco (regla del DCF, referencia)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 a 12 meses (Comprar: ponderada ≥ 15 %, base ≥ 12 % y valor intrínseco ≥ precio; Vender: ponderada ≤ -10 %)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Convicción según los criterios (Mantener con las dos reglas de acuerdo y lejos de los umbrales)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Media</w:t>
            </w:r>
          </w:p>
        </w:tc>
      </w:tr>
    </w:tbl>
    <w:p>
      <w:pPr>
        <w:spacing w:after="160" w:before="0"/>
      </w:pPr>
    </w:p>
    <w:p>
      <w:pPr>
        <w:pStyle w:val="Nota"/>
        <w:spacing w:after="100"/>
      </w:pPr>
      <w:r>
        <w:t xml:space="preserve">Regla (método v2): la recomendación sigue al objetivo a 12 meses, que es nuestro PER × nuestro BPA del ejercicio que mirará el mercado dentro de un año, con la misma regla de múltiplos para todas las empresas (base: el menor entre el PER actual y la mediana de 5 años; bajista: el mínimo de 5 años, o el base −15 % si ya cotiza por debajo; alcista: la media histórica o la de los comparables, sin pasar de base +30 %), ponderado con las probabilidades de los escenarios. Comprar si la rentabilidad ponderada es ≥ 15 %, la del base ≥ 12 % y el valor intrínseco no queda por debajo del precio; Vender si la ponderada es ≤ −10 %; Mantener en el resto. El consenso de analistas solo se compara. El valor intrínseco (DCF) es la referencia a largo plazo; su regla, la de siempre: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30,66 (ponderada a 12 meses ≥ 15 %, base ≥ 12 % y precio ≤ valor intrínseco)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30,66 y 39,18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39,18 (ponderada a 12 meses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ejecutivo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8,46 %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Etapa de transición (DCF en tres etapas)</w:t>
      </w:r>
    </w:p>
    <w:p>
      <w:pPr>
        <w:spacing w:after="100"/>
      </w:pPr>
      <w:r>
        <w:t xml:space="preserve">Con la etapa de transición de 5 años el DCF da 28,08 por acción; sin ella (crecimiento terminal desde 2032e), 27,61.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4.363</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0,534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0,492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0,454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4.657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Las redes de distribución tienen inversión regulada comprometida hasta 2037 y la empresa solo cubre el 9 % del mercado europeo: el crecimiento de esa división dura más que la proyección explícita, aunque a un ritmo que converge con el de la inflación [19].</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(5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38,17</w:t>
            </w:r>
          </w:p>
        </w:tc>
      </w:tr>
    </w:tbl>
    <w:p>
      <w:pPr>
        <w:spacing w:after="160" w:before="0"/>
      </w:pPr>
    </w:p>
    <w:p>
      <w:pPr>
        <w:pStyle w:val="Heading2"/>
      </w:pPr>
      <w:r>
        <w:t xml:space="preserve">¿Puede la empresa sostener el crecimiento previsto?</w:t>
      </w:r>
    </w:p>
    <w:p>
      <w:pPr>
        <w:spacing w:after="100"/>
      </w:pPr>
      <w:r>
        <w:rPr>
          <w:b/>
          <w:bCs/>
        </w:rPr>
        <w:t xml:space="preserve">Veredicto: Sí.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6"/>
        <w:gridCol w:w="2992"/>
      </w:tblGrid>
      <w:tr>
        <w:trPr>
          <w:cantSplit/>
          <w:tblHeader/>
        </w:trPr>
        <w:tc>
          <w:tcPr>
            <w:tcW w:type="dxa" w:w="664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Prueba</w:t>
            </w:r>
          </w:p>
        </w:tc>
        <w:tc>
          <w:tcPr>
            <w:tcW w:type="dxa" w:w="29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medio de ingresos proyectado</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Capex bruto medio (incluidas compras si van como inversión)</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 de las ventas</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Reinversión neta acumulada (capex − amortización + circulante)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 M (11 % del NOPAT)</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de mercado implícita en 2032e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 (hoy: 4,1 %)</w:t>
            </w:r>
          </w:p>
        </w:tc>
      </w:tr>
    </w:tbl>
    <w:p>
      <w:pPr>
        <w:spacing w:after="160" w:before="0"/>
      </w:pPr>
    </w:p>
    <w:p>
      <w:pPr>
        <w:spacing w:after="100"/>
      </w:pPr>
      <w:r>
        <w:t xml:space="preserve">La proyección apenas necesita inversión neta de la amortización (reinversión acumulada de 267 M, el 11 % del NOPAT, con un capex bruto medio del 4,7 % de las ventas). En un negocio de activos ligeros, el crecimiento medio del 4,9 % tiene que salir de subir precios y de ganar volumen sin capital nuevo, y la prueba es el poder de precios y la cuota (6,1 % del mercado en 2032e, frente al 4,1 % de hoy); en un comprador en serie, la amortización es de intangibles comprados y la prueba es el capex bruto (las compras) frente al crecimiento comprado.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1028"/>
        <w:gridCol w:w="1028"/>
        <w:gridCol w:w="1285"/>
        <w:gridCol w:w="1156"/>
        <w:gridCol w:w="4113"/>
      </w:tblGrid>
      <w:tr>
        <w:trPr>
          <w:cantSplit/>
          <w:tblHeader/>
        </w:trPr>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Volumen</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2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Otros (mezcla, compras)</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41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 de redes de 1,4 años de ventas y subidas indexadas al cobre [5].</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de capacidad: +12 % de producción de transformadores [8].</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Inversión regulada en redes [20].</w:t>
            </w:r>
          </w:p>
        </w:tc>
      </w:tr>
    </w:tbl>
    <w:p>
      <w:pPr>
        <w:spacing w:after="160" w:before="0"/>
      </w:pPr>
    </w:p>
    <w:p>
      <w:pPr>
        <w:spacing w:after="100"/>
      </w:pPr>
      <w:r>
        <w:t xml:space="preserve">El crecimiento proyectado (5 % de media) está por debajo del previsto para el mercado (7,3 %) [19] y se apoya en una cartera de pedidos que ya cubre 1,4 años de ventas [5]. La reinversión prevista lo financia con el ROIC actual y la cuota apenas cambia. El poder de precios es limitado (la competencia asiática presiona en transformadores [26]), por eso el precio aporta solo 2,5 puntos al año.</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18,0 %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26,90 EUR (-14,3 %).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33,78 – 47,09.</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intrínseco ponderado (largo plazo):</w:t>
      </w:r>
      <w:r>
        <w:t xml:space="preserve"> 31,05 EUR (-1,1 % sobre 31,40).</w:t>
      </w:r>
    </w:p>
    <w:p>
      <w:pPr>
        <w:spacing w:after="100"/>
      </w:pPr>
      <w:r>
        <w:t xml:space="preserve">El DCF pesa la mitad porque el negocio es predecible y regulado en redes. Las transacciones pesan poco: con la familia en el 28 %, una operación de control no es probable [9].</w:t>
      </w:r>
    </w:p>
    <w:p>
      <w:pPr>
        <w:pStyle w:val="Heading2"/>
      </w:pPr>
      <w:r>
        <w:t xml:space="preserve">Objetivo a 12 meses: nuestro PER × nuestro BPA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101"/>
        <w:gridCol w:w="963"/>
        <w:gridCol w:w="3579"/>
        <w:gridCol w:w="1239"/>
        <w:gridCol w:w="1380"/>
      </w:tblGrid>
      <w:tr>
        <w:trPr>
          <w:cantSplit/>
          <w:tblHeader/>
        </w:trPr>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w:t>
            </w:r>
          </w:p>
        </w:tc>
        <w:tc>
          <w:tcPr>
            <w:tcW w:type="dxa" w:w="35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 el PER</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3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Rentabilidad</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base × 0.8</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24,14</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PER actual (17x) a mitad de camino hacia la mediana de 5 años (18.5x)</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36,28</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histórica larga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43,12</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+39,4 %</w:t>
            </w:r>
          </w:p>
        </w:tc>
      </w:tr>
    </w:tbl>
    <w:p>
      <w:pPr>
        <w:spacing w:after="160" w:before="0"/>
      </w:pPr>
    </w:p>
    <w:p>
      <w:pPr>
        <w:spacing w:after="100"/>
      </w:pPr>
      <w:r>
        <w:rPr>
          <w:b/>
          <w:bCs/>
        </w:rPr>
        <w:t xml:space="preserve">Objetivo a 12 meses (ponderado):</w:t>
      </w:r>
      <w:r>
        <w:t xml:space="preserve"> 34,61 EUR · rentabilidad +12,3 % (base +17,6 %) · señal Mantener.</w:t>
      </w:r>
    </w:p>
    <w:p>
      <w:pPr>
        <w:keepNext/>
        <w:spacing w:after="100"/>
      </w:pPr>
      <w:r>
        <w:rPr>
          <w:b/>
          <w:bCs/>
        </w:rPr>
        <w:t xml:space="preserve">Frente al consenso (solo contraste).</w:t>
      </w:r>
    </w:p>
    <w:p>
      <w:pPr>
        <w:spacing w:after="100"/>
      </w:pPr>
      <w:r>
        <w:t xml:space="preserve">Nuestro BPA de 2028 (2,05) queda un 1,5 % por encima del consenso (2,02) por un margen de Redes algo mayor. Nuestro base (34,85) se separa un 1 % de su objetivo medio: llegamos al mismo sitio con nuestras cifras.</w:t>
      </w:r>
    </w:p>
    <w:p>
      <w:pPr>
        <w:keepNext/>
        <w:spacing w:after="100"/>
      </w:pPr>
      <w:r>
        <w:rPr>
          <w:b/>
          <w:bCs/>
        </w:rPr>
        <w:t xml:space="preserve">Del valor intrínseco al objetivo a 12 meses.</w:t>
      </w:r>
    </w:p>
    <w:p>
      <w:pPr>
        <w:spacing w:after="100"/>
      </w:pPr>
      <w:r>
        <w:t xml:space="preserve">El valor intrínseco (31,05) queda cerca del precio y el objetivo a 12 meses apenas por encima: casi todo el potencial a un año viene del crecimiento del beneficio, no de una revalorización del múltiplo. El catalizador que cerraría la distancia al alcista son las adjudicaciones de redes del primer semestre de 2027.</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pPr>
        <w:pStyle w:val="Heading1"/>
      </w:pPr>
      <w:r>
        <w:t xml:space="preserve">28. Sentimiento en foros y comentarios</w:t>
      </w:r>
    </w:p>
    <w:p>
      <w:pPr>
        <w:pStyle w:val="Confianza"/>
        <w:spacing w:after="100"/>
      </w:pPr>
      <w:r>
        <w:t xml:space="preserve">Confianza: Baja</w:t>
      </w:r>
    </w:p>
    <w:p>
      <w:pPr>
        <w:spacing w:after="100"/>
      </w:pPr>
      <w:r>
        <w:rPr>
          <w:b/>
          <w:bCs/>
        </w:rPr>
        <w:t xml:space="preserve">Tono:</w:t>
      </w:r>
      <w:r>
        <w:t xml:space="preserve"> Dividido · </w:t>
      </w:r>
      <w:r>
        <w:rPr>
          <w:b/>
          <w:bCs/>
        </w:rPr>
        <w:t xml:space="preserve">Tendencia:</w:t>
      </w:r>
      <w:r>
        <w:t xml:space="preserve"> Empeora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Foro de inversores 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Positivo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inversores particulares celebran la cartera de redes y piden más dividendo [27].</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Comentarios de lectores (prensa económica)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Neutro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Dudas sobre el margen de automoción; pocos comentarios con datos [28].</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 de inversores B</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2026-09</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Negativo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Inquietud por los precios de los fabricantes asiáticos en transformadores [29].</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redes</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Alcista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datos lo respaldan: la cartera crece y cubre 1,4 años de ventas [5].</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Coincide con el riesgo principal del informe; el margen aún no lo refleja [26].</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Dividendo</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Dividida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payout ya está en la parte alta de la política [1].</w:t>
            </w:r>
          </w:p>
        </w:tc>
      </w:tr>
    </w:tbl>
    <w:p>
      <w:pPr>
        <w:spacing w:after="160" w:before="0"/>
      </w:pPr>
    </w:p>
    <w:p>
      <w:pPr>
        <w:spacing w:after="100"/>
      </w:pPr>
      <w:r>
        <w:t xml:space="preserve">El tono se ha enfriado desde los resultados del 1S: el optimismo por las redes sigue, pero el hilo más activo de septiembre gira en torno a la competencia asiática [27, 29]. No aporta cifras nuevas; confirma que el mercado ya mira el riesgo de margen que el informe sitúa en primer lugar, de modo que no es un catalizador oculto.</w:t>
      </w:r>
    </w:p>
    <w:p>
      <w:pPr>
        <w:pStyle w:val="Nota"/>
        <w:spacing w:after="100"/>
      </w:pPr>
      <w:r>
        <w:t xml:space="preserve">Opiniones de inversores en foros, redes y comentarios de prensa: sirven para saber qué preocupa o entusiasma al mercado, no como fuente de cifras. No entran en la valoración.</w:t>
      </w:r>
    </w:p>
    <w:p>
      <w:r>
        <w:br w:type="page"/>
      </w:r>
    </w:p>
    <w:p>
      <w:pPr>
        <w:pStyle w:val="Parte"/>
      </w:pPr>
      <w:r>
        <w:t xml:space="preserve">Anexos</w:t>
      </w:r>
    </w:p>
    <w:p>
      <w:pPr>
        <w:pStyle w:val="Heading1"/>
      </w:pPr>
      <w:r>
        <w:t xml:space="preserve">A. Controles de calidad del análisis</w:t>
      </w:r>
    </w:p>
    <w:p>
      <w:pPr>
        <w:spacing w:after="100"/>
      </w:pPr>
      <w:r>
        <w:t xml:space="preserve">19 de 21 controles correctos y 1 explicados. Fuentes: 29 (15 primarias); citas distintas en el texto: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Puente de ingresos (volumen + precio + otros) = crecimiento del DCF</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implícita al final de la proyección ≤ 1,5 × la actual (o +10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Cuota de 6,1 % en 2032e frente al 4,1 % de hoy.</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11,8 % frente a WACC 8,5 %: crecer apenas crea valor; la etapa de transición infla el DCF sin base. Explicación: El ROIC del grupo (11,8 %) se queda corto, pero el de redes, que es lo que sigue creciendo, supera el 20 % con retribución regulada; la etapa solo añade un 2 % al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Múltiplos del objetivo a 12 m según la regla común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Objetivo 12 m frente al consenso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base se separa un 5,2 % del objetivo medio de los analistas: explícalo en diferencia_consenso (nunca se acerca la cifra).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cierre de la fecha de corte (o de las dos sesiones anteriores)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síntesis explica la convicción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síntesis debe decir por qué tiene esa convicción y qué la subiría o la bajaría.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Foros y redes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«Compañía Ejemplo tras el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Comentarios de lectores a la noticia de resultados del 1S (ficticios)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sobre transformadores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97,4 %</w:t>
      </w:r>
      <w:r>
        <w:t xml:space="preserve"> · Secciones con menos del 60 % de campos cubiertos: </w:t>
      </w:r>
      <w:r>
        <w:rPr>
          <w:b/>
          <w:bCs/>
        </w:rPr>
        <w:t xml:space="preserve">ninguna</w:t>
      </w:r>
      <w:r>
        <w:t xml:space="preserve"> · Generado el 14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1510</c:v>
                </c:pt>
                <c:pt idx="1">
                  <c:v>972</c:v>
                </c:pt>
                <c:pt idx="2">
                  <c:v>2640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16.57</c:v>
                </c:pt>
                <c:pt idx="1">
                  <c:v>28.08</c:v>
                </c:pt>
                <c:pt idx="2">
                  <c:v>36.55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2026-10-14T10:04:16.623Z</dcterms:created>
  <dcterms:modified xsi:type="dcterms:W3CDTF">2026-10-14T10:04:16.623Z</dcterms:modified>
</cp:coreProperties>
</file>

<file path=docProps/custom.xml><?xml version="1.0" encoding="utf-8"?>
<Properties xmlns="http://schemas.openxmlformats.org/officeDocument/2006/custom-properties" xmlns:vt="http://schemas.openxmlformats.org/officeDocument/2006/docPropsVTypes"/>
</file>