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Equifax Inc.</w:t>
      </w:r>
    </w:p>
    <w:p>
      <w:pPr>
        <w:spacing w:after="60"/>
        <w:rPr>
          <w:color w:val="52514E"/>
          <w:sz w:val="22"/>
          <w:szCs w:val="22"/>
        </w:rPr>
      </w:pPr>
      <w:r>
        <w:rPr>
          <w:color w:val="52514E"/>
          <w:sz w:val="22"/>
          <w:szCs w:val="22"/>
        </w:rPr>
        <w:t xml:space="preserve">EFX · New York Stock Exchange · ISIN US2944291051 · Industriales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8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142,43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186,41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+32,4 % (base +26,6 %)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162,26 USD · mercado 191,49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16.849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9,6x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2,7x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Equifax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EFX / US2944291051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New York Stock Exchange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Industriales / Servicios profesionales (Research &amp; Consulting Services)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Atlanta (Georgia) · 1899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https://www.equifax.com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142,43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137,01 – 238,94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16.849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22.435 M USD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 M acciones/día, unos 269 M USD/día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Baja · Objetivo a 12 meses </w:t>
      </w:r>
      <w:r>
        <w:rPr>
          <w:b/>
          <w:bCs/>
        </w:rPr>
        <w:t xml:space="preserve">186,41 USD</w:t>
      </w:r>
      <w:r>
        <w:t xml:space="preserve"> frente a 142,43 · Rentabilidad a 12 meses </w:t>
      </w:r>
      <w:r>
        <w:rPr>
          <w:b/>
          <w:bCs/>
        </w:rPr>
        <w:t xml:space="preserve">+32,4 % (base +26,6 %)</w:t>
      </w:r>
      <w:r>
        <w:t xml:space="preserve"> · Valor intrínseco 162,26 USD · con la prima implícita del mercado: 191,49 (+34,4 %) · Alcista / bajista +37,5 % / -27,6 %</w:t>
      </w:r>
    </w:p>
    <w:p>
      <w:pPr>
        <w:spacing w:after="100"/>
      </w:pPr>
      <w:r>
        <w:rPr>
          <w:b/>
        </w:rPr>
        <w:t xml:space="preserve">La recomendación y por qué.</w:t>
      </w:r>
      <w:r>
        <w:t xml:space="preserve"> Comprar, con convicción baja. El valor objetivo es de 162,26 USD frente a 142,43 USD: un potencial del 13,9 % y una rentabilidad total esperada del 15,4 % con el dividendo, con una asimetría de 1,36 veces (alcista +37,5 %, bajista −27,6 %). Las dos reglas dan Comprar; con la prima que hoy pide el mercado (4,20 %), el objetivo sube a 191,49 USD y la rentabilidad al 35,9 %. La convicción es baja porque la regla absoluta pasa por 0,4 puntos y porque la FHFA puede anunciar el informe doble el 12 de octubre [30].</w:t>
      </w:r>
    </w:p>
    <w:p>
      <w:pPr>
        <w:spacing w:after="100"/>
      </w:pPr>
      <w:r>
        <w:rPr>
          <w:b/>
        </w:rPr>
        <w:t xml:space="preserve">El negocio.</w:t>
      </w:r>
      <w:r>
        <w:t xml:space="preserve"> El valor está en Workforce Solutions: The Work Number tiene 217 millones de registros activos, más de tres veces los de Experian, y un margen EBITDA ajustado del 51,5 % [4, 21, 36]. A 15 veces su EBITDA, vale casi todo el valor empresa del grupo. La debilidad es el capital: el ROIC del grupo (9,3 %) está por debajo del WACC (10,08 %) por el fondo de comercio de las compras y el coste de la nube. ¿Sostiene la calidad el crecimiento que proyectamos? En parte: el volumen sí (registros de The Work Number al +10 %, Medicaid desde 2027) [21, 41], pero casi la mitad del crecimiento de 2026-2029 es precio, que está bajo la lupa de reguladores y estados [1, 40]. No rebajamos el caso base porque ya está en la parte baja del marco de la dirección, sin recuperación hipotecaria y por debajo del consenso, y el bajista (25 %) recoge el recorte de precio.</w:t>
      </w:r>
    </w:p>
    <w:p>
      <w:pPr>
        <w:spacing w:after="100"/>
      </w:pPr>
      <w:r>
        <w:rPr>
          <w:b/>
        </w:rPr>
        <w:t xml:space="preserve">Sector y ciclo.</w:t>
      </w:r>
      <w:r>
        <w:t xml:space="preserve"> Las consultas hipotecarias siguen un 50 % por debajo de 2015-2019 [21]. El crecimiento hipotecario reciente es precio, no volumen: la hipoteca de USIS creció un 40 % en el 2T26 con las consultas al +1 % [18]. La regulación es el riesgo: el informe doble, la venta directa de FICO y la presión de los estados sobre el precio de la verificación [30, 38, 40].</w:t>
      </w:r>
    </w:p>
    <w:p>
      <w:pPr>
        <w:spacing w:after="100"/>
      </w:pPr>
      <w:r>
        <w:rPr>
          <w:b/>
        </w:rPr>
        <w:t xml:space="preserve">Finanzas.</w:t>
      </w:r>
      <w:r>
        <w:t xml:space="preserve"> La nube está terminada y se ve en la caja: el capex baja del 12,2 % de las ventas en 2022 al 7,9 % en 2025 y el flujo libre sube a 1.134 M [3]. Desde 2026 los ingresos llevan unos 385 M de reventa de FICO sin margen, que inflan el crecimiento (11 % publicado, 7,8 % sin FICO) [21]. Deuda neta ajustada de 5.446 M, 2,7 veces el EBITDA, con las recompras del semestre pagadas con papel comercial [2].</w:t>
      </w:r>
    </w:p>
    <w:p>
      <w:pPr>
        <w:spacing w:after="100"/>
      </w:pPr>
      <w:r>
        <w:rPr>
          <w:b/>
        </w:rPr>
        <w:t xml:space="preserve">Equipo y gobierno.</w:t>
      </w:r>
      <w:r>
        <w:t xml:space="preserve"> Suma poco y resta poco: presidente independiente y un 90 % de consejeros independientes, pero la remuneración del consejero delegado subió a 23,42 M y el voto en contra al 15,6 %, el consejero delegado vendió unos 28 M en acciones y su sucesión no está resuelta [55, 59, 67].</w:t>
      </w:r>
    </w:p>
    <w:p>
      <w:pPr>
        <w:spacing w:after="100"/>
      </w:pPr>
      <w:r>
        <w:rPr>
          <w:b/>
        </w:rPr>
        <w:t xml:space="preserve">Valoración.</w:t>
      </w:r>
      <w:r>
        <w:t xml:space="preserve"> El DCF da 155,96 USD; los comparables, 182,09; la suma de partes, 176,41; los escenarios, 152,72. El DCF inverso dice que el precio descuenta un crecimiento del 4,7 % anual y un margen EBITDA del 32,9 %, frente al 5,8 % y el 34,7 % de nuestro caso base, que ya no incluye ninguna recuperación hipotecaria y queda un 6,7 % por debajo del EBITDA del consenso de 2028 [79]. A 9,6 veces el EBITDA de los próximos 12 meses, cotiza por debajo de cualquier cierre de los diez últimos años. Discrepamos del mercado en que el informe doble resta valor a USIS, pero no toca a Workforce Solutions.</w:t>
      </w:r>
    </w:p>
    <w:p>
      <w:pPr>
        <w:spacing w:after="100"/>
      </w:pPr>
      <w:r>
        <w:rPr>
          <w:b/>
        </w:rPr>
        <w:t xml:space="preserve">Riesgos y catalizadores.</w:t>
      </w:r>
      <w:r>
        <w:t xml:space="preserve"> El informe doble restaría un 7 % del valor (estimación propia); dos puntos menos de margen en la verificación, un 9,6 %; medio punto más de WACC, un 8,7 %. Fechas: FHFA el 12 de octubre, resultados del 3T26 el 20 de octubre [78] y verificaciones de Medicaid desde el 1 de enero de 2027 [41].</w:t>
      </w:r>
    </w:p>
    <w:p>
      <w:pPr>
        <w:spacing w:after="100"/>
      </w:pPr>
      <w:r>
        <w:rPr>
          <w:b/>
        </w:rPr>
        <w:t xml:space="preserve">Qué cambiaría la decisión.</w:t>
      </w:r>
      <w:r>
        <w:t xml:space="preserve"> Comprar por debajo de 156,42 USD y vender por encima de 208,83. Pasaríamos a Mantener si la FHFA fija el informe único, si el margen de Workforce Solutions baja del 50 % o si la guía de 2027 deja el margen sin FICO por debajo del 34 %.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Baja · Horizonte: 12 meses · Objetivo a 12 meses: </w:t>
      </w:r>
      <w:r>
        <w:rPr>
          <w:b/>
          <w:bCs/>
        </w:rPr>
        <w:t xml:space="preserve">186,41 USD</w:t>
      </w:r>
      <w:r>
        <w:t xml:space="preserve"> (rentabilidad +32,4 % (base +26,6 %)) · Valor intrínseco: 162,26 USD (+13,9 % sobre 142,43) · con la prima implícita del mercado: 191,49 (+34,4 %)</w:t>
      </w:r>
    </w:p>
    <w:p>
      <w:pPr>
        <w:spacing w:after="100"/>
      </w:pPr>
      <w:r>
        <w:t xml:space="preserve">Equifax es dos negocios. Workforce Solutions, con The Work Number, verifica empleo e ingresos con 217 millones de registros activos que aportan los propios empleadores; gana un 51,5 % de margen EBITDA ajustado y crece con la verificación pública [4, 21]. El resto, la agencia de crédito de EE. UU. e International, es un negocio de datos maduro, sensible a la hipoteca. Tras la nube, el capex ha bajado al 7,9 % de las ventas y el flujo libre ha llegado a 1.134 M en 2025 [3].</w:t>
      </w:r>
    </w:p>
    <w:p>
      <w:pPr>
        <w:spacing w:after="100"/>
      </w:pPr>
      <w:r>
        <w:t xml:space="preserve">A 142,43 USD, un 40 % por debajo del máximo de octubre de 2025 [76], el precio descuenta un crecimiento del 4,7 % anual y un margen del 32,9 % en 2027-2035, con el EBITDA del ciclo bajo: las consultas hipotecarias están en la mitad de su nivel de 2015-2019 [21]. Cotiza a 9,6 veces el EBITDA de los próximos 12 meses, entre TransUnion (8,6x) y FICO (11,3x) [94, 96], y por debajo de su mínimo de diez años.</w:t>
      </w:r>
    </w:p>
    <w:p>
      <w:pPr>
        <w:spacing w:after="100"/>
      </w:pPr>
      <w:r>
        <w:t xml:space="preserve">El mercado tiene razón en que el modelo de tres agencias en hipotecas se acaba: el informe doble y la venta directa de FICO restarán ingresos a USIS [30, 38]. Se equivoca al trasladar ese miedo a Workforce Solutions, cuyo dato no tiene sustituto a escala y cuyo uso público crecerá con Medicaid desde 2027 [41]. Para invertir hay que creer que el margen de la verificación aguanta por encima del 50 % y que el margen del grupo sin FICO sube medio punto al año, como ya hace en 2026 [21].</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186,41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 × 9,20 = 119,60 · 16,3x × 10,93 = 178,16 · 22,0x × 12,26 = 269,72</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32,4 % / 26,6 %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203,90 (nuestro base -12,6 %)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162,26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 / -27,6 %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10,6 % frente a 10,1 % y 8,9 %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191,49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9,27x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(6,4 %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(no llega a Alta: rentabilidad del 15,4 % (&lt; 25 %); asimetría de 1,36 (&lt; 2); bajista del -27,6 % (pierde más del 25 %); el precio descuenta solo 1,1 puntos menos de crecimiento que el caso base (&lt; 3))</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160,96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160,96 y 209,48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209,48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FHFA aprueba el informe único (no el doble) para las hipotecas de las agencias, pasaríamos a Mantener.</w:t>
      </w:r>
    </w:p>
    <w:p>
      <w:pPr>
        <w:pStyle w:val="ListParagraph"/>
        <w:numPr>
          <w:ilvl w:val="0"/>
          <w:numId w:val="2"/>
        </w:numPr>
        <w:spacing w:after="60"/>
      </w:pPr>
      <w:r>
        <w:t xml:space="preserve">Si el margen EBITDA ajustado de Workforce Solutions baja del 50 % en dos trimestres seguidos, pasaríamos a Mantener.</w:t>
      </w:r>
    </w:p>
    <w:p>
      <w:pPr>
        <w:pStyle w:val="ListParagraph"/>
        <w:numPr>
          <w:ilvl w:val="0"/>
          <w:numId w:val="2"/>
        </w:numPr>
        <w:spacing w:after="60"/>
      </w:pPr>
      <w:r>
        <w:t xml:space="preserve">Si la guía de 2027 deja el margen sin FICO por debajo del 34 %, revisaríamos el caso base a la baja.</w:t>
      </w:r>
    </w:p>
    <w:p>
      <w:pPr>
        <w:pStyle w:val="ListParagraph"/>
        <w:numPr>
          <w:ilvl w:val="0"/>
          <w:numId w:val="2"/>
        </w:numPr>
        <w:spacing w:after="60"/>
      </w:pPr>
      <w:r>
        <w:t xml:space="preserve">Si la acción supera los 208,83 USD sin cambios en las cifras, pasaríamos a Vender o reducir.</w:t>
      </w:r>
    </w:p>
    <w:p>
      <w:pPr>
        <w:pStyle w:val="ListParagraph"/>
        <w:numPr>
          <w:ilvl w:val="0"/>
          <w:numId w:val="2"/>
        </w:numPr>
        <w:spacing w:after="60"/>
      </w:pPr>
      <w:r>
        <w:t xml:space="preserve">Si la deuda neta supera 3,0 veces el EBITDA tras Círculo de Crédito sin parar las recompras, bajaríamos la convicción.</w:t>
      </w:r>
    </w:p>
    <w:p>
      <w:pPr>
        <w:pStyle w:val="Heading2"/>
      </w:pPr>
      <w:r>
        <w:t xml:space="preserve">Dónde discrepamos del mercado</w:t>
      </w:r>
    </w:p>
    <w:p>
      <w:pPr>
        <w:keepNext/>
        <w:spacing w:after="100"/>
      </w:pPr>
      <w:r>
        <w:rPr>
          <w:b/>
          <w:bCs/>
        </w:rPr>
        <w:t xml:space="preserve">Lo que descuenta el precio.</w:t>
      </w:r>
    </w:p>
    <w:p>
      <w:pPr>
        <w:spacing w:after="100"/>
      </w:pPr>
      <w:r>
        <w:t xml:space="preserve">Un Equifax que crece un 4,7 % anual y no mejora su margen (32,9 % frente al 31,9 % de 2025), como si el informe doble, FICO y la presión sobre el precio de la verificación anularan el apalancamiento operativo que deja la nube. La acción ha caído un 33,8 % en el año y cinco casas han recortado el precio objetivo desde el 29 de septiembre [76, 84].</w:t>
      </w:r>
    </w:p>
    <w:p>
      <w:pPr>
        <w:keepNext/>
        <w:spacing w:after="100"/>
      </w:pPr>
      <w:r>
        <w:rPr>
          <w:b/>
          <w:bCs/>
        </w:rPr>
        <w:t xml:space="preserve">Lo que creemos nosotros.</w:t>
      </w:r>
    </w:p>
    <w:p>
      <w:pPr>
        <w:spacing w:after="100"/>
      </w:pPr>
      <w:r>
        <w:t xml:space="preserve">El informe doble cuesta en torno a un 7 % del valor y la reventa de FICO casi nada, porque va sin margen. Workforce Solutions sigue siendo el activo de verificación dominante y su vertical público crecerá con Medicaid. El margen sin FICO sube del 33,5 % al 36 %, el nivel de 2016-2017, sin recuperación hipotecaria.</w:t>
      </w:r>
    </w:p>
    <w:p>
      <w:pPr>
        <w:keepNext/>
        <w:spacing w:after="100"/>
      </w:pPr>
      <w:r>
        <w:rPr>
          <w:b/>
          <w:bCs/>
        </w:rPr>
        <w:t xml:space="preserve">Por qué podemos tener razón.</w:t>
      </w:r>
    </w:p>
    <w:p>
      <w:pPr>
        <w:spacing w:after="100"/>
      </w:pPr>
      <w:r>
        <w:t xml:space="preserve">La dirección ya mejora el margen sin FICO en 2026 (+120 pb en el 2T26) [21]; el capex de la nube ya ha bajado [3]; y The Work Number tiene más de tres veces los registros del siguiente competidor [36]. Si fallamos, será por el precio de la verificación, no por la hipoteca.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Foso en verificación</w:t>
      </w:r>
      <w:r>
        <w:t xml:space="preserve">: 217 millones de registros activos, más de tres veces los de Experian, y margen EBITDA del 51,5 % [4, 21, 36].</w:t>
      </w:r>
    </w:p>
    <w:p>
      <w:pPr>
        <w:pStyle w:val="ListParagraph"/>
        <w:numPr>
          <w:ilvl w:val="0"/>
          <w:numId w:val="2"/>
        </w:numPr>
        <w:spacing w:after="60"/>
      </w:pPr>
      <w:r>
        <w:rPr>
          <w:b/>
        </w:rPr>
        <w:t xml:space="preserve">La nube ya está pagada</w:t>
      </w:r>
      <w:r>
        <w:t xml:space="preserve">: capex del 12,2 % de las ventas en 2022 al 7,9 % en 2025 y flujo libre de 1.134 M [3].</w:t>
      </w:r>
    </w:p>
    <w:p>
      <w:pPr>
        <w:pStyle w:val="ListParagraph"/>
        <w:numPr>
          <w:ilvl w:val="0"/>
          <w:numId w:val="2"/>
        </w:numPr>
        <w:spacing w:after="60"/>
      </w:pPr>
      <w:r>
        <w:rPr>
          <w:b/>
        </w:rPr>
        <w:t xml:space="preserve">Precio de valle</w:t>
      </w:r>
      <w:r>
        <w:t xml:space="preserve">: 9,6 veces el EBITDA de los próximos 12 meses, por debajo de cualquier cierre de los diez últimos años.</w:t>
      </w:r>
    </w:p>
    <w:p>
      <w:pPr>
        <w:pStyle w:val="ListParagraph"/>
        <w:numPr>
          <w:ilvl w:val="0"/>
          <w:numId w:val="2"/>
        </w:numPr>
        <w:spacing w:after="60"/>
      </w:pPr>
      <w:r>
        <w:rPr>
          <w:b/>
        </w:rPr>
        <w:t xml:space="preserve">Hipoteca en mínimos</w:t>
      </w:r>
      <w:r>
        <w:t xml:space="preserve">: las consultas están un 50 % por debajo de 2015-2019; la recuperación completa valdría 1.000-1.200 M de ingresos sin FICO [21].</w:t>
      </w:r>
    </w:p>
    <w:p>
      <w:pPr>
        <w:pStyle w:val="ListParagraph"/>
        <w:numPr>
          <w:ilvl w:val="0"/>
          <w:numId w:val="2"/>
        </w:numPr>
        <w:spacing w:after="60"/>
      </w:pPr>
      <w:r>
        <w:rPr>
          <w:b/>
        </w:rPr>
        <w:t xml:space="preserve">Verificación pública</w:t>
      </w:r>
      <w:r>
        <w:t xml:space="preserve">: 300 M de contratos firmados en el semestre y Medicaid desde el 1-ene-2027 [21, 41].</w:t>
      </w:r>
    </w:p>
    <w:p>
      <w:pPr>
        <w:pStyle w:val="Heading2"/>
      </w:pPr>
      <w:r>
        <w:t xml:space="preserve">En contra</w:t>
      </w:r>
    </w:p>
    <w:p>
      <w:pPr>
        <w:pStyle w:val="ListParagraph"/>
        <w:numPr>
          <w:ilvl w:val="0"/>
          <w:numId w:val="2"/>
        </w:numPr>
        <w:spacing w:after="60"/>
      </w:pPr>
      <w:r>
        <w:rPr>
          <w:b/>
        </w:rPr>
        <w:t xml:space="preserve">Informe doble</w:t>
      </w:r>
      <w:r>
        <w:t xml:space="preserve">: la FHFA puede anunciarlo el 12 de octubre; costaría un 7 % del valor (estimación propia) [30].</w:t>
      </w:r>
    </w:p>
    <w:p>
      <w:pPr>
        <w:pStyle w:val="ListParagraph"/>
        <w:numPr>
          <w:ilvl w:val="0"/>
          <w:numId w:val="2"/>
        </w:numPr>
        <w:spacing w:after="60"/>
      </w:pPr>
      <w:r>
        <w:rPr>
          <w:b/>
        </w:rPr>
        <w:t xml:space="preserve">ROIC por debajo del WACC</w:t>
      </w:r>
      <w:r>
        <w:t xml:space="preserve">: 9,3 % frente al 10,08 %, con 6.746 M de fondo de comercio [1].</w:t>
      </w:r>
    </w:p>
    <w:p>
      <w:pPr>
        <w:pStyle w:val="ListParagraph"/>
        <w:numPr>
          <w:ilvl w:val="0"/>
          <w:numId w:val="2"/>
        </w:numPr>
        <w:spacing w:after="60"/>
      </w:pPr>
      <w:r>
        <w:rPr>
          <w:b/>
        </w:rPr>
        <w:t xml:space="preserve">Precio de la verificación bajo lupa</w:t>
      </w:r>
      <w:r>
        <w:t xml:space="preserve">: CFPB, una demanda antimonopolio y una investigación del Senado [1, 40].</w:t>
      </w:r>
    </w:p>
    <w:p>
      <w:pPr>
        <w:pStyle w:val="ListParagraph"/>
        <w:numPr>
          <w:ilvl w:val="0"/>
          <w:numId w:val="2"/>
        </w:numPr>
        <w:spacing w:after="60"/>
      </w:pPr>
      <w:r>
        <w:rPr>
          <w:b/>
        </w:rPr>
        <w:t xml:space="preserve">Deuda al alza</w:t>
      </w:r>
      <w:r>
        <w:t xml:space="preserve">: 5.467 M a junio, 2,7 veces el EBITDA, con recompras financiadas con papel comercial [2].</w:t>
      </w:r>
    </w:p>
    <w:p>
      <w:pPr>
        <w:pStyle w:val="ListParagraph"/>
        <w:numPr>
          <w:ilvl w:val="0"/>
          <w:numId w:val="2"/>
        </w:numPr>
        <w:spacing w:after="60"/>
      </w:pPr>
      <w:r>
        <w:rPr>
          <w:b/>
        </w:rPr>
        <w:t xml:space="preserve">Sensibilidad</w:t>
      </w:r>
      <w:r>
        <w:t xml:space="preserve">: medio punto más de WACC resta un 8,7 % al DCF; el valor terminal pesa el 56 %.</w:t>
      </w:r>
    </w:p>
    <w:p>
      <w:pPr>
        <w:pStyle w:val="Heading2"/>
      </w:pPr>
      <w:r>
        <w:t xml:space="preserve">Qué tiene que pasar para que la tesis funcione</w:t>
      </w:r>
    </w:p>
    <w:p>
      <w:pPr>
        <w:spacing w:after="100"/>
      </w:pPr>
      <w:r>
        <w:t xml:space="preserve">La tesis depende de que el precio y el margen de Workforce Solutions aguanten: un margen EBITDA ajustado de la división por debajo del 50 % (51,5 % en 2025) en dos trimestres, o contratos públicos perdidos frente a Truv o Argyle, dirían que el foso se estrecha más deprisa de lo que suponemos. En USIS, lo que importa es el calendario del informe doble y la cuota que retenga Equifax [4, 30].</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de Workforce Solutions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52,1 % (2T26) [12]</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50 %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negocio que sostiene el valor.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ajustado sin FICO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33,5-34,0 % (guía 2026) [21]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34 % en la guía de 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medio punto al año.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 del mercado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(2T26) [18]</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Negativas dos trimestres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recuperación del volumen no hay alcista.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Registros activos de The Work Number</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M (jun-26) [21]</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Estancados un año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foso frente a Truv, Argyle y Experian.</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neta ajustada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veces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&gt; 3,0 veces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Covenant de 3,75 veces y rating BBB [1, 58].</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11,0x / 9,6x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25,0x / 17,8x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(2016-2025)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 · 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Los hermanos Cator y Guy Woolford fundaron Retail Credit Company en Atlanta en 1899; en 1920 ya tenía oficinas en EE. UU. y Canadá y en 1965 salió a bolsa [50]. Tras el escrutinio de los reguladores en los años setenta pasó a llamarse Equifax [51]. En los noventa salió a Europa y Sudamérica [50] y separó ChoicePoint (1997) y Certegy (2001) [51]. La compra de TALX en 2007 le dio The Work Number, hoy su negocio más rentable [1, 52]. El ciberataque de 2017, que expuso datos de unos 148 millones de personas, marcó la etapa siguiente [53]: un acuerdo de 2019 con la FTC, la CFPB y 48 estados [15], la llegada de Mark Begor como consejero delegado en 2018 [1] y una migración completa a la nube [1]. Desde entonces crece con compras en verificación y en crédito latinoamericano [1, 12,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1899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Cator y Guy Woolford fundan Retail Credit Company en Atlanta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1965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compañía sale a bolsa [50].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Retail Credit Company pasa a llamarse Equifax, tras años de escrutinio de los reguladores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ChoicePoint; en 2001 separa Certegy [51].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2007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TALX y con ella The Work Number, que entonces tenía más de 147 millones de registros de empleo; paga unos 20,6 millones de acciones y 283 M USD en efectivo [52].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Ciberataque con datos de unos 148 millones de consumidores expuestos [53]; en 2019 acuerda con la FTC, la CFPB y 48 estados un fondo de 380,5 M USD ampliable en 125 M USD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Begor, que venía de Warburg Pincus y de 35 años en GE, se convierte en consejero delegado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Appriss Insights (antecedentes penales) para Workforce Solutions y Kount (fraude) para USIS, entre otras [15].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error de código vende puntuaciones de crédito incorrectas entre el 17 de marzo y el 8 de abril; la CFPB lo sanciona en 2025 [48, 49].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el resto de Boa Vista Serviços, la agencia de crédito brasileña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acepta VantageScore 4.0 en las hipotecas de Fannie Mae y Freddie Mac y FICO lanza su licencia directa a los revendedores hipotecarios [28, 38].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Acuerda comprar Círculo de Crédito, agencia de crédito de México, por un valor empresa de 750 M USD, con cierre previsto en el cuarto trimestre [12].</w:t>
            </w:r>
          </w:p>
        </w:tc>
      </w:tr>
    </w:tbl>
    <w:p>
      <w:pPr>
        <w:spacing w:after="160" w:before="0"/>
      </w:pPr>
    </w:p>
    <w:p>
      <w:pPr>
        <w:pStyle w:val="Heading1"/>
      </w:pPr>
      <w:r>
        <w:t xml:space="preserve">2. Modelo de negocio</w:t>
      </w:r>
    </w:p>
    <w:p>
      <w:pPr>
        <w:pStyle w:val="Confianza"/>
        <w:spacing w:after="100"/>
      </w:pPr>
      <w:r>
        <w:t xml:space="preserve">Confianza: Alta</w:t>
      </w:r>
    </w:p>
    <w:p>
      <w:pPr>
        <w:spacing w:after="100"/>
      </w:pPr>
      <w:r>
        <w:t xml:space="preserve">Equifax es una compañía de datos, analítica y tecnología con sede en Atlanta cuyo origen se remonta a 1899 [1]. Vende tres cosas. </w:t>
      </w:r>
      <w:r>
        <w:rPr>
          <w:b/>
        </w:rPr>
        <w:t xml:space="preserve">Workforce Solutions</w:t>
      </w:r>
      <w:r>
        <w:t xml:space="preserve"> (2.582 M USD en 2025, 43 % de los ingresos) verifica empleo e ingresos con The Work Number, una base alimentada por las nóminas de más de 4 millones de organizaciones que a cierre de 2025 tenía unos 209 millones de registros activos y 813 millones en total; la usan prestamistas hipotecarios y de consumo, empresas de selección de personal y agencias públicas, y la completa con servicios de recursos humanos para empleadores [1]. </w:t>
      </w:r>
      <w:r>
        <w:rPr>
          <w:b/>
        </w:rPr>
        <w:t xml:space="preserve">U.S. Information Solutions</w:t>
      </w:r>
      <w:r>
        <w:t xml:space="preserve"> (2.079 M USD, 34 %) es la agencia de crédito de consumo y empresas en EE. UU.: informes y puntuaciones online, informes hipotecarios que combinan los datos de las tres agencias (tri-merge), identidad y fraude, marketing financiero y productos directos al consumidor [1]. </w:t>
      </w:r>
      <w:r>
        <w:rPr>
          <w:b/>
        </w:rPr>
        <w:t xml:space="preserve">International</w:t>
      </w:r>
      <w:r>
        <w:t xml:space="preserve"> (1.414 M USD, 23 %) replica ese negocio en Latinoamérica (con Boa Vista en Brasil), Europa (Reino Unido y España), Asia-Pacífico (Australia, Nueva Zelanda, India) y Canadá [1]. EE. UU. supuso el 77 % de los ingresos de 2025 [1]. Vende sobre todo con fuerza de ventas propia organizada por verticales (hipotecas, financiero, gobierno, automoción), y también a través de revendedores y por comercio electrónico al consumidor [1].</w:t>
      </w:r>
    </w:p>
    <w:p>
      <w:pPr>
        <w:pStyle w:val="Heading2"/>
      </w:pPr>
      <w:r>
        <w:t xml:space="preserve">Cómo gana dinero</w:t>
      </w:r>
    </w:p>
    <w:p>
      <w:pPr>
        <w:spacing w:after="100"/>
      </w:pPr>
      <w:r>
        <w:t xml:space="preserve">Cobra casi todo por transacción: cada consulta de crédito, cada verificación de empleo o ingresos y cada informe hipotecario es una venta; una parte menor son suscripciones [1]. El margen depende del volumen, del precio y del coste de los datos de terceros. Los datos de crédito los aportan los propios prestamistas y las nóminas de The Work Number no se pagan, porque el servicio ahorra al empleador contestar verificaciones [1]; por eso una consulta adicional cuesta poco y el apalancamiento operativo es alto. El margen operativo de los segmentos lo muestra: 44,2 % en Workforce Solutions, 22,9 % en USIS y 12,9 % en International en 2025 [1]. El coste que más crece son los derechos que paga a FICO por las puntuaciones hipotecarias, que en 2025 restaron margen al grupo [1]. La demanda es cíclica: depende de las originaciones hipotecarias, del crédito al consumo y de la contratación; el primer trimestre es el más flojo en USIS y el más fuerte en Employer Services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2.582</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1.893</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1.414</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Corporativo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está muy diversificada: el mayor cliente supone en torno al 3 % de los ingresos [1]. Los clientes son bancos, prestamistas hipotecarios y de automoción, empresas de telecomunicaciones, empleadores, agencias públicas federales, estatales y locales, y consumidores [1]. En el lado de la oferta, The Work Number apenas pierde empleadores aportantes porque no les cobra por incluir sus datos [1]. El poder de precios es visible en hipotecas: en 2025 los ingresos hipotecarios de USIS crecieron por precio pese a que bajó el volumen de consultas, y en el segundo trimestre de 2026 los ingresos hipotecarios de USIS subieron un 40 % [1, 12]. En gobierno, Equifax firmó en el primer semestre de 2026 contratos nuevos y renovaciones por unos 300 M USD de valor anual, que se notarán sobre todo desde 2027 [12]. Ese poder de precios es a la vez el blanco de los reguladores: el director de la FHFA acusa a las tres agencias de cobrar de más [29] y tres senadores documentaron subidas del 69 % al 126 % en cuatro años en lo que pagan varios estados por The Work Number [40].</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Registros activos de The Work Number</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 M (dic-24)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 M (dic-25); 217 M (jun-26)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 +10 % interanual a junio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Registros totales, activos e históricos: 734 M a dic-24, 813 M a dic-25 y 839 M a jun-26; los registros vigentes cubren 108 M de números de la seguridad social frente a unos 250 M de estadounidenses con ingresos [1, 19, 21, 27].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hipoteca en los ingresos de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sin dato comparable de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 de Workforce Solutions y 32 % de USIS</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1.260 M, cerca del 21 % del grupo (estimación propia)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Mezcla de ingresos de 2025 publicada por la empresa sobre 2.582 M de Workforce Solutions y 2.078 M de USIS; el importe en dólares es cálculo propio [22]. En 2026 la puntuación hipotecaria de FICO, revendida sin margen, es algo menos de la mitad de los ingresos hipotecarios de USIS y un 6 % de los del grupo [19].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Consultas hipotecarias duras del mercado de EE. UU.</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+1 % interanual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nivel de unos -50 % frente a la media de 2015-2019</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2026: originaciones hipotecarias con caída de un dígito bajo. La empresa calcula 1.200 M de ingresos adicionales sin FICO si el mercado vuelve a los niveles de 2015-2019, con los precios y contratos actuales [20, 21,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hipotecarios de EE. UU. del grupo (volumen frente a precio)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 (4T25); USIS +33 % con consultas -1 %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 (2T26); USIS +40 % con consultas +1 %</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guía 2026: más del 20 %, un dígito medio sin FICO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Casi todo el crecimiento es precio y producto, no volumen: el 10-K dice que el crecimiento hipotecario de USIS en 2025 se debe sobre todo al precio, compensado en parte por menos consultas; sin FICO, la hipoteca de USIS creció un dígito medio en el 2T26 y un 24 % en el 1T26. En Workforce Solutions la hipoteca subió un 8 % en el 2T26 y, según la dirección, supera al volumen subyacente en un dígito alto por registros, productos nuevos y precio [1, 18, 19, 20,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en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de dos dígitos bajos (4T25)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dos dígitos medios (1T26)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unos 300 M de valor anual de contratos firmados en el 1S26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fue el 31 % de los ingresos de Workforce Solutions en 2025 (unos 800 M, estimación propia). De los 300 M firmados, unos 100 M son negocio nuevo y 200 M renovaciones, con efecto sobre todo en 2027; la dirección esperaba el 2T26 plano frente al 1T26 [18, 19, 20, 22].</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Índice de vitalidad (ingresos de productos nuevos)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 (4T25); 16 %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objetivo a largo plazo: 10 %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Porcentaje de los ingresos del año que vienen de productos lanzados en los tres años anteriores y el año en curso [4, 5,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Verification Services (Workforce Solutions)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2.021,9 M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2.179,8 M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Employer Services bajó un 2 %, a 402,5 M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Margen EBITDA ajustado sin FICO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 contable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33,5-34,0 % (guía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pb previstos</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 según la guía de julio: 31,3-31,8 %. La dirección prevé una mejora notable del margen cuando la hipoteca pase a la puntuación de Vantage, que Equifax vende a 1 USD hasta finales de 2027 [18, 21, 22].</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la información de crédito y verificación de consumidores en EE. UU., donde Equifax obtiene el 77 % de sus ingresos [1]: informes y puntuaciones de crédito, informes hipotecarios, identidad y fraude, y verificación de empleo e ingresos. Lo dominan tres agencias nacionales (Equifax, Experian y TransUnion), con FICO como proveedor de la puntuación que se vende sobre sus datos [34]. Se contrastan dos medidas. IBISWorld estima el sector de agencias de crédito y de calificación de EE. UU. en 17.600 M USD en 2025, pero incluye las agencias de rating, que son otro negocio [31]. Por eso se usa como medida principal una estimación propia de abajo arriba: la suma de los ingresos en EE. UU. de Equifax USIS y TransUnion U.S. Markets según sus 10-K [1, 32]; Experian Norteamérica (5.587 M USD en el ejercicio a marzo de 2026) queda fuera de la serie porque cierra en marzo e incluye Canadá y salud [36].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5.657 M USD en 2025 entre Equifax USIS y TransUnion U.S. Markets (estimación propia: 2.078,5 + 3.578,7 M USD) [1, 32]; con Experian Norteamérica, ≈ 11.240 M USD [36]. IBISWorld: 17.600 M USD en 2025 con las agencias de rating [31].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ingresos en EE. UU. de Equifax USIS y TransUnion U.S. Markets, estimación propia))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Originaciones hipotecarias en EE. UU.</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Fannie Mae estima 1,96 billones USD en 2025 y 2,12 billones en 2026, frente a 4,57 billones en 2021 y 1,50 billones en 2023 [42, 43, 44].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los informes y puntuaciones hipotecarias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hipotecarios de USIS subieron un 33 % en el cuarto trimestre de 2025 y un 40 % en el segundo de 2026 con el mercado a la baja [4, 12]; TransUnion atribuye su crecimiento hipotecario sobre todo al precio [32].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Derechos de FICO por puntuación hipotecaria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segmento de puntuaciones de FICO pasaron de 774 M USD en su ejercicio 2023 a 1.169 M en 2025, sobre todo por precio unitario hipotecario [34]; a TransUnion le restaron 150 puntos básicos de margen EBITDA ajustado en su segmento de EE. UU. en el segundo trimestre de 2026 [33].</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de empleo e ingresos en programas públicos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requisitos de trabajo de Medicaid de la ley de 2025 obligan a verificar desde el 1 de enero de 2027, con las nóminas como fuente válida [41]; Equifax firmó unos 300 M USD de valor anual en contratos públicos en el primer semestre de 2026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Contratación y empleo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cita la debilidad de la contratación en EE. UU. como freno en el cuarto trimestre de 2025, y un crecimiento de dos dígitos altos en verificación para selección de personal en el segundo trimestre de 2026 [4,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Presión regulatoria sobre el coste hipotecario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FHFA estudia pasar de tres informes a dos e incluso a uno, y se espera el anuncio el 12 de octubre de 2026 [29, 30].</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Tres agencias con productos parecidos que, sin embargo, suben precios a la vez: los ingresos hipotecarios crecieron por precio en Equifax y TransUnion en 2024 y 2025 pese a menos consultas [1, 32]. La rivalidad se nota más en verificación y en la puntuación alternativa (VantageScore), donde Equifax ofreció en octubre de 2025 la puntuación a 4,50 USD hasta 2027 [39].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atomizados (el mayor es el 3 % de los ingresos de Equifax) [1], pero el comprador hipotecario está respaldado por la FHFA, que llama a las agencias «cartel» y prepara el paso a dos informes [29]; la MBA habló de subidas medias del 40 % al 50 % en el coste de los informes para 2026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de crédito y de nóminas llegan sin coste, pero FICO controla la puntuación que exigen Fannie Mae y Freddie Mac: su segmento de puntuaciones gana un 90 % sobre ventas en los nueve meses a junio de 2026 [35], y en octubre de 2025 lanzó una licencia directa a los revendedores hipotecarios que se salta el margen de las agencias [38].</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Replicar un fichero nacional de crédito exige los datos de miles de prestamistas; en verificación la barrera es menor y la propia Equifax la describe como un negocio con bajas barreras de entrada [1]. Truv y Argyle han levantado 25 M USD (2022) y 30 M USD (2024) en sus últimas rondas publicadas [46, 47], cifras pequeñas frente a los 2.180 M USD de ingresos de Verification Services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verificación con permiso del consumidor a través de su nómina o su banco sustituye en parte a The Work Number [1]; en hipotecas, el paso a dos informes elimina la compra de uno de los tres por préstamo [30]. VantageScore 4.0, aceptada por la FHFA en julio de 2025, sustituye a FICO y no a las agencias, que son sus dueñas [28, 34].</w:t>
            </w:r>
          </w:p>
        </w:tc>
      </w:tr>
    </w:tbl>
    <w:p>
      <w:pPr>
        <w:spacing w:after="160" w:before="0"/>
      </w:pPr>
    </w:p>
    <w:p>
      <w:pPr>
        <w:pStyle w:val="Heading2"/>
      </w:pPr>
      <w:r>
        <w:t xml:space="preserve">Ciclo</w:t>
      </w:r>
    </w:p>
    <w:p>
      <w:pPr>
        <w:spacing w:after="100"/>
      </w:pPr>
      <w:r>
        <w:t xml:space="preserve">Las originaciones hipotecarias tocaron fondo en 2023 (1,50 billones USD) y Fannie Mae estima 1,96 billones en 2025 y 2,12 billones en 2026, aún la mitad que en 2021, con el tipo fijo a 30 años en torno al 6,5 % y la previsión rebajada en septiembre [42, 43, 44]. El sector ha sido defensivo en volumen pero no en hipotecas: en 2009 los ingresos de Equifax cayeron un 5,4 % [3]; en 2020 la refinanciación disparó Workforce Solutions un 51 % y USIS un 12 % [15]; en 2022 USIS cayó un 7 % con el hundimiento hipotecario [45].</w:t>
      </w:r>
    </w:p>
    <w:p>
      <w:pPr>
        <w:pStyle w:val="Heading2"/>
      </w:pPr>
      <w:r>
        <w:t xml:space="preserve">Regulación</w:t>
      </w:r>
    </w:p>
    <w:p>
      <w:pPr>
        <w:spacing w:after="100"/>
      </w:pPr>
      <w:r>
        <w:t xml:space="preserve">Tres frentes mueven las cifras. </w:t>
      </w:r>
      <w:r>
        <w:rPr>
          <w:b/>
        </w:rPr>
        <w:t xml:space="preserve">Puntuaciones hipotecarias</w:t>
      </w:r>
      <w:r>
        <w:t xml:space="preserve">: en julio de 2025 la FHFA permitió a los prestamistas elegir entre Classic FICO y VantageScore 4.0 para Fannie Mae y Freddie Mac, manteniendo el informe triple; FICO 10T sigue aprobada para más adelante [28]. </w:t>
      </w:r>
      <w:r>
        <w:rPr>
          <w:b/>
        </w:rPr>
        <w:t xml:space="preserve">Número de informes</w:t>
      </w:r>
      <w:r>
        <w:t xml:space="preserve">: en septiembre de 2026 el director de la FHFA dijo estar estudiando el paso a dos informes e incluso a uno, y la prensa espera el anuncio del paso a dos el 12 de octubre de 2026 [29, 30]. </w:t>
      </w:r>
      <w:r>
        <w:rPr>
          <w:b/>
        </w:rPr>
        <w:t xml:space="preserve">Programas públicos</w:t>
      </w:r>
      <w:r>
        <w:t xml:space="preserve">: la ley de reconciliación de 2025 exige verificar requisitos de trabajo en Medicaid desde el 1 de enero de 2027, con exenciones temporales para estados que las pidan [41]. La CFPB investiga desde 2023 la exactitud de los datos de Workforce Solutions [1].</w:t>
      </w:r>
    </w:p>
    <w:p>
      <w:pPr>
        <w:pStyle w:val="Heading2"/>
      </w:pPr>
      <w:r>
        <w:t xml:space="preserve">Tendencias y disrupción</w:t>
      </w:r>
    </w:p>
    <w:p>
      <w:pPr>
        <w:spacing w:after="100"/>
      </w:pPr>
      <w:r>
        <w:t xml:space="preserve">Tres cambios. </w:t>
      </w:r>
      <w:r>
        <w:rPr>
          <w:b/>
        </w:rPr>
        <w:t xml:space="preserve">La puntuación se desacopla de la agencia</w:t>
      </w:r>
      <w:r>
        <w:t xml:space="preserve">: FICO vende ya su puntuación hipotecaria directamente a los revendedores (4,95 USD por puntuación más 33 USD por préstamo cerrado, frente a 10 USD por la vía tradicional) [38], y Equifax respondió regalando VantageScore 4.0 hasta finales de 2026 a quien compre FICO [39]; gana quien controle el dato, no la fórmula. </w:t>
      </w:r>
      <w:r>
        <w:rPr>
          <w:b/>
        </w:rPr>
        <w:t xml:space="preserve">Verificación con permiso del consumidor</w:t>
      </w:r>
      <w:r>
        <w:t xml:space="preserve">: Truv, Argyle y Experian Verify (66 millones de registros activos frente a los 209 millones de The Work Number) compiten por el mismo uso [1, 36, 46, 47]. </w:t>
      </w:r>
      <w:r>
        <w:rPr>
          <w:b/>
        </w:rPr>
        <w:t xml:space="preserve">Inteligencia artificial</w:t>
      </w:r>
      <w:r>
        <w:t xml:space="preserve">: Equifax duplicó a 150 M USD su objetivo de ahorro por IA en 2026-2028 [12]. Equifax gana con la verificación pública y pierde con el informe doble.</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2.ª de las tres agencias de crédito globales por ingresos: 31,8 % de los 19.096 M USD que suman Equifax, Experian y TransUnion en su último ejercicio (estimación propia) [1, 32, 36]. En verificación de empleo e ingresos en EE. UU., el negocio que más beneficio aporta, es la primera con distancia: 209 millones de registros activos frente a 66 millones de Experian [1, 36]; la cuota en ingresos no se publica.</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Irlanda / Reino Unido</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EXPN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8.445</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44,2 %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mayor de las tres. Ejercicio a marzo de 2026: Norteamérica 5.587 M USD y margen EBIT ajustado del 28,6 % [36]. Compite en verificación con Experian Verify (66 millones de registros activos) e introdujo VantageScore 4.0 en hipotecas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4.576</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78 % de sus ingresos brutos de 2025 vino de EE. UU. (3.578,7 M USD) [32]. Crece en hipotecas por precio, pero los derechos de FICO le restaron margen en 2026 [33]. Señala la licencia directa de FICO como un riesgo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FICO</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46,5 %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más que competidor: las tres agencias le dieron el 51 % de sus ingresos en el ejercicio a septiembre de 2025 [34]. Compite con ellas en puntuación (VantageScore es de las tres) y ahora en distribución hipotecaria con su licencia directa [34, 38].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First Advantage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FA</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antecedentes para empleadores tras comprar Sterling en 2024; compite con la parte de selección de personal de Workforce Solutions en un mercado que describe como fragmentado [37].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Truv</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Verificación de empleo e ingresos con permiso del consumidor. Última ronda publicada: 25 M USD en 2022, liderada por Kleiner Perkins [46].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Argyle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Conexión directa a nóminas para verificar ingresos. Levantó 30 M USD en 2024; procesó más de 1,6 millones de verificaciones en 2023 y tenía más de 140 clientes [47].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se alimenta gratis de las nóminas de más de 4 millones de organizaciones porque les ahorra trabajo, y cuantos más registros tiene más la usan los verificadores [1]: 209 millones de registros activos frente a 66 millones del segundo, Experian [1,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Integración en los flujos de prestamistas y agencias públicas, con contratos públicos plurianuales (unos 300 M USD de valor anual firmados en el primer semestre de 2026) [8]. En hipotecas no hay coste de cambio: el informe triple obliga a comprar a las tres, y un informe doble abriría la competencia [5].</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Ficheros de crédito acumulados durante más de un siglo y licencias reguladas por la FCRA y la CFPB [1]. La marca quedó dañada por el ciberataque de 2017 y el error de puntuaciones de 2022 [1, 26].</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dato llega sin coste y la consulta adicional cuesta poco: Workforce Solutions gana un 44,2 % sobre ventas frente al 8,4 % de First Advantage [1, 14]. Pero el margen operativo del grupo (18,0 % en 2025) es parecido al de TransUnion (18,7 %) e inferior al de Experian (24,2 %) [1, 9,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de ficheros nacionales sostiene a tres agencias desde hace décadas y la norma de Fannie Mae y Freddie Mac exige las tres en cada préstamo [1, 3]; nadie ha entrado como cuarta agencia nacional.</w:t>
            </w:r>
          </w:p>
        </w:tc>
      </w:tr>
    </w:tbl>
    <w:p>
      <w:pPr>
        <w:spacing w:after="160" w:before="0"/>
      </w:pPr>
    </w:p>
    <w:p>
      <w:pPr>
        <w:pStyle w:val="Heading2"/>
      </w:pPr>
      <w:r>
        <w:t xml:space="preserve">Amenazas</w:t>
      </w:r>
    </w:p>
    <w:p>
      <w:pPr>
        <w:spacing w:after="100"/>
      </w:pPr>
      <w:r>
        <w:t xml:space="preserve">Tres amenazas, con probabilidad distinta. </w:t>
      </w:r>
      <w:r>
        <w:rPr>
          <w:b/>
        </w:rPr>
        <w:t xml:space="preserve">Paso a dos informes</w:t>
      </w:r>
      <w:r>
        <w:t xml:space="preserve"> (alta: el anuncio se espera el 12 de octubre de 2026): elimina la compra de uno de los tres informes en cada préstamo de Fannie Mae y Freddie Mac y obliga a competir en precio [29, 30]. </w:t>
      </w:r>
      <w:r>
        <w:rPr>
          <w:b/>
        </w:rPr>
        <w:t xml:space="preserve">FICO</w:t>
      </w:r>
      <w:r>
        <w:t xml:space="preserve"> (en curso): sube su precio unitario y vende directamente a los revendedores, capturando un margen que era de las agencias [34, 38]. </w:t>
      </w:r>
      <w:r>
        <w:rPr>
          <w:b/>
        </w:rPr>
        <w:t xml:space="preserve">Verificación</w:t>
      </w:r>
      <w:r>
        <w:t xml:space="preserve">: competidores con permiso del consumidor, una demanda colectiva antimonopolio desde mayo de 2024, la investigación de la CFPB y la presión de estados y senadores sobre el precio de The Work Number (media) [1, 40].</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1.844</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+6,9 %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1.936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bl>
    <w:p>
      <w:pPr>
        <w:spacing w:after="160" w:before="0"/>
      </w:pPr>
    </w:p>
    <w:p>
      <w:pPr>
        <w:spacing w:after="100"/>
      </w:pPr>
      <w:r>
        <w:t xml:space="preserve">Crecimiento anual compuesto 2016-2025: ingresos </w:t>
      </w:r>
      <w:r>
        <w:rPr>
          <w:b/>
          <w:bCs/>
        </w:rPr>
        <w:t xml:space="preserve">7,6 %</w:t>
      </w:r>
      <w:r>
        <w:t xml:space="preserve">, EBITDA </w:t>
      </w:r>
      <w:r>
        <w:rPr>
          <w:b/>
          <w:bCs/>
        </w:rPr>
        <w:t xml:space="preserve">6,1 %</w:t>
      </w:r>
      <w:r>
        <w:t xml:space="preserve">, BPA </w:t>
      </w:r>
      <w:r>
        <w:rPr>
          <w:b/>
          <w:bCs/>
        </w:rPr>
        <w:t xml:space="preserve">3,1 %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Entre 2016 y 2025 los ingresos pasan de 3.145 a 6.075 M USD (crecimiento anual compuesto del 7,6 %), con tres saltos de perímetro: Veda en 2016, Kount y Appriss Insights en 2021 (2.465 M entre las dos) y Boa Vista en 2023 [1, 3, 15]. El ciclo hipotecario marca el ritmo: 2020 y 2021 crecen un 18 % y un 19 % con el auge de las refinanciaciones; 2022 y 2023 apenas un 4 % y un 3 % al hundirse las consultas hipotecarias [3].</w:t>
      </w:r>
    </w:p>
    <w:p>
      <w:pPr>
        <w:spacing w:after="100"/>
      </w:pPr>
      <w:r>
        <w:t xml:space="preserve">El margen EBIT antes de partidas no recurrentes cae del 27,6 % de 2016 al 20,0 % de 2025. La causa es la amortización, que sube de 265 a 720 M (del 8,4 % al 11,8 % de las ventas) al empezar a amortizarse el software de la migración a la nube, a lo que se suman 250 M de amortización de intangibles de adquisiciones en 2025 [1, 4]. La transformación tecnológica costó unos 1.030 M de gasto excluido del ajustado en 2018-2020 (324, 337 y 365 M) [9, 10] y un capex que tocó techo en 625 M en 2022 [3]. En 2026 la reventa sin margen de las puntuaciones hipotecarias de FICO añade unos 340 pb al crecimiento y resta algo más de 2 puntos al margen EBITDA ajustado (31,3-31,8 % contable frente a 33,5-34,0 % sin FICO, según la guía) [21, 22].</w:t>
      </w:r>
    </w:p>
    <w:p>
      <w:pPr>
        <w:pStyle w:val="Heading2"/>
      </w:pPr>
      <w:r>
        <w:t xml:space="preserve">Ajustes y partidas no recurrentes</w:t>
      </w:r>
    </w:p>
    <w:p>
      <w:pPr>
        <w:spacing w:after="100"/>
      </w:pPr>
      <w:r>
        <w:t xml:space="preserve">El EBITDA de la tabla es el contable (EBIT más amortizaciones). Los no recurrentes son las partidas que la propia empresa excluye de su EBITDA ajustado y que están dentro del resultado operativo [4, 5, 6, 7, 8, 9, 10, 11]: 2016, 42,3 M (Veda 30,1, CFPB 6,5, realineamiento 5,7); 2017, 125,7 M (ciberataque 114,0, Veda 11,7); 2018, 388,6 M (ciberataque y tecnología 324,0, realineamiento 46,1, un litigio 18,5); 2019, 1.176,0 M (provisión de 800,9 por las demandas del ciberataque, 337,3 de costes del incidente, 20,0 de compensaciones a clientes, 11,5 de realineamiento, 6,3 de PayNet); 2020, 396,7 M (364,8 y 31,9); 2021, 21,1 M netos; 2022, 93,7 M (adquisiciones 68,2, reestructuración 24,0); 2023, 154,6 M (103,2, 34,6 y 16,8 del ciberataque); 2024, 131,7 M (68,4, 48,0 y 15,0 del CFPB); 2025, 121,3 M (35,0 de integración, 49,9 de reestructuración, 30,0 por el acuerdo de cuatro demandas colectivas y 5,4 de defensa antimonopolio).</w:t>
      </w:r>
    </w:p>
    <w:p>
      <w:pPr>
        <w:spacing w:after="100"/>
      </w:pPr>
      <w:r>
        <w:t xml:space="preserve">Se repiten cada año: la media de 2022-2025 es de 125 M, un 2,3 % de las ventas, y la reestructuración de 2024-2025 está ligada al cierre de la nube [1]. Desde 2021 el gasto de la transformación ya no se excluye del ajustado. Quedan fuera de la columna las partidas financieras que también ajusta la empresa (participadas a valor razonable, pensiones a mercado, divisa de préstamos intragrupo y Argentina). El BPA ajustado de la empresa excluye además la amortización de intangibles adquiridos: 7,65 USD en 2025 frente a 5,32 contable [4]. Los dividendos por acción de 2016 y 2017 salen del 10-K de 2019 [17].</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32,8 %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32,5 %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Las cifras trimestrales de EBITDA y BPA son las ajustadas de la empresa (sin partidas no recurrentes ni, en el BPA, amortización de intangibles adquiridos); el crecimiento sin efecto divisa es el de moneda local, porque en estos trimestres no hubo compras relevantes [4, 5, 12, 13, 23, 24, 25, 26].</w:t>
      </w:r>
    </w:p>
    <w:p>
      <w:pPr>
        <w:spacing w:after="100"/>
      </w:pPr>
      <w:r>
        <w:t xml:space="preserve">En el 1T26 la dirección batió su guía en 37 M de ingresos gracias a la hipoteca (+38 %) antes de que el conflicto de Irán subiera los tipos en marzo, mantuvo la guía anual por prudencia (solo la subió por divisa, a 6.745 M y 8,54 USD de BPA ajustado) y anunció que bajaba el precio de la puntuación hipotecaria de Vantage de 4,50 a 1 USD [19]. En el 2T26 el tono cambia: la hipoteca de USIS crece un 40 % pero el mercado sale más flojo de lo previsto; la guía contable no se mueve (6.710-6.780 M de ingresos, 2.103-2.157 M de EBITDA ajustado, 8,39-8,69 USD de BPA) y sube solo en moneda constante [18, 21]. Los mensajes nuevos son la compra de Círculo de Crédito en México por 750 M (9,4 veces el EBITDA ajustado de 2026 con sinergias), el doble de ahorro previsto por inteligencia artificial (150 M en 2026-2028), 300 M de contratos de gobierno firmados y un ritmo de recompras menor en el segundo semestre [12, 18]. Sin FICO, el crecimiento de 2026 queda en el 7,2-8,4 %, dentro del marco a largo plazo [21].</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9.612</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11.041</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11.548</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8.297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8.784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5.494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4.534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5.011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4.841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4.797</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11.864</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8.172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806</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5.093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4.604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0,6x</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(2016: Veda (Australia y Nueva Zelanda), consolidada desde marzo de 2016: diez meses en la cuenta; los pagos por adquisiciones del año suman 1.791,6 M USD.; 2021: Kount (10-feb-21, 640 M USD) y Appriss Insights (1-oct-21, 1.825 M USD): Appriss entra con todo su balance y solo un trimestre en la cuenta.; 2023: Boa Vista Serviços (Brasil), control desde el 7-ago-23 por unos 870 M USD: menos de cinco meses en la cuenta y balance completo.).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deuda bruta pasa de 2.672 M en 2016 a 5.787 M en 2022, empujada por Kount, Appriss Insights y el capex de la nube, y se estabiliza en torno a 5.100 M en 2024-2025 [3]. A 30-jun-26 sube a 5.467 M (1.410 M a corto plazo, sobre todo papel comercial) con 170 M de caja, porque las recompras de 560 M del semestre se financiaron con papel comercial [2]. Falta por pagar Círculo de Crédito (750 M de valor empresa, cierre previsto en el 4T26) [12]. El coste medio de la deuda es del 4,2 % (212,3 M de intereses sobre 5.076 M de deuda media en 2025) y la vida media, estimación propia por los vencimientos, de unos 3,4 años; el próximo bono vence en diciembre de 2027 (750 M al 5,10 %) [1, 21]. Fondo de comercio e intangibles suman 8.172 M, 1,8 veces el patrimonio: el patrimonio tangible es negativo [1]. El circulante es estructuralmente negativo por el papel comercial a corto plazo.</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4,16</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0,7x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2016-2025: FCF </w:t>
      </w:r>
      <w:r>
        <w:rPr>
          <w:b/>
          <w:bCs/>
        </w:rPr>
        <w:t xml:space="preserve">5.498</w:t>
      </w:r>
      <w:r>
        <w:t xml:space="preserve">, conversión </w:t>
      </w:r>
      <w:r>
        <w:rPr>
          <w:b/>
          <w:bCs/>
        </w:rPr>
        <w:t xml:space="preserve">115 %</w:t>
      </w:r>
      <w:r>
        <w:t xml:space="preserve"> del beneficio neto; adquisiciones 6.131, dividendos 1.910, recompras 1.075.</w:t>
      </w:r>
    </w:p>
    <w:p>
      <w:pPr>
        <w:spacing w:after="100"/>
      </w:pPr>
      <w:r>
        <w:t xml:space="preserve">El flujo operativo sube de 823 M en 2016 a 1.616 M en 2025 y el flujo libre (operativo menos capex) a 1.134 M en 2025, frente a 813 M en 2024 y 516 M en 2023 [3, 4, 5]. Hay tres años anómalos: 2019 (314 M) por los pagos de las demandas del ciberataque; 2018 incluye 110 M cobrados del seguro; y 2022 (757 M) por el pago de 345 M al fondo de la demanda colectiva de consumidores [14, 16]. Los intereses van en explotación (209,7 M pagados en 2025) [3].</w:t>
      </w:r>
    </w:p>
    <w:p>
      <w:pPr>
        <w:spacing w:after="100"/>
      </w:pPr>
      <w:r>
        <w:t xml:space="preserve">El capex pasa del 5,5 % de las ventas en 2016 a un máximo del 12,2 % en 2022 (625 M) y baja al 7,9 % en 2025 (481 M); en los doce meses a junio de 2026, 507 M [2, 3]. La empresa habla de una inversión global de unos 3.000 M en la nube y de casi el 85 % de los ingresos ya en la nube a finales de 2024 [5, 22], y espera un capex de los próximos doce meses por debajo del actual [1]. Guía de 2026: flujo libre de más de 1.000 M y conversión de al menos el 100 % del beneficio ajustado [19, 21]. La empresa no separa mantenimiento y crecimiento; estimación propia: si el 5-6 % de las ventas anterior a la nube es el mantenimiento, unos 2-3 puntos del capex actual siguen siendo desarrollo de producto. El gasto con Google fue de 207 M en 2025 (198 M en 2024) [1].</w:t>
      </w:r>
    </w:p>
    <w:p>
      <w:pPr>
        <w:pStyle w:val="Heading1"/>
      </w:pPr>
      <w:r>
        <w:t xml:space="preserve">9. Calidad contable</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Fortaleza financiera alta (7-9).</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2,04x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2"/>
      </w:pPr>
      <w:r>
        <w:t xml:space="preserve">Ajustes, criterios contables y remuneración en acciones</w:t>
      </w:r>
    </w:p>
    <w:p>
      <w:pPr>
        <w:spacing w:after="100"/>
      </w:pPr>
      <w:r>
        <w:t xml:space="preserve">Ernst &amp; Young audita a Equifax desde 2002 y emitió en 2025 una opinión favorable sobre las cuentas y el control interno; su asunto clave fue el test de deterioro del fondo de comercio de Asia-Pacífico (1.350 M), cuyo valor razonable supera al contable en más de un 10 % [1]. No ha habido deterioros del fondo de comercio en los ejercicios revisados [1].</w:t>
      </w:r>
    </w:p>
    <w:p>
      <w:pPr>
        <w:spacing w:after="100"/>
      </w:pPr>
      <w:r>
        <w:t xml:space="preserve">Tres puntos de juicio. Primero, la capitalización de software: el software interno bruto llega a 3.098 M a dic-25, se amortiza en tres a siete años y su amortización es la principal causa del alza de la D&amp;A [1]; el capex de 2025 (481 M) ya se parece a la amortización sin intangibles adquiridos (469 M). Segundo, los ajustes: la empresa excluye cada año entre 90 y 155 M de costes de integración, reestructuración y litigios desde 2022, y la amortización de adquisiciones (250 M), de modo que el BPA ajustado de 2025 (7,65 USD) supera en un 44 % al contable (5,32) [4]. Tercero, la remuneración en acciones es de 78,4 M en 2025, el 11,9 % del beneficio neto (13,5 % en 2024) [1]. En 2020 la empresa cambió a valor de mercado la contabilidad de pensiones y reexpresó 2018-2019 [9]. Desde 2026 los ingresos incluyen la reventa de puntuaciones de FICO a margen cero, que infla el crecimiento unos 340 pb [22].</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Ajustes no recurrentes que se repiten</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integración y litigios aparecen todos los años; media de 125 M anuales en 2022-2025 [4, 5, 6,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Brecha entre BPA ajustado y contable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ajustado excluye 250 M de amortización de intangibles adquiridos: 7,65 frente a 5,32 USD en 2025 [4].</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Software capitalizado de vida corta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amortización pasa del 8,4 % al 11,8 % de las ventas entre 2016 y 2025 por la nube [1, 3].</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elevado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6.746 M, el 147 % del patrimonio; Asia-Pacífico con holgura de algo más del 10 %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Ingresos de FICO sin margen desde 2026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6 % de los ingresos; suman crecimiento y restan margen sin cambiar el beneficio [19, 22].</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Investigaciones y demandas abiertas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Requerimientos del CFPB y demanda antimonopolio contra Workforce Solutions, sin cuantía [1].</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Reexpresión por cambio contable de pensiones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 de 2020 a valor de mercado; afecta a otros resultados, no al EBIT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5.587</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0,48x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0,45x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0,44x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9.705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7,0 % · </w:t>
      </w:r>
      <w:r>
        <w:rPr>
          <w:b/>
          <w:bCs/>
        </w:rPr>
        <w:t xml:space="preserve">WACC</w:t>
      </w:r>
      <w:r>
        <w:t xml:space="preserve">: 10,1 %.</w:t>
      </w:r>
    </w:p>
    <w:p>
      <w:pPr>
        <w:spacing w:after="100"/>
      </w:pPr>
      <w:r>
        <w:rPr>
          <w:b/>
        </w:rPr>
        <w:t xml:space="preserve">Equifax no cubre hoy su coste de capital a nivel de grupo.</w:t>
      </w:r>
      <w:r>
        <w:t xml:space="preserve"> El ROIC después de impuestos pasa del 14,1 % de 2017 y el 14,3 % de 2020 al 8,5 % de 2023 y el 9,3 % de 2025, por debajo del WACC del 10,08 %. La causa es el capital, no el margen operativo: el capital invertido sube de 5.264 M en 2016 a 9.705 M en 2025 por las compras de 2021-2023 (Kount, Appriss Insights, Boa Vista: el fondo de comercio pasa de 3.974 a 6.746 M) y por la nube, que llevó el capex al 12,2 % de las ventas en 2022 [1, 3]. El ROIC incremental de 2016-2025 es del 7 %. La rotación del capital cae y el margen EBITDA ajustado baja del 36-37 % de 2016-2017 al 31,9 % de 2025. Dentro del grupo la imagen es otra: Workforce Solutions gana 1.141,5 M de resultado operativo con un margen del 44,2 % [1]. Frente a los pares, el ROIC del grupo queda por encima de TransUnion (7,6 %) y por debajo de Experian (15 %) y de FICO (65 %) [102, 103, 104]. La tesis exige que el capex ya normalizado (7,9 % de las ventas en 2025) y la integración de las compras devuelvan el ROIC por encima del 10 %.</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5.297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149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30-jun-26, caja de 170,1 M y 602 M disponibles en la línea revolving de 2.000 M (ampliada en el 2T26 desde 1.500 M; 1.900 M vencen en agosto de 2029 y 100 M en agosto de 2028), que respalda un programa de papel comercial del mismo importe: liquidez total de 772 M [2, 21]. A 31-dic-25: caja 180,8 M, papel comercial 762,0 M y 0,7 bn disponibles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BBB (S&amp;P) y Baa2 (Moody's); la empresa no publica la perspectiva en su presentación de julio de 2026 [21]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3,4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La línea revolving exige una deuda financiada no superior a 3,75 veces el EBITDA (4,25 tras una compra relevante); a 30-jun-26 la ratio de covenant era de 2,56 veces [1, 21]. Los bonos obligan a recomprar al 101 % si un cambio de control lleva el rating por debajo de grado de inversión [1]. Pensiones: el plan de prestación definida de EE. UU. tiene un déficit de 106,4 M (obligación de 435,9 M frente a 329,5 M de activos) [1]. Litigios: 30,0 M provisionados en el 4T25 por un acuerdo de principio en cuatro demandas colectivas sobre disputas de consultas; una demanda colectiva antimonopolio contra Workforce Solutions (mayo de 2024, sin cuantía); y tres requerimientos del CFPB (2023-2024) sobre exactitud de datos en Workforce Solutions, con 15,0 M pagados en 2025 por otro asunto con el CFPB [1]. Del ciberataque de 2017 solo quedan costes residuales (1,0 M en 2025) y la multa de 13,5 M de la FCA británica, ya pagada [1, 4]. Minoritarios con opción de venta, aparecidos en 2023 con la compra de Boa Vista: 121,5 M [2, 3]. Compromisos de compra con Google por 656 M y de externalización por 1.100 M en total [1].</w:t>
      </w:r>
    </w:p>
    <w:p>
      <w:pPr>
        <w:pStyle w:val="Heading1"/>
      </w:pPr>
      <w:r>
        <w:t xml:space="preserve">12. Asignación de capital</w:t>
      </w:r>
    </w:p>
    <w:p>
      <w:pPr>
        <w:pStyle w:val="Confianza"/>
        <w:spacing w:after="100"/>
      </w:pPr>
      <w:r>
        <w:t xml:space="preserve">Confianza: Alta</w:t>
      </w:r>
    </w:p>
    <w:p>
      <w:pPr>
        <w:spacing w:after="100"/>
      </w:pPr>
      <w:r>
        <w:t xml:space="preserve">El dividendo estuvo congelado en 1,56 USD por acción de 2017 a 2024; en 2025 subió a 0,50 USD trimestrales (1,89 USD en el año) y en 2026 a 0,56 USD, un 12 % más [1, 2, 19]. En abril de 2025 el consejo aprobó un programa de recompras de hasta 3.000 M sin fecha de vencimiento: se ejecutaron 927,5 M en 2025 (4,0 M de acciones, sin recompras en 2023-2024) y 560 M en el primer semestre de 2026; a 30-jun-26 quedaban unos 1.500 M autorizados [1, 2]. La dirección prioriza compras complementarias que aumenten el beneficio por acción, recompras y mantener el grado de inversión con un apalancamiento por debajo de tres veces el EBITDA ajustado; cifra en unos 1.500 M la capacidad de 2026 para compras y retribución [18, 19].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2016</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2017</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2018</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2019</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123,3</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176 %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Veda (buró de crédito de Australia y Nueva Zelanda)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1.792</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Papel comercial y línea de crédito, refinanciados en parte con bonos de 275 M al 3,25 % a diez años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núcleo de Asia-Pacífico (fondo de comercio de 1.350 M); sin deterioro, pero con una holgura de algo más del 10 % en el test de 2025. Importe: pagos por adquisiciones netos de caja del año, casi todo Veda.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PayNet (datos de crédito comercial) y otras menores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 Importe: pagos netos por adquisiciones del año.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Kount (prevención de fraude e identidad digital)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USIS;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Appriss Insights (datos penitenciarios y judiciales)</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1.825</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 la deuda bruta sube de 4.378 a 5.295 M en 2021</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en Workforce Solutions; la dirección la usa para los productos de antecedentes de Talent Solutions.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Efficient Hire, LawLogix, Midigator y Data Crédito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papel comercial</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Boa Vista Serviços (Brasil), resto del capital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510 M en efectivo y el resto en acciones de Equifax do Brasil y de Equifax</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Impulsa el crecimiento de Latinoamérica en 2024; deja 121,5 M de minoritarios con opción de venta. Sin deterioros publicados.</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Círculo de Crédito (México), pendiente de cierre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Dentro de la capacidad de 2026, sin superar tres veces de apalancamiento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Cierre previsto en el 4T26; la empresa espera que aumente el beneficio por acción el primer año. Múltiplo sobre el EBITDA ajustado esperado de 2026 con sinergias.</w:t>
            </w:r>
          </w:p>
        </w:tc>
      </w:tr>
    </w:tbl>
    <w:p>
      <w:pPr>
        <w:spacing w:after="160" w:before="0"/>
      </w:pPr>
    </w:p>
    <w:p>
      <w:pPr>
        <w:spacing w:after="100"/>
      </w:pPr>
      <w:r>
        <w:t xml:space="preserve">De 2016 a 2025 Equifax generó 9.720 M de flujo operativo y destinó 4.222 M a capex, 6.131 M a adquisiciones, 1.910 M a dividendos y 1.075 M a recompras; la diferencia se financió con deuda, que pasó de 2.672 a 5.093 M [3]. Las compras grandes (Veda, Kount, Appriss Insights, Boa Vista) llevaron el fondo de comercio de 3.974 a 6.746 M sin deterioros [1, 3]. Hasta 2024 la caja se fue a la nube y a compras; desde 2025, con el capex en descenso, la retribución sube: 1.160 M devueltos en 2025 y 693 M en el primer semestre de 2026 [2, 21]. Las acciones diluidas apenas cambian entre 2016 y 2024 (121 a 125 M) y bajan a 119,2 M en el 2T26 [2, 3].</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y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0,08 %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en abril de 2018 desde Warburg Pincus, tras 35 años en General Electric al frente de GE Energy Management y GE Capital Real Estate [1]. Con él los ingresos pasaron de 3.400 M USD en 2018 a 6.100 M USD en 2025 (unos 9 % anuales), con 4.800 M USD en compras complementarias y la migración a la nube [59]. Tiene 409.244 opciones ejercitables y más de 48 M USD en acciones diferidas hasta después de su salida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W. Gamble, Jr.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financiero y director de operaciones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0,04 %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desde mayo de 2014 y además director de operaciones desde febrero de 2021; antes fue director financiero de Lexmark de 2005 a 2014 [1]. Firma como director financiero el 10-Q del segundo trimestre de 2026 [66]. Tiene 63 años y cobró 8,06 M USD en 2025 [1,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 del consejo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0,02 %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desde 2007 y presidente independiente desde que el consejo separó los cargos en 2017; fundador de MSouth Equity Partners y antes presidente y director de operaciones de BellSouth [59]. Preside la comisión de gobierno [60]. En 2026 recibió un 6,7 % de votos en contra en su reelección [55].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Chad M. Borton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Workforce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Entró en mayo de 2024 en sustitución de Rodolfo Ploder, que se jubiló [64]. Venía de presidir SoFi Bank (2021-2024) y USAA Bank (2017-2021) [1]. Su remuneración de 2024 fue de 11,63 M USD por las acciones de entrada [59].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Jamil Farshchi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director de tecnología (CTO)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0,03 %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de seguridad de la información desde 2018 (se incorporó en febrero de 2018); asumió la tecnología de forma interina en 2024 tras la salida de Bryson Koehler y es CTO desde mayo de 2025 [1, 63]. Antes fue responsable de seguridad en Home Depot, Time Warner y Visa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Patricio Remon</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Vicepresidente ejecutivo, presidente de International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2025</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Equifax desde 2006; presidió Equifax Europa desde 2015 (Reino Unido, Irlanda, Iberia, Perú y Ecuador) y dirige International desde marzo de 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David Smith</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 U.S. Information Solutions</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2026</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Nombrado en febrero de 2026, con incorporación efectiva el 2 de marzo de 2026, tras nueve meses en que el propio consejero delegado llevó la división después de la salida de Todd Horvath en junio de 2025 [59, 61, 75].</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3.650-3.750 M USD y BPA ajustado de 5,60-5,80 USD (febrero de 2020) [10]</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4.127,5 M USD y BPA ajustado de 6,97 USD [9]</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4.350-4.450 M USD y BPA ajustado de 6,20-6,50 USD, con una caída del 5 % de las consultas hipotecarias en EE. UU.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4.923,9 M USD y BPA ajustado de 7,64 USD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5.250-5.350 M USD y BPA ajustado de 8,50-8,80 USD, con una caída del mercado hipotecario del 21,5 %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5.122 M USD y BPA ajustado de 7,56 USD, con los ingresos hipotecarios un 23 % abajo [7]</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5.275-5.375 M USD y BPA ajustado de 7,05-7,35 USD, con el mercado hipotecario un 30 % abajo [7]</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5.265 M USD y BPA ajustado de 6,71 USD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5.670-5.770 M USD y BPA ajustado de 7,20-7,50 USD, con las consultas hipotecarias más de un 16 % abajo [6]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5.681,1 M USD y BPA ajustado de 7,29 USD, en la parte baja de ambos rangos [5]</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5.890-6.010 M USD y BPA ajustado de 7,25-7,65 USD, con las consultas hipotecarias un 12 % abajo [5]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6.074,5 M USD y BPA ajustado de 7,65 USD: ingresos por encima del rango y BPA en el techo [4]</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Febrero: ingresos de 6.660-6.780 M USD y BPA ajustado de 8,30-8,70 USD [4]. Abril: 6.685-6.805 M USD y 8,34-8,74 USD, solo por el tipo de cambio [13]. Julio: 6.710-6.780 M USD y 8,39-8,69 USD, mismo punto medio con el rango estrechado [12]</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 curso: primer semestre con ingresos de 1.649 y 1.700 M USD y BPA ajustado de 1,86 y 2,25 USD por trimestre [12, 13]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La credibilidad de la guía es desigual: en 2022 y 2023 falló ingresos y BPA ajustado porque subestimó la caída del mercado hipotecario, y en 2024 y 2025 cumplió (2025 con los ingresos por encima del rango) [4, 5, 6, 7, 8]. La de 2026 se ha mantenido sin recortes, solo con el rango estrechado en julio [4, 12, 13]. La cúpula es estable (consejero delegado desde 2018, director financiero desde 2014), pero la segunda línea ha rotado mucho: tecnología en 2024, Workforce Solutions en 2024, International y jurídico en 2025, y USIS sin presidente de junio de 2025 a marzo de 2026 [1, 61, 63, 64]. La sucesión es el punto débil: Begor tiene 67 años y en 2024 el consejo eliminó la fecha de fin de su contrato y contrató un asesor externo para la sucesión, sin candidato público [59, 62]. Gamble tiene 63 años y no consta relevo anunciado.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L. Feidler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Mark W. Begor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Karen L. Fichuk</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 Thomas Hough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2016</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(presidente), Remuneración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Barbara A. Larson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Robert D. Marcus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(presidente),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Scott A. McGregor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Tecnología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John A. McKinley</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2008</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Tecnología (presidente), 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Melissa D. Smith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Remuneración, Gobierno</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Audrey Boone Tillman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Vocal</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 Tecnología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15,6 %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24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0,46 / ventas 34,49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 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 Vanguard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indexada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15,28 M de acciones (12,34 % según su 13G/A de octubre de 2025) [59, 68]. Tras su reorganización de enero de 2026 informa por filiales: Vanguard Capital Management declaró 9,02 M de acciones (7,47 %) a 31-mar-2026 [69].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BlackRock, Inc.</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8,55 M de acciones a 31-dic-2024 (6,9 % en su 13G/A) [59, 70]; sin declaraciones posteriores en EDGAR.</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Harris Associates L.P.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de valor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7,56 M de acciones a 31-dic-2025; entró por encima del 5 % con su 13G de febrero de 2026 [59, 71].</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International Investors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Bajó de 6,59 M de acciones (5,5 %) en el proxy a 3,82 M (3,2 %) a 31-mar-2026, por debajo del umbral de declaración [59, 72].</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 Rowe Price Associates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activa (13G)</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5,90 M de acciones a 30-jun-2025, por debajo del 5 % [73].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y directivos (22 personas)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y alta dirección</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Incluye opciones ejercitables y 600.000 acciones de planes de empleados cuya titularidad no se atribuyen [59].</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Acciones propias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68,3 M de acciones a 31-dic-2025 frente a 64,7 M un año antes, a un coste de 3.577,8 M USD [1]. Estimación propia del porcentaje sobre unos 189,3 M de acciones emitidas (capital social de 236,6 M USD a 1,25 USD de nominal); en circulación quedaban 120,63 M el 9-mar-2026 [59].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32.040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27 oct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 nov 2025</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Jamil Farshchi (CTO)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7.380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0,49</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18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Cecilia H. Mao (directora de producto)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0,46</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23 feb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abr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0,62</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 may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Chad M. Borton (presidente de Workforce Solutions)</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2.455</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0,43</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24 jul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 W. Begor (consejero delegado)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37.791</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6,51</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 sep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John W. Gamble, Jr. (director financiero)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Venta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4.500</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0,85</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23,42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2,74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18,41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84,1 %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Begor cobró 23,42 M USD en 2025 frente a 14,80 M en 2024: el consejo subió su incentivo a largo plazo objetivo de 10,1 a 17,1 M USD para retenerle más allá de 2025 [59]. El 93 % de su remuneración objetivo es variable [59]. El bonus anual del consejero delegado depende solo del BPA ajustado (81,25 %) y de los ingresos (18,75 %), y pagó el 152,1 % del objetivo [59]. El largo plazo de 2025 es un 30 % acciones por TSR relativo frente al S&amp;P 500 a tres años (tope del 100 % si el TSR es negativo), un 30 % por EBITDA ajustado, un 20 % opciones con prima del 110-120 % y un 20 % acciones restringidas [59]. Desde 2026 pasa a EBITDA ajustado con modificador de TSR (60 %) y acciones restringidas (40 %) [59]. Ninguna métrica mide retorno sobre el capital. Hay recuperación por mala conducta aunque no haya reexpresión [59]. Por cambio de control cobra tres veces salario más bonus objetivo, con doble condición; sin cambio de control ya no tiene indemnización en efectivo [59, 62]. El voto en contra subió al 15,6 % en 2026 [55].</w:t>
      </w:r>
    </w:p>
    <w:p>
      <w:pPr>
        <w:pStyle w:val="Heading2"/>
      </w:pPr>
      <w:r>
        <w:t xml:space="preserve">Operaciones vinculadas, estructura de control y defensas</w:t>
      </w:r>
    </w:p>
    <w:p>
      <w:pPr>
        <w:spacing w:after="100"/>
      </w:pPr>
      <w:r>
        <w:t xml:space="preserve">No hay accionista de control: el mayor es Vanguard con un 12,7 % y los cuatro primeros, gestoras con 13G pasivo, suman en torno al 31 % [59]. Una sola clase de acciones (nominal de 1,25 USD), todo el consejo se elige cada año, no hay píldora venenosa y en 2025 se eliminaron las mayorías reforzadas de los estatutos con un 99,7 % a favor de los votos emitidos [56, 59]. En junio de 2026 el consejo reconoció el derecho a pedir una junta extraordinaria con un 25 % del capital mantenido un año; la junta había rechazado la propuesta de bajarlo al 10 % [55, 65]. Nueve de diez consejeros son independientes y las cuatro comisiones están formadas solo por independientes [59]. En 2025 no hubo operaciones vinculadas por encima de 120.000 USD salvo la remuneración [59]. Los bonos senior tienen cláusula de cambio de control [1].</w:t>
      </w:r>
    </w:p>
    <w:p>
      <w:pPr>
        <w:pStyle w:val="Heading2"/>
      </w:pPr>
      <w:r>
        <w:t xml:space="preserve">Señales de alerta</w:t>
      </w:r>
    </w:p>
    <w:p>
      <w:pPr>
        <w:pStyle w:val="ListParagraph"/>
        <w:numPr>
          <w:ilvl w:val="0"/>
          <w:numId w:val="2"/>
        </w:numPr>
        <w:spacing w:after="60"/>
      </w:pPr>
      <w:r>
        <w:t xml:space="preserve">Sanción de la CFPB en enero de 2025: 15 M USD por la gestión de reclamaciones de consumidores y por vender puntuaciones de crédito erróneas tras introducir código de prueba en producción, el incidente de 2022 [74].</w:t>
      </w:r>
    </w:p>
    <w:p>
      <w:pPr>
        <w:pStyle w:val="ListParagraph"/>
        <w:numPr>
          <w:ilvl w:val="0"/>
          <w:numId w:val="2"/>
        </w:numPr>
        <w:spacing w:after="60"/>
      </w:pPr>
      <w:r>
        <w:t xml:space="preserve">Investigación abierta de la CFPB sobre la exactitud de datos y las reclamaciones en Workforce Solutions, con requerimientos en julio de 2023, marzo de 2024 y agosto de 2024; la empresa no puede prever el resultado [1].</w:t>
      </w:r>
    </w:p>
    <w:p>
      <w:pPr>
        <w:pStyle w:val="ListParagraph"/>
        <w:numPr>
          <w:ilvl w:val="0"/>
          <w:numId w:val="2"/>
        </w:numPr>
        <w:spacing w:after="60"/>
      </w:pPr>
      <w:r>
        <w:t xml:space="preserve">Demanda colectiva antimonopolio presentada en mayo de 2024 contra los servicios de verificación de ingresos y empleo de Workforce Solutions, el negocio más rentable [1].</w:t>
      </w:r>
    </w:p>
    <w:p>
      <w:pPr>
        <w:pStyle w:val="ListParagraph"/>
        <w:numPr>
          <w:ilvl w:val="0"/>
          <w:numId w:val="2"/>
        </w:numPr>
        <w:spacing w:after="60"/>
      </w:pPr>
      <w:r>
        <w:t xml:space="preserve">Sucesión del consejero delegado sin resolver: Begor tiene 67 años, su contrato ya no tiene fecha de fin desde noviembre de 2024 y el consejo trabaja con un asesor externo sin candidato público [59, 62].</w:t>
      </w:r>
    </w:p>
    <w:p>
      <w:pPr>
        <w:pStyle w:val="ListParagraph"/>
        <w:numPr>
          <w:ilvl w:val="0"/>
          <w:numId w:val="2"/>
        </w:numPr>
        <w:spacing w:after="60"/>
      </w:pPr>
      <w:r>
        <w:t xml:space="preserve">Rotación en la segunda línea: salieron los responsables de tecnología (2024), Workforce Solutions (2024), jurídico (2025) y U.S. Information Solutions (2025, con 2,9 M USD de indemnización y 3,2 M por acciones no consolidadas) [59, 61, 63, 64].</w:t>
      </w:r>
    </w:p>
    <w:p>
      <w:pPr>
        <w:pStyle w:val="ListParagraph"/>
        <w:numPr>
          <w:ilvl w:val="0"/>
          <w:numId w:val="2"/>
        </w:numPr>
        <w:spacing w:after="60"/>
      </w:pPr>
      <w:r>
        <w:t xml:space="preserve">Ventas continuadas de directivos: el consejero delegado vendió 145.413 acciones por unos 28 M USD en doce meses, ejercitando opciones dentro de planes 10b5-1; la única compra fue de 2.400 acciones [67].</w:t>
      </w:r>
    </w:p>
    <w:p>
      <w:pPr>
        <w:pStyle w:val="ListParagraph"/>
        <w:numPr>
          <w:ilvl w:val="0"/>
          <w:numId w:val="2"/>
        </w:numPr>
        <w:spacing w:after="60"/>
      </w:pPr>
      <w:r>
        <w:t xml:space="preserve">Apoyo a la remuneración en descenso: 84,1 % a favor en 2026 frente al 91,9 % de 2025 y el 90,6 % de 2024, tras la subida del incentivo a largo plazo del consejero delegado [55, 56, 57, 59].</w:t>
      </w:r>
    </w:p>
    <w:p>
      <w:pPr>
        <w:pStyle w:val="ListParagraph"/>
        <w:numPr>
          <w:ilvl w:val="0"/>
          <w:numId w:val="2"/>
        </w:numPr>
        <w:spacing w:after="60"/>
      </w:pPr>
      <w:r>
        <w:t xml:space="preserve">Auditor (Ernst &amp; Young) desde 2002, 24 años; un 5,1 % de los votos presentes se opuso a su ratificación en 2026 [1, 55].</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21 de julio de 2026, con los resultados del segundo trimestre, Equifax fijó para 2026 unos ingresos de 6.710 a 6.780 M USD (crecimiento publicado del 10,5 % al 11,6 %; orgánico en moneda local del 9,7 % al 10,8 %) y un BPA ajustado de 8,39 a 8,69 USD [77]. Para el tercer trimestre guió ingresos de 1.680 a 1.710 M USD (+8,7 % a +10,7 %) y un BPA ajustado de 2,15 a 2,25 USD [77]. El mismo día anunció la compra de Círculo de Crédito, buró de crédito mexicano, por un valor empresa de 750 M USD con cierre previsto en el cuarto trimestre, y duplicó a 150 M USD el objetivo de ahorro de costes con inteligencia artificial para 2026-2028 [77]. No hay actualización de la guía posterior: la próxima referencia son los resultados del 20 de octubre de 2026 [78].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de 24 analistas, 7-oct-2026 [79]; BPA según normas contables (el ajustado de Stock Analysis es 8,54 USD [81])</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8,39</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7-oct-2026 [79]</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2,68</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7-oct-2026 [79]</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2.392</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7.676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8.036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2.524</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2.705</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 / 5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203,90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148,00 – 245,00</w:t>
            </w:r>
          </w:p>
        </w:tc>
      </w:tr>
    </w:tbl>
    <w:p>
      <w:pPr>
        <w:spacing w:after="160" w:before="0"/>
      </w:pPr>
    </w:p>
    <w:p>
      <w:pPr>
        <w:pStyle w:val="Heading2"/>
      </w:pPr>
      <w:r>
        <w:t xml:space="preserve">Revisiones de estimaciones</w:t>
      </w:r>
    </w:p>
    <w:p>
      <w:pPr>
        <w:spacing w:after="100"/>
      </w:pPr>
      <w:r>
        <w:t xml:space="preserve">No hay datos gratuitos de la evolución del consenso de BPA y EBITDA a 3 y 12 meses. Lo que sí se ve es el recorte de precios objetivo: entre el 29 de septiembre y el 7 de octubre de 2026, cinco casas bajaron su objetivo, Barclays de 200 a 155 USD, BMO de 179 a 160, Goldman Sachs de 199 a 171, Deutsche Bank de 208 a 179 y Rothschild Redburn de 235 a 213, sin cambiar la recomendación [84]. El objetivo medio, 203,90 USD, sigue un 43 % por encima del precio, pero el mínimo, 148 USD, está solo un 4 % por encima [81, 84]. Las estimaciones de ingresos de 2026, 6.745 M USD [79], coinciden con el punto medio de la guía de julio, 6.745 M [77]: el recorte va por el múltiplo, no por las cifras.</w:t>
      </w:r>
    </w:p>
    <w:p>
      <w:pPr>
        <w:pStyle w:val="Heading1"/>
      </w:pPr>
      <w:r>
        <w:t xml:space="preserve">16. Comportamiento en bolsa</w:t>
      </w:r>
    </w:p>
    <w:p>
      <w:pPr>
        <w:pStyle w:val="Confianza"/>
        <w:spacing w:after="100"/>
      </w:pPr>
      <w:r>
        <w:t xml:space="preserve">Confianza: Alta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5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 años (anual.)</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+13,2 %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38,8 %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-54,4 %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6,6 %</w:t>
            </w:r>
          </w:p>
        </w:tc>
      </w:tr>
    </w:tbl>
    <w:p>
      <w:pPr>
        <w:spacing w:after="160" w:before="0"/>
      </w:pPr>
    </w:p>
    <w:p>
      <w:pPr>
        <w:spacing w:after="100"/>
      </w:pPr>
      <w:r>
        <w:t xml:space="preserve">Equifax lleva cinco años perdiendo frente al mercado: −10,5 % anual con dividendos frente a +13,7 % del S&amp;P 500 y +12,4 % del sector industrial (XLI) [76]. En 2026 el desfase se ha agravado: −33,8 % en el año frente a +14,9 % del índice, y la acción marcó su mínimo de 52 semanas, 137,01 USD, el 30 de septiembre, un 43 % por debajo del máximo de 238,94 USD del 27 de octubre de 2025 [76]. La caída desde septiembre de 2024 llega al 54 % [76]. Las bajadas no han sido graduales: el 3 de febrero cayó un 12,1 % en una sesión, el 22 de abril, día siguiente a los resultados del primer trimestre, un 7,2 %, y el 17 de junio un 7,4 % [76, 85]. Todo ello mientras la empresa crecía un 11 % en el segundo trimestre y mantenía la guía de ingresos [77]: el mercado descuenta un riesgo sobre el negocio de puntuaciones e informes, no un fallo de ejecución reciente. La volatilidad de un año, 38,8 %, es la de un valor en revisión, y el 6,6 % del capital está vendido en corto, 6,4 días de volumen medio [80].</w:t>
      </w: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56,2x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21" name="Gráfico 21" descr="EV/EBITDA últimos 12 meses (cierre de cada año): historia y mediana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spacing w:after="100"/>
      </w:pPr>
      <w:r>
        <w:t xml:space="preserve">A 11,0 veces el EBITDA de los últimos 12 meses, Equifax cotiza por debajo de cualquier cierre de ejercicio de los diez últimos (mínimo de 12,0x en 2018, tras el ciberataque) y un 36 % por debajo de su media (17,2x); el PER de 25,0 veces está un 39 % por debajo de la media (40,8x). Parte del descuento es estructural: el bono a 10 años está en el 5,28 % [83], frente al 1-2 % de 2016-2021, y el ROIC ha bajado del 14 % al 9 %. Lo que no es estructural es el EBITDA: el de 2025 está en la parte baja del ciclo hipotecario, con las consultas hipotecarias un 50 % por debajo de la media de 2015-2019 [21]. La otra parte del descuento es la regulación: el informe doble en hipotecas y la venta directa de FICO cuestionan por primera vez el modelo de las tres agencias [29, 30, 38].</w:t>
      </w:r>
    </w:p>
    <w:p>
      <w:pPr>
        <w:pStyle w:val="Heading1"/>
      </w:pPr>
      <w:r>
        <w:t xml:space="preserve">18. Comparables cotizados</w:t>
      </w:r>
    </w:p>
    <w:p>
      <w:pPr>
        <w:pStyle w:val="Confianza"/>
        <w:spacing w:after="100"/>
      </w:pPr>
      <w:r>
        <w:t xml:space="preserve">Confianza: Media</w:t>
      </w:r>
    </w:p>
    <w:p>
      <w:pPr>
        <w:spacing w:after="100"/>
      </w:pPr>
      <w:r>
        <w:t xml:space="preserve">Equifax figura en Industriales, servicios profesionales [93]. Ocho cotizadas de datos, puntuación y analítica de riesgo. TransUnion y Experian son los otros dos burós globales y compiten producto a producto; FICO vende la puntuación que usan los tres. Verisk, Moody's, S&amp;P Global y MSCI comparten el modelo de datos propios con ingresos recurrentes y márgenes altos, y fijan el techo del múltiplo. First Advantage aporta la comparación en verificación de empleo y antecedentes, frente a la línea de Workforce Solutions. Se descartan Dun &amp; Bradstreet (excluida de bolsa en 2025) y LexisNexis Risk (dentro de RELX, sin cifras separadas de mercado). Cifras de MarketScreener y Stock Analysis al 7-oct-2026 [94, 95, 96, 97, 98, 99, 100, 101, 102, 103, 104, 105, 106, 107, 108, 109]; Experian convertida a USD al cambio del BCE [92].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Equifax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TransUnion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Experian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GB</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30.212</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Fair Isaac (FICO)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Verisk Analytics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Moody's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77.870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S&amp;P Global</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116.490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MSCI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First Advantage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3.160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51,1 %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 / 12,4x / 16,2x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271,73</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11,3x / 14,3x / 17,3x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251,92</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 / 20,9x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193,64</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6.445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4,0x / 8,3x / 9,0x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168,24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405,75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444,30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2" name="Gráfico 22"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3" name="Gráfico 23"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rPr>
        <w:t xml:space="preserve">Regresión EV/EBITDA NTM sobre crecimiento</w:t>
      </w:r>
      <w:r>
        <w:t xml:space="preserve"> (8 comparables): múltiplo = 15,5 + -0,27 × crecimiento; R² = 0,04. El crecimiento explica poco los múltiplos de estos comparables (R² &lt; 0,3): la regresión no se usa en la valoración.</w:t>
      </w:r>
    </w:p>
    <w:p>
      <w:pPr>
        <w:spacing w:after="100"/>
      </w:pPr>
      <w:r>
        <w:t xml:space="preserve">Equifax cotiza a 9,6 veces el EBITDA de los próximos 12 meses y a 17,8 veces el beneficio contable, frente a una mediana de 12,4 veces y 20,9 veces en la muestra [94, 95, 96, 97, 98, 99, 100, 101, 102, 103, 104, 105, 106, 107, 108, 109]. La mediana no es la referencia buena: Moody's, S&amp;P Global y MSCI tienen márgenes EBITDA del 51-61 % y no dependen del ciclo hipotecario. El grupo útil son los burós y FICO: TransUnion a 8,6 veces, Experian a 10,3 y FICO a 11,3 [94, 95, 96]. Equifax está en medio, con una prima sobre TransUnion que se explica por Workforce Solutions, el 42,5 % de los ingresos con un margen operativo del 44,2 % [1]. La regresión no explica nada (R² de 0,04) y la mediana es frágil (11,3x a 13,5x según qué empresa se quite). Con la mediana, los comparables dan 182,09 USD; con el múltiplo de TransUnion, Equifax valdría menos que el precio. Pesan un 20 %.</w:t>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71"/>
        <w:gridCol w:w="1780"/>
        <w:gridCol w:w="1676"/>
        <w:gridCol w:w="838"/>
        <w:gridCol w:w="838"/>
        <w:gridCol w:w="838"/>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Círculo de Crédito (buró de crédito,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Segundo buró de México, con ingresos un 31 % más altos en los últimos doce meses; 750 M USD de valor empresa, 9,4 veces el EBITDA ajustado de 2026 con las sinergias previstas, cierre previsto en el 4T26 [18, 21]. El múltiplo no es comparable con los demás porque incluye sinergias.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Dun &amp; Bradstreet</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Clearlake Capital</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Exclusión de bolsa a 9,15 USD por acción; 7.700 M USD con deuda y 4.100 M de capital [86]. EV/ventas calculado con los ingresos de 2024, 2.382 M USD [87].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Sterling Check</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First Advantage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en efectivo y acciones valorado en unos 2.200 M USD, con al menos 50 M de sinergias anuales; el comunicado no da ventas ni EBITDA de Sterling por separado [88].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Neustar</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TransUnion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3.100 M USD en efectivo por un negocio con 575 M de ingresos y 115 M de EBITDA ajustado esperados en 2021 [89]. El múltiplo de EBITDA paga sinergias de ingresos y costes que el comunicado no cuantifica.</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2021-08</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Appriss Insights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Precio de 1.825 M USD con un beneficio fiscal de valor actual de unos 360 M, que deja el coste neto en unos 1.465 M [90, 91]. Las ventas del objetivo no figuran en los documentos oficiales consultados.</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4" name="Gráfico 24"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spacing w:after="100"/>
      </w:pPr>
      <w:r>
        <w:t xml:space="preserve">Las operaciones del sector rara vez publican el múltiplo pagado: de cinco, solo dos lo permiten calcular. TransUnion pagó por Neustar 5,4 veces ventas y 27 veces el EBITDA de 2021, un precio de crecimiento con sinergias [89]; Clearlake sacó de bolsa a Dun &amp; Bradstreet a 3,2 veces ventas, en un negocio de crecimiento bajo [86, 87]. Equifax es comprador recurrente, no objetivo: Appriss Insights en 2021 por 1.825 M USD y ahora Círculo de Crédito por 750 M [77, 90]. Con una capitalización de unos 16.800 M USD y un valor empresa de unos 22.400 M (con 5.467 M de deuda financiera a 30 de junio [2] y 106 M de déficit de pensiones [1]), el accionariado es disperso (flotante del 99,6 %) [80], lo que no impide una oferta, pero el tamaño limita los compradores a grandes fondos o a otro buró, y una fusión con TransUnion o Experian tendría difícil encaje en competencia.</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La proyección separa dos líneas. La reventa de la puntuación de FICO entra a margen casi nulo: unos 385 M en 2026 y unos 400 M en 2027, y baja a 330 M en 2029 al pasar parte de los prestamistas a VantageScore, que Equifax vende a 1 USD hasta finales de 2027 [21]. El negocio propio crece un 7,8 % en 2026e (punto medio de la guía sin FICO, 7,2-8,4 %), que fija el año en 6.745 M [21]. Después crece un 7,0 % en 2027e, con un punto menos por el informe doble, y un 7,5 % en 2028e-2029e con Medicaid y Gobierno (300 M de contratos firmados en el semestre) [21, 41], para bajar al 4,0 % en 2035e. Es la parte baja del marco de la dirección (7-10 % orgánico) [21]: </w:t>
      </w:r>
      <w:r>
        <w:rPr>
          <w:b/>
        </w:rPr>
        <w:t xml:space="preserve">no proyectamos ninguna recuperación del volumen hipotecario</w:t>
      </w:r>
      <w:r>
        <w:t xml:space="preserve">, que sigue un 50 % por debajo de 2015-2019; el crecimiento hipotecario reciente es precio y producto, con las consultas planas (USIS hipotecas +40 % en el 2T26 con las consultas al +1 %) [1, 18]. Quedamos un 1,6 % y un 4,5 % por debajo del consenso de ingresos de 2027-2028 [79].</w:t>
      </w:r>
    </w:p>
    <w:p>
      <w:pPr>
        <w:keepNext/>
        <w:spacing w:after="100"/>
      </w:pPr>
      <w:r>
        <w:rPr>
          <w:b/>
          <w:bCs/>
        </w:rPr>
        <w:t xml:space="preserve">Márgenes.</w:t>
      </w:r>
    </w:p>
    <w:p>
      <w:pPr>
        <w:spacing w:after="100"/>
      </w:pPr>
      <w:r>
        <w:t xml:space="preserve">El margen EBITDA ajustado sin FICO pasa del 33,5 % de 2026e (guía: 2.130 M) al 34,0 % en 2027e y al 36,0 % desde 2033e, medio punto al año como en el marco a largo plazo de la empresa [21] y apoyado en los 150 M de ahorros por inteligencia artificial de 2026-2028 [12]. El 36 % es el margen de 2016-2017, antes de la nube y del ciberataque [3]; no lo superamos. Con FICO, el margen del grupo va del 31,6 % de 2026e al 34,7 % de 2035e, frente al 31,9 % de 2025. El EBITDA queda un 0,2 %, un 3,3 % y un 6,7 % por debajo del consenso en 2026-2028 [79]: el consenso descuenta más apalancamiento operativo que nosotros.</w:t>
      </w:r>
    </w:p>
    <w:p>
      <w:pPr>
        <w:keepNext/>
        <w:spacing w:after="100"/>
      </w:pPr>
      <w:r>
        <w:rPr>
          <w:b/>
          <w:bCs/>
        </w:rPr>
        <w:t xml:space="preserve">Inversión y circulante.</w:t>
      </w:r>
    </w:p>
    <w:p>
      <w:pPr>
        <w:spacing w:after="100"/>
      </w:pPr>
      <w:r>
        <w:t xml:space="preserve">La nube ya está hecha y se ve en la inversión: el capex bajó del 12,2 % de las ventas en 2022 al 7,9 % en 2025, y la guía de 2026 es del 7,5 % [3, 21]. Lo bajamos al 7,0 % en 2030e, por encima del 5,5-6,5 % de 2016-2017, porque parte del capex sigue siendo desarrollo de producto. La amortización baja del 11,4 % al 7,0 %: la de intangibles de compras (245 M en 2026) se agota y la del software de la nube se iguala al capex [21]. El circulante es el 13,0 % de las ventas (13,3 % en 2025, 14,4 % en 2024). Impuestos del 27 % en 2026e (guía) y del 26 % después (25,8 % en 2025) [3, 21]. El flujo libre de 2026e (unos 1.000 M después de intereses) cuadra con la guía de más de 1.000 M [21].</w:t>
      </w:r>
    </w:p>
    <w:p>
      <w:pPr>
        <w:keepNext/>
        <w:spacing w:after="100"/>
      </w:pPr>
      <w:r>
        <w:rPr>
          <w:b/>
          <w:bCs/>
        </w:rPr>
        <w:t xml:space="preserve">Coste del capital.</w:t>
      </w:r>
    </w:p>
    <w:p>
      <w:pPr>
        <w:spacing w:after="100"/>
      </w:pPr>
      <w:r>
        <w:t xml:space="preserve">Tasa libre del 5,28 %: el Tesoro a 10 años del 7-oct-2026 [83]. </w:t>
      </w:r>
      <w:r>
        <w:rPr>
          <w:b/>
        </w:rPr>
        <w:t xml:space="preserve">Beta de 1,22</w:t>
      </w:r>
      <w:r>
        <w:t xml:space="preserve">, la ajustada mensual a cinco años frente al S&amp;P 500, tras comparar tres referencias: frente al S&amp;P 500 sale 1,33 mensual (1,29 semanal) y 1,07 semanal a dos años; frente al sector industrial (XLI) 1,06, y frente a TransUnion 0,66 [76]. Las dos últimas miden el comovimiento con el sector o con un par, no el riesgo de mercado del inversor diversificado. La semanal a dos años es menor porque la caída de 2026 ha sido propia (FICO, informe doble), no de mercado. Prima de mercado del 5,5 %, sin prima adicional. Deuda al 5,65 % antes de impuestos, el cupón del bono a 2033 emitido el 22-jul-2026 [58], con un 24,4 % de peso a valor de mercado. Coste del capital propio del 11,99 % y WACC del 10,08 %.</w:t>
      </w:r>
    </w:p>
    <w:p>
      <w:pPr>
        <w:keepNext/>
        <w:spacing w:after="100"/>
      </w:pPr>
      <w:r>
        <w:rPr>
          <w:b/>
          <w:bCs/>
        </w:rPr>
        <w:t xml:space="preserve">Valor terminal.</w:t>
      </w:r>
    </w:p>
    <w:p>
      <w:pPr>
        <w:spacing w:after="100"/>
      </w:pPr>
      <w:r>
        <w:t xml:space="preserve">Gordon al 3,0 %: un punto real y alrededor de un 2 % de inflación en dólares, por debajo del techo de coherencia (tasa libre menos medio punto, 4,78 %). El valor terminal pesa el 56 % y equivale a 8,4 veces el EBITDA de 2035e, por debajo de las 11,0 veces actuales y del mínimo de diez años (12,0x): no contamos con que vuelva el múltiplo de 2016-2024. En el último año el capex iguala la amortización (7,0 %) y el circulante sigue en el 13 %, coherente con crecer al 3 %.</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8,89 %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0,23</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7.676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8.755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34,7 %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972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32.714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42.924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10.558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155,96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153,76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196,05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175,98</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10,6 %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11,1 %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136,93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144,39</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119,53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165,26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182,43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163,46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176,80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191,01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184,82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199,59</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2035e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36,1 % (hoy: 31,8 %)</w:t>
            </w:r>
          </w:p>
        </w:tc>
      </w:tr>
    </w:tbl>
    <w:p>
      <w:pPr>
        <w:spacing w:after="160" w:before="0"/>
      </w:pPr>
    </w:p>
    <w:p>
      <w:pPr>
        <w:spacing w:after="100"/>
      </w:pPr>
      <w:r>
        <w:t xml:space="preserve">La proyección apenas necesita inversión neta de la amortización (reinversión acumulada de -837 M, con un capex bruto medio del 7,1 % de las ventas). En un negocio de activos ligeros, el crecimiento medio del 6,3 % tiene que salir de subir precios y de ganar volumen sin capital nuevo, y la prueba es el poder de precios y la cuota (36,1 % del mercado en 2035e, frente al 31,8 %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+7,8 % (punto medio de la guía sin FICO) [21]: la hipoteca crece por precio y producto con las consultas planas (USIS hipotecas +40 % con consultas +1 % en el 2T26) [1, 18]; el volumen son registros de The Work Number (+10 %) y Gobierno [21]. Otros: reventa de FICO de ≈175 a ≈385 M, sin margen [21]. Reparto volumen/precio: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+7,0 %, un punto menos por el informe doble [30]; volumen de los 300 M de contratos públicos firmados en el 1S26 y de Medicaid desde el 1-ene-2027 [21, 41]. FICO casi plano (≈400 M)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Negocio propio +7,5 % con Medicaid y Gobierno, sin recuperación hipotecaria [21, 41]; la reventa de FICO baja a ≈360 M al pasar prestamistas a VantageScore [21].</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Negocio propio +7,5 %, la parte baja del marco orgánico de la dirección (7-10 %) [21]; FICO baja a ≈330 M.</w:t>
            </w:r>
          </w:p>
        </w:tc>
      </w:tr>
    </w:tbl>
    <w:p>
      <w:pPr>
        <w:spacing w:after="160" w:before="0"/>
      </w:pPr>
    </w:p>
    <w:p>
      <w:pPr>
        <w:spacing w:after="100"/>
      </w:pPr>
      <w:r>
        <w:t xml:space="preserve">En parte. Es un negocio de activos ligeros (capex por debajo de la amortización hasta 2035e), así que la prueba es el poder de precios y la cuota. La cuota pasa del 31,8 % al 36,1 % de las tres agencias con el mercado al 5 % anual (estimación propia); solo saltaría con el mercado por debajo del 2,1 %. El volumen tiene base: The Work Number suma registros al 10 % anual y Medicaid exige verificar desde 2027 [21, 41]. Pero casi la mitad del crecimiento de 2026-2029 es precio, y el precio está bajo la CFPB, los estados, el informe doble y la venta directa de FICO [1, 30, 38, 40]; el grupo creció un 3-4 % en 2022-2023 [3] y su ROIC (9,3 %) no cubre el WACC.</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 (base: 5,8 %)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32,9 % (base: 34,7 %)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10,6 % (WACC: 10,1 %)</w:t>
            </w:r>
          </w:p>
        </w:tc>
      </w:tr>
    </w:tbl>
    <w:p>
      <w:pPr>
        <w:spacing w:after="160" w:before="0"/>
      </w:pPr>
    </w:p>
    <w:p>
      <w:pPr>
        <w:spacing w:after="100"/>
      </w:pPr>
      <w:r>
        <w:t xml:space="preserve">El DCF da </w:t>
      </w:r>
      <w:r>
        <w:rPr>
          <w:b/>
        </w:rPr>
        <w:t xml:space="preserve">155,96 USD por acción</w:t>
      </w:r>
      <w:r>
        <w:t xml:space="preserve">, un 9,5 % sobre el precio, con un valor terminal que pesa el 56 %. </w:t>
      </w:r>
      <w:r>
        <w:rPr>
          <w:b/>
        </w:rPr>
        <w:t xml:space="preserve">El DCF inverso dice que el precio descuenta un crecimiento de los ingresos del 4,7 % anual en 2027e-2035e</w:t>
      </w:r>
      <w:r>
        <w:t xml:space="preserve"> frente al 5,8 % de nuestro caso base, </w:t>
      </w:r>
      <w:r>
        <w:rPr>
          <w:b/>
        </w:rPr>
        <w:t xml:space="preserve">o un margen EBITDA del 32,9 %</w:t>
      </w:r>
      <w:r>
        <w:t xml:space="preserve"> frente al 34,7 %: es decir, que Equifax crezca por debajo de su historia (7,6 % anual en 2016-2025, con compras) y que el margen se quede cerca del 31,9 % de 2025, sin el medio punto anual que la dirección ha cumplido este año sin FICO [21]. La rentabilidad implícita en el precio es del 10,6 %, algo por encima de nuestro WACC del 10,08 %. No es un precio exigente: con las consultas hipotecarias en la mitad de su nivel normal [21], el mercado paga un Equifax sin recuperación hipotecaria y con pérdida de negocio por el informe doble. La sensibilidad es alta: medio punto más de WACC baja el valor a 142,33 USD, y medio punto más de crecimiento terminal lo sube a 165,21 USD. Con la prima implícita del mercado (4,20 %), el WACC baja al 8,89 % y el DCF sube a 198,22 USD.</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FHFA aprueba el informe doble en 2027 y abre la puerta a uno solo; los originadores eligen dos de las tres agencias y negocian precio, y FICO se lleva la reventa de su puntuación. A la vez, los estados y la CFPB fuerzan a bajar los precios de The Work Number y Truv y Argyle ganan los programas públicos. Es 2022-2023 otra vez: un año de caída hipotecaria (−6 puntos de crecimiento en 2027e y −3 de margen) y luego un crecimiento 2,5 puntos menor y un margen 2 puntos más bajo [3, 29, 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recuperación del volumen hipotecario; el informe doble resta un punto de crecimiento en 2027e; Medicaid y Gobierno sostienen Workforce Solutions; el margen sin FICO sube medio punto al año hasta el 36 %.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36,2 %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195,80</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+37,5 %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mercado hipotecario recupera la mitad de la distancia a 2015-2019 en 2028-2029 (la empresa calcula 1.000-1.200 M de ingresos sin FICO para la recuperación completa) [21, 22], la FHFA mantiene los tres informes y Medicaid amplía la verificación pública: 1,5 puntos más de crecimiento y de margen, con 3-4 puntos adicionales de crecimiento en 2028e-2029e.</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7" name="Gráfico 27" descr="Valor por acción por escenari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p>
      <w:pPr>
        <w:spacing w:after="100"/>
      </w:pPr>
      <w:r>
        <w:rPr>
          <w:b/>
          <w:bCs/>
        </w:rPr>
        <w:t xml:space="preserve">Valor ponderado por probabilidad:</w:t>
      </w:r>
      <w:r>
        <w:t xml:space="preserve"> 152,72 USD (+7,2 %).</w:t>
      </w:r>
    </w:p>
    <w:p>
      <w:pPr>
        <w:spacing w:after="100"/>
      </w:pPr>
      <w:r>
        <w:t xml:space="preserve">Con nuestro coste de capital, el reparto compensa por poco: el alcista vale 195,80 USD (+37,5 %) y el bajista 103,17 USD (−27,6 %), una asimetría de 1,36 veces; el valor ponderado (25/50/25) es de 152,72 USD. El bajista no es cosmético: suma el informe doble, que la prensa espera que la FHFA anuncie el 12 de octubre [30], la venta directa de FICO, que ya hizo caer la acción un 11 % en un día [38], y una presión sobre el precio de la verificación que tres senadores ya investigan [40]. El alcista solo necesita que las consultas hipotecarias recuperen la mitad de lo perdido desde 2015-2019. Con la prima que hoy pide el mercado, el bajista queda en 131,08 USD (−8,0 %) y el alcista en 247,66 USD (+73,9 %): una asimetría de 9,27 veces.</w:t>
      </w:r>
    </w:p>
    <w:p>
      <w:pPr>
        <w:pStyle w:val="Heading1"/>
      </w:pPr>
      <w:r>
        <w:t xml:space="preserve">22. Suma de partes</w:t>
      </w:r>
    </w:p>
    <w:p>
      <w:pPr>
        <w:pStyle w:val="Confianza"/>
        <w:spacing w:after="100"/>
      </w:pPr>
      <w:r>
        <w:t xml:space="preserve">Confianza: Media</w:t>
      </w:r>
    </w:p>
    <w:p>
      <w:pPr>
        <w:spacing w:after="100"/>
      </w:pPr>
      <w:r>
        <w:t xml:space="preserve">La suma de partes da 176,41 USD por acción, un 23,9 % sobre el precio, y enseña dónde está el valor. Workforce Solutions, a 15 veces su EBITDA ajustado de 2026e (1.435 M, estimación propia con la guía), vale unos 21.500 M: casi todo el valor empresa de mercado del grupo (22.435 M). Dicho de otro modo: a 142,43 USD, una vez pagado Workforce Solutions a 15 veces, quedan unos 910 M de valor para la agencia de crédito de EE. UU. y la división internacional netas de los costes centrales, frente a 4.930 M en la suma de partes; esos dos negocios suman 1.208 M de EBITDA. Esa lectura es la que hace atractiva la acción y también la que la hace frágil: si el informe doble o la presión de precios sobre la verificación tocan a Workforce Solutions, el múltiplo de 15 veces cae. Los múltiplos de cada parte son los de sus pares más directos [94, 95, 96, 97, 98, 99, 100, 101, 102, 103, 104, 105, 106, 107, 108, 109]; no aplicamos descuento de conglomerado porque los tres negocios comparten datos, clientes y la plataforma en la nube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50"/>
        <w:gridCol w:w="1640"/>
        <w:gridCol w:w="1025"/>
        <w:gridCol w:w="820"/>
        <w:gridCol w:w="1025"/>
        <w:gridCol w:w="3078"/>
      </w:tblGrid>
      <w:tr>
        <w:trPr>
          <w:cantSplit/>
          <w:tblHeader/>
        </w:trPr>
        <w:tc>
          <w:tcPr>
            <w:tcW w:type="dxa" w:w="20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Negocio</w:t>
            </w:r>
          </w:p>
        </w:tc>
        <w:tc>
          <w:tcPr>
            <w:tcW w:type="dxa" w:w="16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Métrica</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de la métrica</w:t>
            </w:r>
          </w:p>
        </w:tc>
        <w:tc>
          <w:tcPr>
            <w:tcW w:type="dxa" w:w="8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w:t>
            </w:r>
          </w:p>
        </w:tc>
        <w:tc>
          <w:tcPr>
            <w:tcW w:type="dxa" w:w="1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empresa</w:t>
            </w:r>
          </w:p>
        </w:tc>
        <w:tc>
          <w:tcPr>
            <w:tcW w:type="dxa" w:w="30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 del múltiplo</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Workforce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1.435</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21.525</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 Work Number: 217 millones de registros activos, margen EBITDA ajustado del 51,5 % y un objetivo de crecimiento del 13-15 % anual [12, 21]. 15 veces, entre FICO (11,3x) y Verisk (13,5x) por abajo y Moody's (17,9x) y MSCI (20,0x) por arriba [94, 95, 96, 97, 98, 99, 100, 101, 102, 103, 104, 105, 106, 107, 108, 109], con descuento por la investigación de la CFPB y la demanda antimonopolio [1].</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U.S. Information Solutions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7.020</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Agencia de crédito de EE. UU., con un tercio de los ingresos en hipotecas [22]. TransUnion, el par más directo y con la misma exposición al informe doble, cotiza a 8,6 veces el EBITDA de los próximos 12 meses [94, 102].</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International</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428</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Burós en Reino Unido, Canadá, Australia y Latinoamérica con un margen del 28,5 % [4]. Por debajo de Experian (10,3x), que tiene más escala y un margen EBITDA del 35,6 % [95, 103].</w:t>
            </w:r>
          </w:p>
        </w:tc>
      </w:tr>
      <w:tr>
        <w:trPr>
          <w:cantSplit/>
        </w:trPr>
        <w:tc>
          <w:tcPr>
            <w:tcW w:type="dxa" w:w="20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Costes corporativos</w:t>
            </w:r>
          </w:p>
        </w:tc>
        <w:tc>
          <w:tcPr>
            <w:tcW w:type="dxa" w:w="16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ajustado 2026e</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-513</w:t>
            </w:r>
          </w:p>
        </w:tc>
        <w:tc>
          <w:tcPr>
            <w:tcW w:type="dxa" w:w="8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12,0x</w:t>
            </w:r>
          </w:p>
        </w:tc>
        <w:tc>
          <w:tcPr>
            <w:tcW w:type="dxa" w:w="1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-6.156</w:t>
            </w:r>
          </w:p>
        </w:tc>
        <w:tc>
          <w:tcPr>
            <w:tcW w:type="dxa" w:w="30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Costes centrales no asignados (529 M en 2025) [4], capitalizados al múltiplo medio ponderado de los tres negocios.</w:t>
            </w:r>
          </w:p>
        </w:tc>
      </w:tr>
    </w:tbl>
    <w:p>
      <w:pPr>
        <w:spacing w:after="160" w:before="0"/>
      </w:pPr>
    </w:p>
    <w:p>
      <w:pPr>
        <w:spacing w:after="100"/>
      </w:pPr>
      <w:r>
        <w:rPr>
          <w:b/>
          <w:bCs/>
        </w:rPr>
        <w:t xml:space="preserve">Valor por acción por suma de partes:</w:t>
      </w:r>
      <w:r>
        <w:t xml:space="preserve"> 176,41 (+23,9 %); con ±1x en los múltiplos, 142,87 – 209,96.</w:t>
      </w: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8" name="Gráfico 28" descr="Valor por acción según cada método (USD) · precio actual 142,43"/>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203,90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197,29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271,73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193,64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182,87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152,72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142,87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178,65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221,47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143,14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Suma de partes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176,41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162,26 USD (+13,9 % sobre 142,43).</w:t>
      </w:r>
    </w:p>
    <w:p>
      <w:pPr>
        <w:spacing w:after="100"/>
      </w:pPr>
      <w:r>
        <w:t xml:space="preserve">El valor objetivo es de </w:t>
      </w:r>
      <w:r>
        <w:rPr>
          <w:b/>
        </w:rPr>
        <w:t xml:space="preserve">162,26 USD</w:t>
      </w:r>
      <w:r>
        <w:t xml:space="preserve"> (+13,9 %): DCF 40 %, escenarios ponderados 30 %, comparables 20 % y suma de partes 10 %. El DCF y los escenarios mandan porque el debate sobre Equifax es de flujos a largo plazo (cuánto margen sobrevive al informe doble y a FICO) y ningún múltiplo actual lo recoge. Los comparables (182,09 USD) pesan menos porque la mediana mezcla empresas de calificaciones e índices con márgenes del 51-61 % y es frágil. La suma de partes (176,41 USD) sirve de control: dice que el precio paga sobre todo Workforce Solutions. Las transacciones no pesan: solo dos publican múltiplos y Equifax es compradora. La dispersión es moderada: los métodos quedan entre 152,72 USD (escenarios) y 182,09 USD (comparables), todos por encima del precio. El puente resta la deuda financiera (5.467 M), los minoritarios a valor contable (139,7 M), las pensiones netas de impuestos (78,7 M) y 70 M de acuerdos judiciales devengados, y suma la caja (170,1 M), todo a 30-jun-2026 [1, 2]: deuda neta ajustada de 5.446 M. Sin arrendamientos operativos (US GAAP). Con la prima del mercado (4,20 %) el objetivo sube a 191,49 USD; el consenso de 24 analistas está en 203,90 USD [79].</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(14.8x) × 1.1 (tope: la mediana de 5 años, 47.9x,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178,16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269,72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+90,9 %</w:t>
            </w:r>
          </w:p>
        </w:tc>
      </w:tr>
    </w:tbl>
    <w:p>
      <w:pPr>
        <w:spacing w:after="160" w:before="0"/>
      </w:pPr>
    </w:p>
    <w:p>
      <w:pPr>
        <w:spacing w:after="100"/>
      </w:pPr>
      <w:r>
        <w:rPr>
          <w:b/>
          <w:bCs/>
        </w:rPr>
        <w:t xml:space="preserve">Objetivo a 12 meses (ponderado):</w:t>
      </w:r>
      <w:r>
        <w:t xml:space="preserve"> 186,41 USD · rentabilidad +32,4 % (base +26,6 %) · señal Comprar.</w:t>
      </w:r>
    </w:p>
    <w:p>
      <w:pPr>
        <w:spacing w:after="100"/>
      </w:pPr>
      <w:r>
        <w:t xml:space="preserve">Para comparar, con la regla v2 (historia al cierre, mismo precio): 12,6x / 14,8x / 19,2x, 19,9 % Comprar; con el tope anterior del base (×1,3, 14-oct mediodía): 56,0 % Comprar. Decide la regla vigente (v3 con tope ×1,1; METODO-VIGENTE.md).</w:t>
      </w:r>
    </w:p>
    <w:p>
      <w:pPr>
        <w:keepNext/>
        <w:spacing w:after="100"/>
      </w:pPr>
      <w:r>
        <w:rPr>
          <w:b/>
          <w:bCs/>
        </w:rPr>
        <w:t xml:space="preserve">Frente al consenso (solo contraste).</w:t>
      </w:r>
    </w:p>
    <w:p>
      <w:pPr>
        <w:spacing w:after="100"/>
      </w:pPr>
      <w:r>
        <w:t xml:space="preserve">Nuestro BPA base de 2028e (10,93) se separa un +4,3 % del consenso (10,48) y nuestro precio base (161,76) un -20,7 % del objetivo medio de los analistas (203,90). No se acerca la cifra: el porqué (ventas, margen, base de BPA o múltiplo) está en el contraste con el consenso de revision-12m-2026-10-13.md.</w:t>
      </w:r>
    </w:p>
    <w:p>
      <w:pPr>
        <w:keepNext/>
        <w:spacing w:after="100"/>
      </w:pPr>
      <w:r>
        <w:rPr>
          <w:b/>
          <w:bCs/>
        </w:rPr>
        <w:t xml:space="preserve">Del valor intrínseco al objetivo a 12 meses.</w:t>
      </w:r>
    </w:p>
    <w:p>
      <w:pPr>
        <w:spacing w:after="100"/>
      </w:pPr>
      <w:r>
        <w:t xml:space="preserve">Valor intrínseco 162,26 (+13,9 %) frente al objetivo a 12 meses ponderado 168,71 (+19,9 % con dividendo; base +15,1 %). La distancia es menor del 25 %.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Congreso anual de la MBA: la prensa espera que el director de la FHFA anuncie el paso al informe doble en las hipotecas de Fannie Mae y Freddie Mac [30].</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Estimación propia: perder un tercio de las ventas de informes hipotecarios costaría unos 160 M de ingresos y ~115 M de EBITDA (≈−7 % del valor); el calendario de aplicación importa tanto como la decisión.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[78]. Guía: ingresos de 1.680-1.710 M y BPA ajustado de 2,15-2,25 USD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lectura de la guía de 2026 tras la caída de la acción; la respuesta de la dirección al informe doble y a FICO.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 la compra de Círculo de Crédito (México), 750 M de valor empresa [21].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deuda (≈0,3 veces el EBITDA) y un buró que crece al 31 %; neutral en valor a 9,4 veces el EBITDA con sinergias [18].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 en vigor las verificaciones de los requisitos de trabajo de Medicaid [41].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 para el vertical de Gobierno de Workforce Solutions (31 % de la división en 2025) [22].</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guía de margen sin FICO dirá si se cumple el medio punto anual del marco a largo plazo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Conversión de prestamistas a VantageScore 4.0, que Equifax vende a 1 USD hasta finales de 2027 [21, 28].</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conversión total, +35 M de EBITDA y −385 M de ingresos de reventa de FICO sobre la guía de 2026 [21].</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Resolución de la investigación de la CFPB sobre Workforce Solutions y de la demanda colectiva antimonopolio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sanción con cambios de precio sería el riesgo más directo sobre el negocio más valioso.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 (o único) en las hipotecas de Fannie Mae y Freddie Mac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 −7 % (estimación propia); con presión de precio, hacia el bajista (−27,6 %)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vende informes junto con The Work Number y VantageScore a 1 USD; la hipoteca es un 32 % de USIS y un 23 % de Workforce Solutions [22].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Anuncio de la FHFA del 12-oct y calendario de aplicación; cuota de Equifax en los informes que eligen los originadores.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precio en The Work Number por la presión pública y la verificación con permiso del consumidor</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y regulación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puntos de margen: −9,6 % (140,96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217 millones de registros activos frente a 66 millones de Experian [12, 36]; contratos públicos plurianuales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EBITDA ajustado de Workforce Solutions por debajo del 50 % (51,5 % en 2025) [4].</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 se queda la puntuación hipotecaria y sus subidas de precio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Poco valor: la reventa va a margen casi nulo; −1 punto de crecimiento: −7,7 % (143,93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reventa sin margen ya está separada en el modelo; VantageScore como alternativa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Peso de la venta directa de FICO en los informes de los grandes revendedores.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Mercado hipotecario hundido más tiempo con el bono a 10 años por encima del 5 %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punto de crecimiento anual: −7,7 % (143,93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ya no proyecta recuperación del volumen [21].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Consultas hipotecarias que trimestre a trimestre siguen por debajo del año anterior.</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capital: la acción tiene una beta de 1,22 y cotiza con un 6,6 % del capital vendido en corto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WACC +0,5 puntos: −8,7 % (142,33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Flujo libre de más de 1.000 M y rating BBB/Baa2 estable [21, 58].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Diferencial de los bonos de Equifax sobre el Tesoro.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Sanción de la CFPB o fallo antimonopolio contra Workforce Solutions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Hacia el bajista si afecta a precios (−27,6 %)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Solo hay requerimientos de información y una demanda sin cuantía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Comunicación de la CFPB o auto de certificación de la demanda colectiva.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Otro incidente de ciberseguridad o de calidad de datos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El de 2017 dejó unos 1.960 M de costes excluidos del ajustado en 2017-2020 [4, 5, 6, 7, 8, 9, 10, 11]</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Plataforma en la nube y gasto de seguridad desde 2018.</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la CFPB o de la FCA; incidentes como el error de puntuaciones de 2022 [49].</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 del consejero delegado (67 años) y rotación de la segunda línea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directo en el valor</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Consejo con presidente independiente y un 90 % de independientes [59].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Anuncio de sucesor sin experiencia en el negocio o salida del director financiero [1].</w:t>
            </w:r>
          </w:p>
        </w:tc>
      </w:tr>
    </w:tbl>
    <w:p>
      <w:pPr>
        <w:spacing w:after="160" w:before="0"/>
      </w:pPr>
    </w:p>
    <w:p>
      <w:pPr>
        <w:pStyle w:val="Heading2"/>
      </w:pPr>
      <w:r>
        <w:t xml:space="preserve">Pre-mortem</w:t>
      </w:r>
    </w:p>
    <w:p>
      <w:pPr>
        <w:spacing w:after="100"/>
      </w:pPr>
      <w:r>
        <w:t xml:space="preserve">Octubre de 2029: la acción vale unos 85 USD, un 40 % menos. Empezó el 12 de octubre de 2026: la FHFA anunció el informe doble y, un año después, permitió el único para los préstamos con verificación de ingresos automatizada [30]. Los grandes originadores sacaron a concurso las agencias y Equifax, que cobraba más, perdió un tercio de sus informes hipotecarios. FICO terminó de pasar sus puntuaciones a la venta directa [38]. El golpe fuerte llegó después, en Workforce Solutions: el informe del Senado sobre los precios a los estados [40] y la investigación de la CFPB acabaron en un acuerdo con precios máximos para Medicaid y SNAP, y Fannie Mae aceptó la verificación por nómina con permiso del consumidor, que Truv y Argyle venden a la mitad de precio. El margen de Workforce Solutions bajó del 51 % al 45 % y su múltiplo, de 15 a 10 veces. Con el bono a 10 años en el 5 %, las consultas hipotecarias no volvieron, y la deuda (2,7 veces el EBITDA y Círculo de Crédito por pagar) frenó las recompras. Las señales estaban a la vista: el anuncio de la FHFA, un margen de Workforce Solutions por debajo del 50 % en dos trimestres seguidos y la cuota de verificaciones de Gobierno ganadas por otros proveedores.</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 (Equifax Reino Unido)</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Plata (10 % mejor de las evaluadas), sube desde bronce [54]</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r>
    </w:tbl>
    <w:p>
      <w:pPr>
        <w:spacing w:after="160" w:before="0"/>
      </w:pPr>
    </w:p>
    <w:p>
      <w:pPr>
        <w:pStyle w:val="Heading2"/>
      </w:pPr>
      <w:r>
        <w:t xml:space="preserve">Asuntos materiales</w:t>
      </w:r>
    </w:p>
    <w:p>
      <w:pPr>
        <w:spacing w:after="100"/>
      </w:pPr>
      <w:r>
        <w:t xml:space="preserve">Tres asuntos mueven las cifras. </w:t>
      </w:r>
      <w:r>
        <w:rPr>
          <w:b/>
        </w:rPr>
        <w:t xml:space="preserve">Seguridad de los datos</w:t>
      </w:r>
      <w:r>
        <w:t xml:space="preserve">: el ciberataque de 2017 obligó a un fondo de restitución de 380,5 M USD, ampliable en 125 M USD, y a compromisos de seguridad vigilados por terceros [15]; la migración a la nube que siguió explica buena parte de la inversión de los últimos años [1]. </w:t>
      </w:r>
      <w:r>
        <w:rPr>
          <w:b/>
        </w:rPr>
        <w:t xml:space="preserve">Exactitud de los datos y reclamaciones</w:t>
      </w:r>
      <w:r>
        <w:t xml:space="preserve">: Equifax tramita unas 765.000 reclamaciones de consumidores al mes, y la CFPB la sancionó en 2025 por gestionarlas mal [48]; en 2025 registró además 30 M USD por un acuerdo sobre reclamaciones de consultas [4]. </w:t>
      </w:r>
      <w:r>
        <w:rPr>
          <w:b/>
        </w:rPr>
        <w:t xml:space="preserve">Precio y acceso en programas públicos</w:t>
      </w:r>
      <w:r>
        <w:t xml:space="preserve">: la verificación de ingresos para Medicaid y SNAP crece con la ley de 2025, pero también el escrutinio político sobre lo que pagan los estados [40, 41].</w:t>
      </w:r>
    </w:p>
    <w:p>
      <w:pPr>
        <w:pStyle w:val="Heading2"/>
      </w:pPr>
      <w:r>
        <w:t xml:space="preserve">Controversias</w:t>
      </w:r>
    </w:p>
    <w:p>
      <w:pPr>
        <w:spacing w:after="100"/>
      </w:pPr>
      <w:r>
        <w:t xml:space="preserve">En enero de 2025 la CFPB impuso a Equifax una multa de 15 M USD por la gestión de reclamaciones y por vender puntuaciones incorrectas en 2022 [48]. En 2025 dotó 30 M USD para cerrar cuatro demandas colectivas sobre reclamaciones de consultas, con acuerdo de principio en enero de 2026 [1, 4]. Desde mayo de 2024 afronta una demanda colectiva antimonopolio sobre Workforce Solutions, y la CFPB investiga desde 2023 la exactitud de sus datos de empleo [1]. En febrero de 2026, tres senadores abrieron una investigación sobre sus precios a los estados [40].</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Informe doble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hipotecarios de USIS, sin FICO, depende de que el prestamista compre tres informes, y qué cuota espera retener con el informe doble?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caso base (−1 punto de crecimiento) y el bajista; la empresa no publica la cifra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de la verificación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crecimiento de Workforce Solutions en 2024-2026 es precio y cuánto registros y volumen, y qué compromisos de precio hay en los contratos de Medicaid?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investigación del Senado y la CFPB apuntan al precio [1, 40]; el margen del 51,5 % es el que sostiene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Verificación con permiso del consumidor</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cuota de las verificaciones hipotecarias y públicas han ganado Truv, Argyle o Experian Verify, y a qué precio?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amenaza directa al foso; solo hay datos de financiación de los rivales [46, 47].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FICO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¿Cuántos revendedores han pasado a la licencia directa de FICO y cuánto ingreso de reventa queda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Cambia el crecimiento publicado, aunque poco el beneficio [21, 38].</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 los 150 M de ahorro por inteligencia artificial llega al margen y cuánto se reinvierte?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sube el margen sin FICO medio punto al año [12, 21].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financiar las recompras del primer semestre con papel comercial con la acción cayendo, y cuál es el apalancamiento objetivo tras Círculo de Crédito?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deuda pasó de 5.093 a 5.467 M en seis meses [2]; el covenant está en 3,75 veces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Sucesión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el calendario de sucesión del consejero delegado?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Begor tiene 67 años, contrato sin fecha de fin y la segunda línea ha rotado [1, 62].</w:t>
            </w:r>
          </w:p>
        </w:tc>
      </w:tr>
    </w:tbl>
    <w:p>
      <w:pPr>
        <w:spacing w:after="160" w:before="0"/>
      </w:pPr>
    </w:p>
    <w:p>
      <w:r>
        <w:br w:type="page"/>
      </w:r>
    </w:p>
    <w:p>
      <w:pPr>
        <w:pStyle w:val="Parte"/>
      </w:pPr>
      <w:r>
        <w:t xml:space="preserve">Anexos</w:t>
      </w:r>
    </w:p>
    <w:p>
      <w:pPr>
        <w:pStyle w:val="Heading1"/>
      </w:pPr>
      <w:r>
        <w:t xml:space="preserve">A. Controles de calidad del análisis</w:t>
      </w:r>
    </w:p>
    <w:p>
      <w:pPr>
        <w:spacing w:after="100"/>
      </w:pPr>
      <w:r>
        <w:t xml:space="preserve">21 de 23 controles correctos y 2 explicados. Fuentes: 109 (72 primarias); citas distintas en el texto: 109.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36,1 % en 2035e frente al 31,8 %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13,0 % frente a 13,3 % real: genera una variación de circulante de 71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0,04: el crecimiento no explica los múltiplos de estos comparables; no uses el valor de la regresión. Explicación: La muestra mezcla burós, FICO y empresas de índices y calificaciones; el crecimiento no explica el múltiplo (R² 0,04). No se usa el valor de la regresión.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11,3x a 13,5x según qué comparable se quite (175,60 a 218,98 por acción): la muestra es frágil; explícalo y no le des mucho peso. Explicación: La mediana se mueve entre 11,3x y 13,5x según se quite First Advantage o MSCI. Por eso los comparables pesan un 20 % y el comentario apoya la lectura en los burós y FICO.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-12,6 %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«Media» (no llega a Alta: rentabilidad del 15,4 % (&lt; 25 %); asimetría de 1,36 (&lt; 2); bajista del -27,6 % (pierde más del 25 %); el precio descuenta solo 1,1 puntos menos de crecimiento que el caso base (&lt; 3)) y el análisis pone «Baja»: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109 fuentes (72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72.</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28. Sentimiento en foros y comentarios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Comparación con el consenso de cada trimestre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de resultados de la empresa, que no citan el consenso; 2) presentaciones y resúmenes de las conferencias, sin consenso previo; 3) no se buscó en prensa para no consumir búsquedas compartidas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Resultados recientes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Preguntas de los analistas en las conferencias del 1T26 y 2T26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solo publica el resumen de los comentarios preparados, sin el turno de preguntas; 2) anexos de los 8-K, sin transcripción; 3) transcripciones de terceros no consultadas por el límite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Modelo de 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Serie anual de ingresos hipotecarios en dólares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y 2024: solo describen el crecimiento; 2) comunicados y resúmenes de conferencias: solo porcentajes de crecimiento; 3) presentación de febrero de 2026: mezcla de ingresos por vertical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nota de deuda del 10-K 2025, que no la publica; 2) presentación de julio de 2026, solo el próximo vencimiento; 3) calculada con el calendario de vencimientos y las fechas de cada bono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Capex de mantenimiento frente a crecimiento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10-K 2025, sin desglose; 2) presentaciones de febrero y julio de 2026, sin desglose; 3) estimado con el capex sobre ventas anterior a la nube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Flujos de caja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Gasto anual de la transformación tecnológica desde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conciliaciones de los comunicados del 4T21 al 4T25: desde 2021 ya no se excluye; 2) 10-K 2022 y 2025, sin cifra anual; 3) presentación de febrero de 2026: solo la inversión global de unos 3.000 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Sector y mercado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Crecimiento previsto del mercado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IBISWorld: la previsión a cinco años está tras el muro de pago; 2) informes anuales de TransUnion y Experian: no publican tamaño de mercado; 3) derivarlo de las guías de las empresas mezclaría precio y cuota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Posición competitiva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The Work Number en ingresos de verificación</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anual 2025 de Equifax: solo registros; 2) Informe anual 2026 de Experian: solo registros de Experian Verify; 3) la carta de los senadores habla de casi monopolio sin cifra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 de MSCI, Sustainalytics, ISS y CDP del grupo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Página de Sustainalytics de Equifax: no muestra la calificación sin registro; 2) búsqueda de la calificación de MSCI y de CDP: sin página original legible; 3) notas de prensa de Equifax: solo la de EcoVadis de la filial británica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Rating de Fitch</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la emisión de julio de 2026, que solo lista Moody's y S&amp;P; 2) búsqueda en la web de Fitch y en prensa sin resultados sobre Equifax; 3) informe anual 2025, que no publica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Cambios de rating en 2025-2026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Folleto de julio de 2026 con Baa2 y BBB, ambas estables; 2) búsqueda de comunicados de Moody's y S&amp;P de 2025-2026 sin resultados; 3) informe anual 2025 sin detalle de calificaciones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 directivo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Participación de los presidentes de International y de U.S. Information Solutions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Proxy 2026, que solo detalla consejeros y directivos con remuneración publicada; 2) Form 3 de David Smith; 3) Form 4 de los últimos doce meses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Múltiplos pagados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Comunicados oficiales en EDGAR de Neustar, Sterling, Dun &amp; Bradstreet y Appriss Insights; 2) web de prensa de Equifax y del vendedor (Clearlake, bloqueada) y prensa sectorial (bloqueada); 3) cálculo con las ventas publicadas del objetivo, posible solo en Neustar y Dun &amp; Bradstreet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Revisiones de BPA y EBITDA a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MarketScreener, página de consenso (solo cambios de precio objetivo); 2) Stock Analysis, previsiones (de pago para la serie); 3) cambios de precio objetivo de las casas como sustituto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Participaciones en asociadas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Balance del 10-Q del segundo trimestre de 2026 (dentro de otros activos, sin desglose); 2) notas del 10-K 2025 (sin desglose); 3) resultado de participadas en el 10-Q, solo cualitativo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Fecha del dato de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Stock Analysis, estadísticas (sin fecha); 2) MarketScreener (sin el dato); 3) se toma el último dato quincenal publicado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Calculado y marcado como estimación</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19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https://www.sec.gov/Archives/edgar/data/33185/000003318526000010/efx-20251231.htm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https://www.sec.gov/Archives/edgar/data/33185/000003318526000028/efx-20260630.htm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 datos XBRL de Equifax (companyfacts)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Securities and Exchange Commission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https://data.sec.gov/api/xbrl/companyfacts/CIK0000033185.json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4T25 y ejercicio 2025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https://www.sec.gov/Archives/edgar/data/33185/000003318526000004/a2025q48-kexhibit991.htm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4T24 y ejercicio 2024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https://www.sec.gov/Archives/edgar/data/33185/000003318525000009/a2024q48-kexhibit991.htm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4T23 y ejercicio 2023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https://www.sec.gov/Archives/edgar/data/33185/000003318524000008/a2023q48-kexhibit991.htm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4T22 y ejercicio 2022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https://www.sec.gov/Archives/edgar/data/33185/000003318523000004/a2022q48-kexhibit991.htm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4T21 y ejercicio 2021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https://www.sec.gov/Archives/edgar/data/33185/000003318522000006/a2021q48-kexhibit991.htm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4T20 y ejercicio 2020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https://www.sec.gov/Archives/edgar/data/33185/000003318521000013/a2020q48-kexhibit991.htm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4T19 y ejercicio 2019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https://www.sec.gov/Archives/edgar/data/33185/000003318520000004/a2019q48-kexhibit991.htm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4T17 y ejercicio 2017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mar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https://www.sec.gov/Archives/edgar/data/33185/000003318518000013/a2017q48-kexhibit991.htm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https://www.sec.gov/Archives/edgar/data/33185/000003318526000024/exhibit99120260630.htm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1T26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https://www.sec.gov/Archives/edgar/data/33185/000003318526000016/exhibit99120260331.htm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feb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https://www.sec.gov/Archives/edgar/data/33185/000003318523000012/efx-20221231.htm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https://www.sec.gov/Archives/edgar/data/33185/000003318522000014/efx-20211231.htm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feb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https://www.sec.gov/Archives/edgar/data/33185/000003318521000025/efx-20201231.htm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2019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https://www.sec.gov/Archives/edgar/data/33185/000003318520000011/efx-20191231.htm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2T26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https://d1io3yog0oux5.cloudfront.net/_94308690ddf6ff96661c3f4d54734c1c/equifax/db/2011/19771/earnings_recap/2Q26+Earnings+Recap.pdf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1T26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https://d1io3yog0oux5.cloudfront.net/_94308690ddf6ff96661c3f4d54734c1c/equifax/db/2011/19577/earnings_recap/Earnings+Recap.pdf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Resumen de la conferencia de resultados del 4T25 (Earnings Recap)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https://d1io3yog0oux5.cloudfront.net/_94308690ddf6ff96661c3f4d54734c1c/equifax/db/2011/19563/earnings_recap/4Q25+Earnings+Recap.pdf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julio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https://d1io3yog0oux5.cloudfront.net/_94308690ddf6ff96661c3f4d54734c1c/equifax/db/2012/19778/file/July+2026+Investor+Relations+Presentation.pdf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Presentación a inversores, febrero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https://d1io3yog0oux5.cloudfront.net/_94308690ddf6ff96661c3f4d54734c1c/equifax/db/2012/19568/file/February+2026+Investor+Relations+Presentation.pdf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https://www.sec.gov/Archives/edgar/data/33185/000003318525000061/exhibit99120250930.htm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2T25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https://www.sec.gov/Archives/edgar/data/33185/000003318525000049/exhibit99120250630.htm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1T25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abr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https://www.sec.gov/Archives/edgar/data/33185/000003318525000035/exhibit99120250331.htm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Comunicado de resultados del 3T24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https://www.sec.gov/Archives/edgar/data/33185/000003318524000055/exhibit99120240930.htm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Form 10-K del ejercicio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https://www.sec.gov/Archives/edgar/data/33185/000003318525000025/efx-20241231.htm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VantageScore 4.0 Implementation FAQ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https://www.fhfa.gov/document/vantagescore-4.0-implementation-faq</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Pulte: 'cartel-like' bureaus should cut costs, eyes bi-merge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Mortgage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https://www.nationalmortgagenews.com/news/pulte-cartel-like-bureaus-should-cut-costs-eyes-bi-merge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FHFA's Pulte expected to announce move to bi-merge credit checks at MBA event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Mortgage Professional America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https://www.mpamag.com/us/mortgage-industry/industry-trends/fhfas-pulte-expected-to-announce-move-to-bi-merge-credit-checks-at-mba-event/592106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&amp; Rating Agencies in the US - Market Size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IBISWorld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https://www.ibisworld.com/united-states/market-size/credit-bureaus-rating-agencies/1475/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https://www.sec.gov/Archives/edgar/data/1552033/000155203326000012/tru-20251231.htm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Form 10-Q del segundo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https://www.sec.gov/Archives/edgar/data/1552033/000155203326000047/tru-20260630.htm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10-K del ejercicio a 30 de septiembre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https://www.sec.gov/Archives/edgar/data/814547/000081454725000030/fico-20250930.htm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Form 10-Q del trimestre a 30 de junio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FICO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https://www.sec.gov/Archives/edgar/data/814547/000081454726000030/fico-20260630.htm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Annual Report 2026 (ejercicio a 31 de marzo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https://www.experianplc.com/content/dam/marketing/global/plc/en/assets/documents/reports/2026/experian-annual-report-2026.pdf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Corporation, Form 10-K del ejercicio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https://www.sec.gov/Archives/edgar/data/1210677/000119312526076740/fa-20251231.htm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bureaus sink as FICO launches a direct program for FICO scores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Sherwood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https://www.sherwood.news/markets/credit-bureaus-sink-as-fico-launches-a-direct-program-for-fico-scores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counters FICO direct license program with bold pricing plan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Scotsman 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https://www.scotsmanguide.com/news/equifax-counters-fico-direct-license-program-with-bold-pricing-plan/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Warren, Wyden, Sanders announce new investigation into Equifax's plan to profit from work requirements in Medicaid, SNAP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Senado de EE. UU. (oficina de la senadora Warren), vía Capitol Releases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https://capitolreleases.com/releases/2dc0feed-e3a9-4d7d-bde2-a9f9e2ecd7c4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Community Engagement Requirements in Medicaid (presentación de septiembre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MACPAC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https://www.macpac.gov/wp-content/uploads/2026/09/01_September-Slides-Community-Engagement-Requirements-in-Medicaid.pdf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September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https://www.fanniemae.com/media/document/pdf/housing-forecast-092026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Housing Forecast: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Fannie Mae, Economic and Strategic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https://www.fanniemae.com/media/document/pdf/housing-forecast-122024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Form 10-K del ejercicio 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https://www.sec.gov/Archives/edgar/data/33185/000003318524000017/efx-20231231.htm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represents Truv in $25 million Series A financing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Fenwick &amp; West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mar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https://www.fenwick.com/insights/experience/fenwick-represents-truv-in-25-million-series-a-financing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Argyle raises $30 million to expand automated income, employment verification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PYMNTS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mar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https://www.pymnts.com/authentication/2024/argyle-raises-30-million-to-expand-automated-income-employment-verification/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In the Matter of Equifax Inc., 2025-CFPB-0002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CFPB</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https://files.consumerfinance.gov/f/documents/cfpb_equifax-inc-consent-order_2025-01.pdf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code issue (error en el cálculo de puntuaciones de marzo-abril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Register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ago 2022</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https://www.theregister.com/2022/08/03/equifax_code_issue/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Credit experts since 1899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https://www.equifax.co.uk/resources/what-we-do/credit-experts-since-1899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New Georgia Encyclopedia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https://www.georgiaencyclopedia.org/articles/business-economy/equifax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completes acquisition of TALX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may 2007</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https://investor.equifax.com/sec-filings/all-sec-filings/content/0001104659-07-040215/a07-14325_1ex99d1.htm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agrees to operational changes in its data-breach settlement with eight states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Digital Transactions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jun 2018</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https://www.digitaltransactions.net/equifax-agrees-to-operational-changes-in-its-data-breach-settlement-with-eight-states/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and TDX achieve EcoVadis Silver status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Reino Unido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https://www.equifax.co.uk/about-equifax/press-releases/-/intlpress/equifax-and-tdx-achieve-ecovadis-silver-status-demonstrating-enhanced-esg-leadership-1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2026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https://www.sec.gov/Archives/edgar/data/33185/000119312526220328/d20400d8k.htm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resultados de la junta de accionistas de 2025 (ítem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https://www.sec.gov/Archives/edgar/data/33185/000119312525116440/d30678d8k.htm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nombramiento de consejera y resultados de la junta de 2024 (ítems 5.02 y 5.07)</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https://www.sec.gov/Archives/edgar/data/33185/000119312524132582/d786897d8k.htm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Free Writing Prospectus, emisión de bonos senior 2029 y 2033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https://www.sec.gov/Archives/edgar/data/0000033185/000119312526312561/d175110dfwp.htm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2026 (DEF 14A), junta del 7 de mayo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https://www.sec.gov/Archives/edgar/data/33185/000119312526127556/d947238ddef14a.htm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Proxy statement 2025 (DEF 14A), junta del 8 de mayo de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https://www.sec.gov/Archives/edgar/data/33185/000110465925029348/tm2423995d11_def14a.htm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salida del presidente de U.S. Information Solutions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may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https://www.sec.gov/Archives/edgar/data/33185/000119312525132263/d26782d8k.htm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modificación del contrato del consejero delegado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https://www.sec.gov/Archives/edgar/data/33185/000119312524254158/d888422d8k.htm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dimisión del director de tecnología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https://www.sec.gov/Archives/edgar/data/33185/000119312524039457/d771920d8k.htm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jubilación del presidente de Workforce Solutions y sucesor (ítem 5.02)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may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https://www.sec.gov/Archives/edgar/data/33185/000119312524131985/d793546d8k.htm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reforma de estatutos: junta extraordinaria a petición del 25 % (ítem 5.03)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https://www.sec.gov/Archives/edgar/data/33185/000119312526272759/d52077d8k.htm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10-Q del segundo trimestre de 2026, certificación del director financiero (anexo 31.2)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https://www.sec.gov/Archives/edgar/data/33185/000003318526000028/exhibit312-20260630.htm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4 de consejeros y directivos de Equifax, 8-oct-2025 a 8-oct-2026 (55 formularios)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https://www.sec.gov/cgi-bin/browse-edgar?action=getcompany&amp;CIK=0000033185&amp;type=4&amp;dateb=&amp;owner=include&amp;count=100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The Vanguard Group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https://www.sec.gov/Archives/edgar/data/33185/000010290925000163/xslSCHEDULE_13G_X01/primary_doc.xml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Vanguard Capital Management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https://www.sec.gov/Archives/edgar/data/33185/000210011926000405/xslSCHEDULE_13G_X02/primary_doc.xml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BlackRock, Inc.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https://www.sec.gov/Archives/edgar/data/33185/000201238325001280/xslSCHEDULE_13G_X01/primary_doc.xml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 de Harris Associates L.P.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https://www.sec.gov/Archives/edgar/data/33185/000081391726000014/xslSCHEDULE_13G_X01/primary_doc.xml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Capital International Investors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https://www.sec.gov/Archives/edgar/data/33185/000156223026000087/xslSCHEDULE_13G_X02/primary_doc.xml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Schedule 13G/A de T. Rowe Price Associates sobre Equifax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https://www.sec.gov/Archives/edgar/data/33185/000008025525000553/xslSCHEDULE_13G_X01/primary_doc.xml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Consent order de la CFPB contra Equifax Inc. y Equifax Information Services LLC</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Consumer Financial Protection Bureau</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https://www.consumerfinance.gov/enforcement/actions/equifax-inc-and-equifax-information-services-llc/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3 de David J. Smith, presidente de U.S. Information Solutions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https://www.sec.gov/Archives/edgar/data/33185/000122520826003755/xslF345X02/doc3.xml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de EFX, SPY, XLI, TRU y ^GSPC (cierre ajustado)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https://finance.yahoo.com/quote/EFX/history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Delivers Strong 11% Growth in Second Quarter 2026 (comunicado de resultados)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https://investor.equifax.com/news-events/press-releases/detail/1414/equifax-delivers-strong-11-growth-in-second-quarter-2026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Announces Earnings Release Date and Conference Call for Third Quarter 2026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https://investor.equifax.com/news-events/press-releases/detail/1422/equifax-announces-earnings-release-date-and-conference-call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statistics: capitalización, flotante y posición corta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stock forecast: recomendaciones, precio objetivo y BPA estimado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Equity Risk Premiums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Daily Treasury Par Yield Curve Rates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 Department of the Treasury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https://home.treasury.gov/resource-center/data-chart-center/interest-rates/TextView?type=daily_treasury_yield_curve&amp;field_tdr_date_value=2026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consenso y cambios de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https://www.marketscreener.com/quote/stock/EQUIFAX-INC-12424/consensus/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Delivers Record First Quarter Revenue (comunicado de resultados del primer trimestre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https://investor.equifax.com/news-events/press-releases/detail/1404/equifax-delivers-record-first-quarter-revenue---37-million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Clearlake Capital Group to Acquire Dun &amp; Bradstreet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mar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https://www.sec.gov/Archives/edgar/data/1799208/000110465925027293/tm2510133d1_ex99-1.htm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Dun &amp; Bradstreet Holdings (DNB): cuenta de resultados anual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https://stockanalysis.com/stocks/dnb/financials/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to Acquire Sterling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Corp.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https://www.sec.gov/Archives/edgar/data/1210677/000095017024022621/fa-ex99_1.htm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to Acquire Neustar (comunicado, anexo 99.1 del Form 8-K)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sep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https://www.sec.gov/Archives/edgar/data/1552033/000119312521270765/d188220dex991.htm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to Acquire Appriss Insights for $1.825 Billion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https://www.equifax.com/newsroom/all-news/-/story/equifax-to-acquire-appriss-insights-for-1-825-billion/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Form 8-K de agosto de 2021 (emisión de bonos para la compra de Appriss Insights)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Inc. (SEC EDGAR)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ago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https://www.sec.gov/Archives/edgar/data/33185/000119312521247741/d218347d8k.htm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 (USD y GBP, 7-oct-2026)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https://www.ecb.europa.eu/stats/eurofxref/eurofxref-hist-90d.xml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Equifax (EFX) company profile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https://stockanalysis.com/stocks/efx/company/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https://www.marketscreener.com/quote/stock/TRANSUNION-22619502/finances/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plc: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https://www.marketscreener.com/quote/stock/EXPERIAN-PLC-9590128/finances/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https://www.marketscreener.com/quote/stock/FAIR-ISAAC-CORPORATION-5523345/finances/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https://www.marketscreener.com/quote/stock/VERISK-ANALYTICS-INC-5628469/finances/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Corporation: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https://www.marketscreener.com/quote/stock/MOODY-S-CORPORATION-16724/finances/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https://www.marketscreener.com/quote/stock/S-P-GLOBAL-INC-27377749/finances/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Inc.: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https://www.marketscreener.com/quote/stock/MSCI-INC-3021165/finances/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datos financieros y estimaciones del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https://www.marketscreener.com/quote/stock/FIRST-ADVANTAGE-CORPORATI-123915569/finances/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TransUnion (TRU):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https://stockanalysis.com/stocks/tru/statistics/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Experian (LON:EXPN):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https://stockanalysis.com/quote/lon/EXPN/statistics/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Fair Isaac (FICO):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https://stockanalysis.com/stocks/fico/statistics/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Verisk Analytics (VRSK):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https://stockanalysis.com/stocks/vrsk/statistics/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Moody's (MCO):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https://stockanalysis.com/stocks/mco/statistics/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S&amp;P Global (SPGI):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https://stockanalysis.com/stocks/spgi/statistics/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MSCI (MSCI):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https://stockanalysis.com/stocks/msci/statistics/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 Advantage (FA): estadísticas de valoración, ROIC y rentabilidad por flujo de caja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https://stockanalysis.com/stocks/fa/statistics/</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88,2 %</w:t>
      </w:r>
      <w:r>
        <w:t xml:space="preserve"> · Secciones con menos del 60 % de campos cubiertos: </w:t>
      </w:r>
      <w:r>
        <w:rPr>
          <w:b/>
          <w:bCs/>
        </w:rPr>
        <w:t xml:space="preserve">sentimiento</w:t>
      </w:r>
      <w:r>
        <w:t xml:space="preserve"> · Generado el 14 oct 2026.</w:t>
      </w:r>
    </w:p>
    <w:p>
      <w:pPr>
        <w:pStyle w:val="Nota"/>
        <w:spacing w:after="100"/>
      </w:pPr>
      <w:r>
        <w:t xml:space="preserve">Una sola línea cotizada (NYSE: EFX), en dólares, como las cuentas (US GAAP). El precio es el cierre del 7-oct-2026 (142,43 USD): a la fecha de corte la sesión del 8 de octubre en Nueva York no había cerrado [76]. Las acciones (118,3 M diluidas) son las de la portada del 10-Q (10-jul-2026) más la dilución del BPA diluido del 2T26, y el puente es del 30-jun-2026 [2]. </w:t>
      </w:r>
      <w:r>
        <w:rPr>
          <w:b/>
        </w:rPr>
        <w:t xml:space="preserve">El EBITDA de todo el informe es el contable más las partidas no recurrentes que la propia empresa excluye</w:t>
      </w:r>
      <w:r>
        <w:t xml:space="preserve"> (reestructuración, integración de compras, litigios y el ciberataque de 2017): coincide con su EBITDA ajustado (1.936 M frente a 1.935,3 publicado en 2025) [4]; con esa base, el EBITDA del consenso es comparable sin más ajuste. El BPA del consenso de MarketScreener es el contable, no el ajustado que guía la empresa (8,39-8,69 USD en 2026, sin la amortización de intangibles adquiridos) [21, 79]. </w:t>
      </w:r>
      <w:r>
        <w:rPr>
          <w:b/>
        </w:rPr>
        <w:t xml:space="preserve">Desde 2026 los ingresos incluyen la reventa de la puntuación hipotecaria de FICO a margen casi nulo</w:t>
      </w:r>
      <w:r>
        <w:t xml:space="preserve"> (unos 385 M en 2026): infla el crecimiento unos 3,4 puntos y resta unos 2 puntos al margen; la proyección separa esa línea [21]. Los arrendamientos operativos no van a la deuda, al puente ni al capital invertido (US GAAP). Los segmentos actuales solo están reexpresados desde 2019 [1]. 2016 y 2017 salen de XBRL sin la reexpresión de pensiones de 2020, que solo afecta al resultado financiero y al neto [3]. La compra de Círculo de Crédito (750 M, cierre previsto en el 4T26) no está ni en la proyección ni en el puente [21]. La capitalización de Experian usa el precio del 8-oct en sesión [95]. No se han leído transcripciones de las conferencias: los resultados recientes salen de los comunicados y de los resúmenes que publica la empresa [18, 19, 20].</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8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Equifax Inc. (EFX)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 Id="rIdGrafico28" Type="http://schemas.openxmlformats.org/officeDocument/2006/relationships/chart" Target="charts/chart28.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_rels/chart28.xml.rels><?xml version="1.0" encoding="UTF-8" standalone="yes"?><Relationships xmlns="http://schemas.openxmlformats.org/package/2006/relationships"><Relationship Id="rId1" Type="http://schemas.openxmlformats.org/officeDocument/2006/relationships/package" Target="../embeddings/Hoja_grafico28.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Hoja1!$B$2:$B$10</c:f>
              <c:numCache>
                <c:formatCode>#,##0</c:formatCode>
                <c:ptCount val="9"/>
                <c:pt idx="0">
                  <c:v>137.01</c:v>
                </c:pt>
                <c:pt idx="1">
                  <c:v>148</c:v>
                </c:pt>
                <c:pt idx="2">
                  <c:v>151.94</c:v>
                </c:pt>
                <c:pt idx="3">
                  <c:v>136.15</c:v>
                </c:pt>
                <c:pt idx="4">
                  <c:v>135.55</c:v>
                </c:pt>
                <c:pt idx="5">
                  <c:v>103.17</c:v>
                </c:pt>
                <c:pt idx="6">
                  <c:v>142.87</c:v>
                </c:pt>
                <c:pt idx="7">
                  <c:v>178.65</c:v>
                </c:pt>
                <c:pt idx="8">
                  <c:v>141.72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Hoja1!$C$2:$C$10</c:f>
              <c:numCache>
                <c:formatCode>#,##0</c:formatCode>
                <c:ptCount val="9"/>
                <c:pt idx="0">
                  <c:v>101.93</c:v>
                </c:pt>
                <c:pt idx="1">
                  <c:v>97</c:v>
                </c:pt>
                <c:pt idx="2">
                  <c:v>119.79000000000002</c:v>
                </c:pt>
                <c:pt idx="3">
                  <c:v>57.48999999999998</c:v>
                </c:pt>
                <c:pt idx="4">
                  <c:v>47.31999999999999</c:v>
                </c:pt>
                <c:pt idx="5">
                  <c:v>92.63000000000001</c:v>
                </c:pt>
                <c:pt idx="6">
                  <c:v>67.09</c:v>
                </c:pt>
                <c:pt idx="7">
                  <c:v>42.81999999999999</c:v>
                </c:pt>
                <c:pt idx="8">
                  <c:v>1.4199999999999875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(USD, millones)</a:t>
            </a:r>
          </a:p>
        </c:rich>
      </c:tx>
      <c:overlay val="0"/>
    </c:title>
    <c:autoTitleDeleted val="0"/>
    <c:plotArea>
      <c:layout/>
      <c:barChart>
        <c:barDir val="col"/>
        <c:grouping val="stacked"/>
        <c:varyColors val="0"/>
        <c:ser>
          <c:idx val="0"/>
          <c:order val="0"/>
          <c:tx>
            <c:strRef>
              <c:f>Hoja1!$B$1</c:f>
              <c:strCache>
                <c:ptCount val="1"/>
                <c:pt idx="0">
                  <c:v>Workforce Solutions</c:v>
                </c:pt>
              </c:strCache>
            </c:strRef>
          </c:tx>
          <c:spPr>
            <a:solidFill>
              <a:srgbClr val="2A78D6"/>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Hoja1!$B$2:$B$8</c:f>
              <c:numCache>
                <c:formatCode>#,##0</c:formatCode>
                <c:ptCount val="7"/>
                <c:pt idx="0">
                  <c:v>971.1</c:v>
                </c:pt>
                <c:pt idx="1">
                  <c:v>1461.7</c:v>
                </c:pt>
                <c:pt idx="2">
                  <c:v>2035.4</c:v>
                </c:pt>
                <c:pt idx="3">
                  <c:v>2325.4</c:v>
                </c:pt>
                <c:pt idx="4">
                  <c:v>2315.8</c:v>
                </c:pt>
                <c:pt idx="5">
                  <c:v>2433.8</c:v>
                </c:pt>
                <c:pt idx="6">
                  <c:v>2582.3</c:v>
                </c:pt>
              </c:numCache>
            </c:numRef>
          </c:val>
        </c:ser>
        <c:ser>
          <c:idx val="1"/>
          <c:order val="1"/>
          <c:tx>
            <c:strRef>
              <c:f>Hoja1!$C$1</c:f>
              <c:strCache>
                <c:ptCount val="1"/>
                <c:pt idx="0">
                  <c:v>U.S. Information Solutions</c:v>
                </c:pt>
              </c:strCache>
            </c:strRef>
          </c:tx>
          <c:spPr>
            <a:solidFill>
              <a:srgbClr val="EB6834"/>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Hoja1!$C$2:$C$8</c:f>
              <c:numCache>
                <c:formatCode>#,##0</c:formatCode>
                <c:ptCount val="7"/>
                <c:pt idx="0">
                  <c:v>1531.2</c:v>
                </c:pt>
                <c:pt idx="1">
                  <c:v>1711.2</c:v>
                </c:pt>
                <c:pt idx="2">
                  <c:v>1786.7</c:v>
                </c:pt>
                <c:pt idx="3">
                  <c:v>1657.7</c:v>
                </c:pt>
                <c:pt idx="4">
                  <c:v>1720.4</c:v>
                </c:pt>
                <c:pt idx="5">
                  <c:v>1893</c:v>
                </c:pt>
                <c:pt idx="6">
                  <c:v>2078.5</c:v>
                </c:pt>
              </c:numCache>
            </c:numRef>
          </c:val>
        </c:ser>
        <c:ser>
          <c:idx val="2"/>
          <c:order val="2"/>
          <c:tx>
            <c:strRef>
              <c:f>Hoja1!$D$1</c:f>
              <c:strCache>
                <c:ptCount val="1"/>
                <c:pt idx="0">
                  <c:v>International</c:v>
                </c:pt>
              </c:strCache>
            </c:strRef>
          </c:tx>
          <c:spPr>
            <a:solidFill>
              <a:srgbClr val="1BAF7A"/>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Hoja1!$D$2:$D$8</c:f>
              <c:numCache>
                <c:formatCode>#,##0</c:formatCode>
                <c:ptCount val="7"/>
                <c:pt idx="0">
                  <c:v>1005.3</c:v>
                </c:pt>
                <c:pt idx="1">
                  <c:v>954.6</c:v>
                </c:pt>
                <c:pt idx="2">
                  <c:v>1101.8</c:v>
                </c:pt>
                <c:pt idx="3">
                  <c:v>1139.1</c:v>
                </c:pt>
                <c:pt idx="4">
                  <c:v>1229</c:v>
                </c:pt>
                <c:pt idx="5">
                  <c:v>1354.3</c:v>
                </c:pt>
                <c:pt idx="6">
                  <c:v>1413.7</c:v>
                </c:pt>
              </c:numCache>
            </c:numRef>
          </c:val>
        </c:ser>
        <c:ser>
          <c:idx val="3"/>
          <c:order val="3"/>
          <c:tx>
            <c:strRef>
              <c:f>Hoja1!$E$1</c:f>
              <c:strCache>
                <c:ptCount val="1"/>
                <c:pt idx="0">
                  <c:v>Corporativo</c:v>
                </c:pt>
              </c:strCache>
            </c:strRef>
          </c:tx>
          <c:spPr>
            <a:solidFill>
              <a:srgbClr val="EDA100"/>
            </a:solidFill>
            <a:ln w="12700">
              <a:solidFill>
                <a:srgbClr val="FFFFFF"/>
              </a:solidFill>
            </a:ln>
          </c:spPr>
          <c:invertIfNegative val="0"/>
          <c:cat>
            <c:strRef>
              <c:f>Hoja1!$A$2:$A$8</c:f>
              <c:strCache>
                <c:ptCount val="7"/>
                <c:pt idx="0">
                  <c:v>2019</c:v>
                </c:pt>
                <c:pt idx="1">
                  <c:v>2020</c:v>
                </c:pt>
                <c:pt idx="2">
                  <c:v>2021</c:v>
                </c:pt>
                <c:pt idx="3">
                  <c:v>2022</c:v>
                </c:pt>
                <c:pt idx="4">
                  <c:v>2023</c:v>
                </c:pt>
                <c:pt idx="5">
                  <c:v>2024</c:v>
                </c:pt>
                <c:pt idx="6">
                  <c:v>2025</c:v>
                </c:pt>
              </c:strCache>
            </c:strRef>
          </c:cat>
          <c:val>
            <c:numRef>
              <c:f>Hoja1!$E$2:$E$8</c:f>
              <c:numCache>
                <c:formatCode>#,##0</c:formatCode>
                <c:ptCount val="7"/>
                <c:pt idx="0">
                  <c:v>0</c:v>
                </c:pt>
                <c:pt idx="1">
                  <c:v>0</c:v>
                </c:pt>
                <c:pt idx="2">
                  <c:v>0</c:v>
                </c:pt>
                <c:pt idx="3">
                  <c:v>0</c:v>
                </c:pt>
                <c:pt idx="4">
                  <c:v>0</c:v>
                </c:pt>
                <c:pt idx="5">
                  <c:v>0</c:v>
                </c:pt>
                <c:pt idx="6">
                  <c:v>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Workforce Solutions</c:v>
                </c:pt>
                <c:pt idx="1">
                  <c:v>U.S. Information Solutions</c:v>
                </c:pt>
                <c:pt idx="2">
                  <c:v>International</c:v>
                </c:pt>
                <c:pt idx="3">
                  <c:v>Corporativo</c:v>
                </c:pt>
              </c:strCache>
            </c:strRef>
          </c:cat>
          <c:val>
            <c:numRef>
              <c:f>Hoja1!$B$2:$B$5</c:f>
              <c:numCache>
                <c:formatCode>General</c:formatCode>
                <c:ptCount val="4"/>
                <c:pt idx="0">
                  <c:v>42.5</c:v>
                </c:pt>
                <c:pt idx="1">
                  <c:v>34.2</c:v>
                </c:pt>
                <c:pt idx="2">
                  <c:v>23.3</c:v>
                </c:pt>
                <c:pt idx="3">
                  <c:v>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Estados Unidos</c:v>
                </c:pt>
                <c:pt idx="1">
                  <c:v>Reino Unido</c:v>
                </c:pt>
                <c:pt idx="2">
                  <c:v>Australia</c:v>
                </c:pt>
                <c:pt idx="3">
                  <c:v>Canadá</c:v>
                </c:pt>
                <c:pt idx="4">
                  <c:v>Otros</c:v>
                </c:pt>
              </c:strCache>
            </c:strRef>
          </c:cat>
          <c:val>
            <c:numRef>
              <c:f>Hoja1!$B$2:$B$6</c:f>
              <c:numCache>
                <c:formatCode>0"%"</c:formatCode>
                <c:ptCount val="5"/>
                <c:pt idx="0">
                  <c:v>76.73</c:v>
                </c:pt>
                <c:pt idx="1">
                  <c:v>5.37</c:v>
                </c:pt>
                <c:pt idx="2">
                  <c:v>5.24</c:v>
                </c:pt>
                <c:pt idx="3">
                  <c:v>4.47</c:v>
                </c:pt>
                <c:pt idx="4">
                  <c:v>8.19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(ingresos en EE. UU. de Equifax USIS y TransUnion U.S. Markets, estimación propia))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2023</c:v>
                </c:pt>
                <c:pt idx="1">
                  <c:v>2024</c:v>
                </c:pt>
                <c:pt idx="2">
                  <c:v>2025</c:v>
                </c:pt>
              </c:strCache>
            </c:strRef>
          </c:cat>
          <c:val>
            <c:numRef>
              <c:f>Hoja1!$B$2:$B$4</c:f>
              <c:numCache>
                <c:formatCode>#,##0</c:formatCode>
                <c:ptCount val="3"/>
                <c:pt idx="0">
                  <c:v>4713.2</c:v>
                </c:pt>
                <c:pt idx="1">
                  <c:v>5130.9</c:v>
                </c:pt>
                <c:pt idx="2">
                  <c:v>5657.2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3</c:v>
                </c:pt>
                <c:pt idx="2">
                  <c:v>4</c:v>
                </c:pt>
                <c:pt idx="3">
                  <c:v>2</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Equifax</c:v>
                </c:pt>
                <c:pt idx="1">
                  <c:v>Experian</c:v>
                </c:pt>
                <c:pt idx="2">
                  <c:v>TransUnion</c:v>
                </c:pt>
                <c:pt idx="3">
                  <c:v>Fair Isaac (FICO)</c:v>
                </c:pt>
                <c:pt idx="4">
                  <c:v>First Advantage</c:v>
                </c:pt>
                <c:pt idx="5">
                  <c:v>Truv</c:v>
                </c:pt>
                <c:pt idx="6">
                  <c:v>Argyle</c:v>
                </c:pt>
              </c:strCache>
            </c:strRef>
          </c:cat>
          <c:val>
            <c:numRef>
              <c:f>Hoja1!$B$2:$B$8</c:f>
              <c:numCache>
                <c:formatCode>0.0"%"</c:formatCode>
                <c:ptCount val="7"/>
                <c:pt idx="0">
                  <c:v>20</c:v>
                </c:pt>
                <c:pt idx="1">
                  <c:v>24.2</c:v>
                </c:pt>
                <c:pt idx="2">
                  <c:v>18.7</c:v>
                </c:pt>
                <c:pt idx="3">
                  <c:v>46.5</c:v>
                </c:pt>
                <c:pt idx="4">
                  <c:v>8.4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4</c:v>
                </c:pt>
                <c:pt idx="1">
                  <c:v>3</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Hoja1!$B$2:$B$21</c:f>
              <c:numCache>
                <c:formatCode>#,##0</c:formatCode>
                <c:ptCount val="20"/>
                <c:pt idx="0">
                  <c:v>3144.9</c:v>
                </c:pt>
                <c:pt idx="1">
                  <c:v>3362.2</c:v>
                </c:pt>
                <c:pt idx="2">
                  <c:v>3412.1</c:v>
                </c:pt>
                <c:pt idx="3">
                  <c:v>3507.6</c:v>
                </c:pt>
                <c:pt idx="4">
                  <c:v>4127.5</c:v>
                </c:pt>
                <c:pt idx="5">
                  <c:v>4923.9</c:v>
                </c:pt>
                <c:pt idx="6">
                  <c:v>5122.2</c:v>
                </c:pt>
                <c:pt idx="7">
                  <c:v>5265.2</c:v>
                </c:pt>
                <c:pt idx="8">
                  <c:v>5681.1</c:v>
                </c:pt>
                <c:pt idx="9">
                  <c:v>6074.5</c:v>
                </c:pt>
                <c:pt idx="10">
                  <c:v>6745</c:v>
                </c:pt>
                <c:pt idx="11">
                  <c:v>7205</c:v>
                </c:pt>
                <c:pt idx="12">
                  <c:v>7676</c:v>
                </c:pt>
                <c:pt idx="13">
                  <c:v>8195</c:v>
                </c:pt>
                <c:pt idx="14">
                  <c:v>8755</c:v>
                </c:pt>
                <c:pt idx="15">
                  <c:v>9312</c:v>
                </c:pt>
                <c:pt idx="16">
                  <c:v>9859</c:v>
                </c:pt>
                <c:pt idx="17">
                  <c:v>10345</c:v>
                </c:pt>
                <c:pt idx="18">
                  <c:v>10805</c:v>
                </c:pt>
                <c:pt idx="19">
                  <c:v>11233</c:v>
                </c:pt>
              </c:numCache>
            </c:numRef>
          </c:val>
        </c:ser>
        <c:ser>
          <c:idx val="1"/>
          <c:order val="1"/>
          <c:tx>
            <c:strRef>
              <c:f>Hoja1!$C$1</c:f>
              <c:strCache>
                <c:ptCount val="1"/>
                <c:pt idx="0">
                  <c:v>EBITDA</c:v>
                </c:pt>
              </c:strCache>
            </c:strRef>
          </c:tx>
          <c:spPr>
            <a:solidFill>
              <a:srgbClr val="EB6834"/>
            </a:solidFill>
            <a:ln w="9525">
              <a:noFill/>
            </a:ln>
          </c:spPr>
          <c:invertIfNegative val="0"/>
          <c:cat>
            <c:strRef>
              <c:f>Hoja1!$A$2:$A$21</c:f>
              <c:strCache>
                <c:ptCount val="20"/>
                <c:pt idx="0">
                  <c:v>2016</c:v>
                </c:pt>
                <c:pt idx="1">
                  <c:v>2017</c:v>
                </c:pt>
                <c:pt idx="2">
                  <c:v>2018</c:v>
                </c:pt>
                <c:pt idx="3">
                  <c:v>2019</c:v>
                </c:pt>
                <c:pt idx="4">
                  <c:v>2020</c:v>
                </c:pt>
                <c:pt idx="5">
                  <c:v>2021</c:v>
                </c:pt>
                <c:pt idx="6">
                  <c:v>2022</c:v>
                </c:pt>
                <c:pt idx="7">
                  <c:v>2023</c:v>
                </c:pt>
                <c:pt idx="8">
                  <c:v>2024</c:v>
                </c:pt>
                <c:pt idx="9">
                  <c:v>2025</c:v>
                </c:pt>
                <c:pt idx="10">
                  <c:v>2026e</c:v>
                </c:pt>
                <c:pt idx="11">
                  <c:v>2027e</c:v>
                </c:pt>
                <c:pt idx="12">
                  <c:v>2028e</c:v>
                </c:pt>
                <c:pt idx="13">
                  <c:v>2029e</c:v>
                </c:pt>
                <c:pt idx="14">
                  <c:v>2030e</c:v>
                </c:pt>
                <c:pt idx="15">
                  <c:v>2031e</c:v>
                </c:pt>
                <c:pt idx="16">
                  <c:v>2032e</c:v>
                </c:pt>
                <c:pt idx="17">
                  <c:v>2033e</c:v>
                </c:pt>
                <c:pt idx="18">
                  <c:v>2034e</c:v>
                </c:pt>
                <c:pt idx="19">
                  <c:v>2035e</c:v>
                </c:pt>
              </c:strCache>
            </c:strRef>
          </c:cat>
          <c:val>
            <c:numRef>
              <c:f>Hoja1!$C$2:$C$21</c:f>
              <c:numCache>
                <c:formatCode>#,##0</c:formatCode>
                <c:ptCount val="20"/>
                <c:pt idx="0">
                  <c:v>1132.8</c:v>
                </c:pt>
                <c:pt idx="1">
                  <c:v>1245.2</c:v>
                </c:pt>
                <c:pt idx="2">
                  <c:v>1147</c:v>
                </c:pt>
                <c:pt idx="3">
                  <c:v>1171.7</c:v>
                </c:pt>
                <c:pt idx="4">
                  <c:v>1464.3</c:v>
                </c:pt>
                <c:pt idx="5">
                  <c:v>1639.5</c:v>
                </c:pt>
                <c:pt idx="6">
                  <c:v>1709.8</c:v>
                </c:pt>
                <c:pt idx="7">
                  <c:v>1699</c:v>
                </c:pt>
                <c:pt idx="8">
                  <c:v>1843.6000000000001</c:v>
                </c:pt>
                <c:pt idx="9">
                  <c:v>1936</c:v>
                </c:pt>
                <c:pt idx="10">
                  <c:v>2130</c:v>
                </c:pt>
                <c:pt idx="11">
                  <c:v>2314</c:v>
                </c:pt>
                <c:pt idx="12">
                  <c:v>2524</c:v>
                </c:pt>
                <c:pt idx="13">
                  <c:v>2753</c:v>
                </c:pt>
                <c:pt idx="14">
                  <c:v>2971</c:v>
                </c:pt>
                <c:pt idx="15">
                  <c:v>3190</c:v>
                </c:pt>
                <c:pt idx="16">
                  <c:v>3400</c:v>
                </c:pt>
                <c:pt idx="17">
                  <c:v>3591</c:v>
                </c:pt>
                <c:pt idx="18">
                  <c:v>3752</c:v>
                </c:pt>
                <c:pt idx="19">
                  <c:v>3902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64.6</c:v>
                </c:pt>
                <c:pt idx="1">
                  <c:v>64</c:v>
                </c:pt>
                <c:pt idx="2">
                  <c:v>57.8</c:v>
                </c:pt>
                <c:pt idx="3">
                  <c:v>56.6</c:v>
                </c:pt>
                <c:pt idx="4">
                  <c:v>57.9</c:v>
                </c:pt>
                <c:pt idx="5">
                  <c:v>59.8</c:v>
                </c:pt>
                <c:pt idx="6">
                  <c:v>57.5</c:v>
                </c:pt>
                <c:pt idx="7">
                  <c:v>55.7</c:v>
                </c:pt>
                <c:pt idx="8">
                  <c:v>55.7</c:v>
                </c:pt>
                <c:pt idx="9">
                  <c:v>56.4</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36</c:v>
                </c:pt>
                <c:pt idx="1">
                  <c:v>37</c:v>
                </c:pt>
                <c:pt idx="2">
                  <c:v>33.6</c:v>
                </c:pt>
                <c:pt idx="3">
                  <c:v>33.4</c:v>
                </c:pt>
                <c:pt idx="4">
                  <c:v>35.5</c:v>
                </c:pt>
                <c:pt idx="5">
                  <c:v>33.3</c:v>
                </c:pt>
                <c:pt idx="6">
                  <c:v>33.4</c:v>
                </c:pt>
                <c:pt idx="7">
                  <c:v>32.3</c:v>
                </c:pt>
                <c:pt idx="8">
                  <c:v>32.5</c:v>
                </c:pt>
                <c:pt idx="9">
                  <c:v>31.9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27.6</c:v>
                </c:pt>
                <c:pt idx="1">
                  <c:v>28.5</c:v>
                </c:pt>
                <c:pt idx="2">
                  <c:v>24.5</c:v>
                </c:pt>
                <c:pt idx="3">
                  <c:v>24</c:v>
                </c:pt>
                <c:pt idx="4">
                  <c:v>26</c:v>
                </c:pt>
                <c:pt idx="5">
                  <c:v>23.5</c:v>
                </c:pt>
                <c:pt idx="6">
                  <c:v>22.4</c:v>
                </c:pt>
                <c:pt idx="7">
                  <c:v>20.7</c:v>
                </c:pt>
                <c:pt idx="8">
                  <c:v>20.7</c:v>
                </c:pt>
                <c:pt idx="9">
                  <c:v>20</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Hoja1!$E$2:$E$11</c:f>
              <c:numCache>
                <c:formatCode>0"%"</c:formatCode>
                <c:ptCount val="10"/>
                <c:pt idx="0">
                  <c:v>15.5</c:v>
                </c:pt>
                <c:pt idx="1">
                  <c:v>17.5</c:v>
                </c:pt>
                <c:pt idx="2">
                  <c:v>9.1</c:v>
                </c:pt>
                <c:pt idx="3">
                  <c:v>-11</c:v>
                </c:pt>
                <c:pt idx="4">
                  <c:v>12.6</c:v>
                </c:pt>
                <c:pt idx="5">
                  <c:v>15.1</c:v>
                </c:pt>
                <c:pt idx="6">
                  <c:v>13.6</c:v>
                </c:pt>
                <c:pt idx="7">
                  <c:v>10.4</c:v>
                </c:pt>
                <c:pt idx="8">
                  <c:v>10.6</c:v>
                </c:pt>
                <c:pt idx="9">
                  <c:v>10.9</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9</c:v>
                </c:pt>
                <c:pt idx="1">
                  <c:v>7</c:v>
                </c:pt>
                <c:pt idx="2">
                  <c:v>4</c:v>
                </c:pt>
                <c:pt idx="3">
                  <c:v>7</c:v>
                </c:pt>
                <c:pt idx="4">
                  <c:v>7</c:v>
                </c:pt>
                <c:pt idx="5">
                  <c:v>9</c:v>
                </c:pt>
                <c:pt idx="6">
                  <c:v>14</c:v>
                </c:pt>
                <c:pt idx="7">
                  <c:v>11</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c:v>
                </c:pt>
                <c:pt idx="1">
                  <c:v>9</c:v>
                </c:pt>
                <c:pt idx="2">
                  <c:v>5</c:v>
                </c:pt>
                <c:pt idx="3">
                  <c:v>8</c:v>
                </c:pt>
                <c:pt idx="4">
                  <c:v>7</c:v>
                </c:pt>
                <c:pt idx="5">
                  <c:v>9</c:v>
                </c:pt>
                <c:pt idx="6">
                  <c:v>13</c:v>
                </c:pt>
                <c:pt idx="7">
                  <c:v>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50</c:v>
                </c:pt>
                <c:pt idx="1">
                  <c:v>48</c:v>
                </c:pt>
                <c:pt idx="2">
                  <c:v>50</c:v>
                </c:pt>
                <c:pt idx="3">
                  <c:v>55</c:v>
                </c:pt>
                <c:pt idx="4">
                  <c:v>56</c:v>
                </c:pt>
                <c:pt idx="5">
                  <c:v>54</c:v>
                </c:pt>
                <c:pt idx="6">
                  <c:v>61</c:v>
                </c:pt>
                <c:pt idx="7">
                  <c:v>63</c:v>
                </c:pt>
                <c:pt idx="8">
                  <c:v>62</c:v>
                </c:pt>
                <c:pt idx="9">
                  <c:v>61</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0</c:v>
                </c:pt>
                <c:pt idx="1">
                  <c:v>0</c:v>
                </c:pt>
                <c:pt idx="2">
                  <c:v>0</c:v>
                </c:pt>
                <c:pt idx="3">
                  <c:v>0</c:v>
                </c:pt>
                <c:pt idx="4">
                  <c:v>0</c:v>
                </c:pt>
                <c:pt idx="5">
                  <c:v>0</c:v>
                </c:pt>
                <c:pt idx="6">
                  <c:v>0</c:v>
                </c:pt>
                <c:pt idx="7">
                  <c:v>0</c:v>
                </c:pt>
                <c:pt idx="8">
                  <c:v>0</c:v>
                </c:pt>
                <c:pt idx="9">
                  <c:v>0</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27</c:v>
                </c:pt>
                <c:pt idx="1">
                  <c:v>33</c:v>
                </c:pt>
                <c:pt idx="2">
                  <c:v>45</c:v>
                </c:pt>
                <c:pt idx="3">
                  <c:v>36</c:v>
                </c:pt>
                <c:pt idx="4">
                  <c:v>33</c:v>
                </c:pt>
                <c:pt idx="5">
                  <c:v>39</c:v>
                </c:pt>
                <c:pt idx="6">
                  <c:v>42</c:v>
                </c:pt>
                <c:pt idx="7">
                  <c:v>31</c:v>
                </c:pt>
                <c:pt idx="8">
                  <c:v>20</c:v>
                </c:pt>
                <c:pt idx="9">
                  <c:v>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649.5</c:v>
                </c:pt>
                <c:pt idx="1">
                  <c:v>597.8</c:v>
                </c:pt>
                <c:pt idx="2">
                  <c:v>350.30000000000007</c:v>
                </c:pt>
                <c:pt idx="3">
                  <c:v>-85.80000000000001</c:v>
                </c:pt>
                <c:pt idx="4">
                  <c:v>524.9000000000001</c:v>
                </c:pt>
                <c:pt idx="5">
                  <c:v>865.8</c:v>
                </c:pt>
                <c:pt idx="6">
                  <c:v>132.60000000000002</c:v>
                </c:pt>
                <c:pt idx="7">
                  <c:v>515.5</c:v>
                </c:pt>
                <c:pt idx="8">
                  <c:v>813</c:v>
                </c:pt>
                <c:pt idx="9">
                  <c:v>1134.3000000000002</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488.8</c:v>
                </c:pt>
                <c:pt idx="1">
                  <c:v>587.3</c:v>
                </c:pt>
                <c:pt idx="2">
                  <c:v>310.5</c:v>
                </c:pt>
                <c:pt idx="3">
                  <c:v>-384.1</c:v>
                </c:pt>
                <c:pt idx="4">
                  <c:v>520.1</c:v>
                </c:pt>
                <c:pt idx="5">
                  <c:v>744.2</c:v>
                </c:pt>
                <c:pt idx="6">
                  <c:v>696.2</c:v>
                </c:pt>
                <c:pt idx="7">
                  <c:v>545.3</c:v>
                </c:pt>
                <c:pt idx="8">
                  <c:v>604.1</c:v>
                </c:pt>
                <c:pt idx="9">
                  <c:v>660.3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11.2</c:v>
                </c:pt>
                <c:pt idx="1">
                  <c:v>14.1</c:v>
                </c:pt>
                <c:pt idx="2">
                  <c:v>12.8</c:v>
                </c:pt>
                <c:pt idx="3">
                  <c:v>11.3</c:v>
                </c:pt>
                <c:pt idx="4">
                  <c:v>14.3</c:v>
                </c:pt>
                <c:pt idx="5">
                  <c:v>12.5</c:v>
                </c:pt>
                <c:pt idx="6">
                  <c:v>9.5</c:v>
                </c:pt>
                <c:pt idx="7">
                  <c:v>8.5</c:v>
                </c:pt>
                <c:pt idx="8">
                  <c:v>8.8</c:v>
                </c:pt>
                <c:pt idx="9">
                  <c:v>9.3</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10.1</c:v>
                </c:pt>
                <c:pt idx="1">
                  <c:v>10.1</c:v>
                </c:pt>
                <c:pt idx="2">
                  <c:v>10.1</c:v>
                </c:pt>
                <c:pt idx="3">
                  <c:v>10.1</c:v>
                </c:pt>
                <c:pt idx="4">
                  <c:v>10.1</c:v>
                </c:pt>
                <c:pt idx="5">
                  <c:v>10.1</c:v>
                </c:pt>
                <c:pt idx="6">
                  <c:v>10.1</c:v>
                </c:pt>
                <c:pt idx="7">
                  <c:v>10.1</c:v>
                </c:pt>
                <c:pt idx="8">
                  <c:v>10.1</c:v>
                </c:pt>
                <c:pt idx="9">
                  <c:v>10.1</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18.4</c:v>
                </c:pt>
                <c:pt idx="1">
                  <c:v>20.1</c:v>
                </c:pt>
                <c:pt idx="2">
                  <c:v>9.9</c:v>
                </c:pt>
                <c:pt idx="3">
                  <c:v>-13.5</c:v>
                </c:pt>
                <c:pt idx="4">
                  <c:v>18.1</c:v>
                </c:pt>
                <c:pt idx="5">
                  <c:v>22</c:v>
                </c:pt>
                <c:pt idx="6">
                  <c:v>18.5</c:v>
                </c:pt>
                <c:pt idx="7">
                  <c:v>12.8</c:v>
                </c:pt>
                <c:pt idx="8">
                  <c:v>12.9</c:v>
                </c:pt>
                <c:pt idx="9">
                  <c:v>14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2.24</c:v>
                </c:pt>
                <c:pt idx="1">
                  <c:v>1.9</c:v>
                </c:pt>
                <c:pt idx="2">
                  <c:v>2.1</c:v>
                </c:pt>
                <c:pt idx="3">
                  <c:v>2.54</c:v>
                </c:pt>
                <c:pt idx="4">
                  <c:v>1.84</c:v>
                </c:pt>
                <c:pt idx="5">
                  <c:v>3.09</c:v>
                </c:pt>
                <c:pt idx="6">
                  <c:v>3.22</c:v>
                </c:pt>
                <c:pt idx="7">
                  <c:v>3.23</c:v>
                </c:pt>
                <c:pt idx="8">
                  <c:v>2.63</c:v>
                </c:pt>
                <c:pt idx="9">
                  <c:v>2.54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(USD,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2026</c:v>
                </c:pt>
                <c:pt idx="1">
                  <c:v>2027</c:v>
                </c:pt>
                <c:pt idx="2">
                  <c:v>2028</c:v>
                </c:pt>
                <c:pt idx="3">
                  <c:v>2029</c:v>
                </c:pt>
                <c:pt idx="4">
                  <c:v>2030</c:v>
                </c:pt>
                <c:pt idx="5">
                  <c:v>2031+</c:v>
                </c:pt>
              </c:strCache>
            </c:strRef>
          </c:cat>
          <c:val>
            <c:numRef>
              <c:f>Hoja1!$B$2:$B$7</c:f>
              <c:numCache>
                <c:formatCode>#,##0</c:formatCode>
                <c:ptCount val="6"/>
                <c:pt idx="0">
                  <c:v>1038</c:v>
                </c:pt>
                <c:pt idx="1">
                  <c:v>750.3</c:v>
                </c:pt>
                <c:pt idx="2">
                  <c:v>825.3</c:v>
                </c:pt>
                <c:pt idx="3">
                  <c:v>650.3</c:v>
                </c:pt>
                <c:pt idx="4">
                  <c:v>600.3</c:v>
                </c:pt>
                <c:pt idx="5">
                  <c:v>1250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1791.6</c:v>
                </c:pt>
                <c:pt idx="1">
                  <c:v>139.9</c:v>
                </c:pt>
                <c:pt idx="2">
                  <c:v>138.3</c:v>
                </c:pt>
                <c:pt idx="3">
                  <c:v>272.9</c:v>
                </c:pt>
                <c:pt idx="4">
                  <c:v>61.4</c:v>
                </c:pt>
                <c:pt idx="5">
                  <c:v>2935.6</c:v>
                </c:pt>
                <c:pt idx="6">
                  <c:v>433.8</c:v>
                </c:pt>
                <c:pt idx="7">
                  <c:v>283.8</c:v>
                </c:pt>
                <c:pt idx="8">
                  <c:v>0</c:v>
                </c:pt>
                <c:pt idx="9">
                  <c:v>74.1</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157.6</c:v>
                </c:pt>
                <c:pt idx="1">
                  <c:v>187.4</c:v>
                </c:pt>
                <c:pt idx="2">
                  <c:v>187.9</c:v>
                </c:pt>
                <c:pt idx="3">
                  <c:v>188.7</c:v>
                </c:pt>
                <c:pt idx="4">
                  <c:v>189.5</c:v>
                </c:pt>
                <c:pt idx="5">
                  <c:v>190</c:v>
                </c:pt>
                <c:pt idx="6">
                  <c:v>191.1</c:v>
                </c:pt>
                <c:pt idx="7">
                  <c:v>191.8</c:v>
                </c:pt>
                <c:pt idx="8">
                  <c:v>193.2</c:v>
                </c:pt>
                <c:pt idx="9">
                  <c:v>232.8</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Hoja1!$D$2:$D$11</c:f>
              <c:numCache>
                <c:formatCode>#,##0</c:formatCode>
                <c:ptCount val="10"/>
                <c:pt idx="0">
                  <c:v>0</c:v>
                </c:pt>
                <c:pt idx="1">
                  <c:v>77.1</c:v>
                </c:pt>
                <c:pt idx="2">
                  <c:v>0</c:v>
                </c:pt>
                <c:pt idx="3">
                  <c:v>0</c:v>
                </c:pt>
                <c:pt idx="4">
                  <c:v>0</c:v>
                </c:pt>
                <c:pt idx="5">
                  <c:v>69.9</c:v>
                </c:pt>
                <c:pt idx="6">
                  <c:v>0</c:v>
                </c:pt>
                <c:pt idx="7">
                  <c:v>0</c:v>
                </c:pt>
                <c:pt idx="8">
                  <c:v>0</c:v>
                </c:pt>
                <c:pt idx="9">
                  <c:v>927.5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Independiente</c:v>
                </c:pt>
                <c:pt idx="1">
                  <c:v>Ejecutivo</c:v>
                </c:pt>
              </c:strCache>
            </c:strRef>
          </c:cat>
          <c:val>
            <c:numRef>
              <c:f>Hoja1!$B$2:$B$3</c:f>
              <c:numCache>
                <c:formatCode>0</c:formatCode>
                <c:ptCount val="2"/>
                <c:pt idx="0">
                  <c:v>9</c:v>
                </c:pt>
                <c:pt idx="1">
                  <c:v>1</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The Vanguard Group</c:v>
                </c:pt>
                <c:pt idx="1">
                  <c:v>BlackRock, Inc.</c:v>
                </c:pt>
                <c:pt idx="2">
                  <c:v>Harris Associates L.P.</c:v>
                </c:pt>
                <c:pt idx="3">
                  <c:v>Capital International Investors</c:v>
                </c:pt>
                <c:pt idx="4">
                  <c:v>T. Rowe Price Associates</c:v>
                </c:pt>
                <c:pt idx="5">
                  <c:v>Consejeros y directivos (22 personas)</c:v>
                </c:pt>
                <c:pt idx="6">
                  <c:v>Autocartera</c:v>
                </c:pt>
              </c:strCache>
            </c:strRef>
          </c:cat>
          <c:val>
            <c:numRef>
              <c:f>Hoja1!$B$2:$B$8</c:f>
              <c:numCache>
                <c:formatCode>0.0"%"</c:formatCode>
                <c:ptCount val="7"/>
                <c:pt idx="0">
                  <c:v>12.7</c:v>
                </c:pt>
                <c:pt idx="1">
                  <c:v>7.1</c:v>
                </c:pt>
                <c:pt idx="2">
                  <c:v>6.3</c:v>
                </c:pt>
                <c:pt idx="3">
                  <c:v>3.2</c:v>
                </c:pt>
                <c:pt idx="4">
                  <c:v>4.7</c:v>
                </c:pt>
                <c:pt idx="5">
                  <c:v>1.7</c:v>
                </c:pt>
                <c:pt idx="6">
                  <c:v>36.1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c:formatCode>
                <c:ptCount val="10"/>
                <c:pt idx="0">
                  <c:v>7.3</c:v>
                </c:pt>
                <c:pt idx="1">
                  <c:v>1</c:v>
                </c:pt>
                <c:pt idx="2">
                  <c:v>-20</c:v>
                </c:pt>
                <c:pt idx="3">
                  <c:v>52.3</c:v>
                </c:pt>
                <c:pt idx="4">
                  <c:v>39</c:v>
                </c:pt>
                <c:pt idx="5">
                  <c:v>52.8</c:v>
                </c:pt>
                <c:pt idx="6">
                  <c:v>-33.1</c:v>
                </c:pt>
                <c:pt idx="7">
                  <c:v>28.2</c:v>
                </c:pt>
                <c:pt idx="8">
                  <c:v>3.7</c:v>
                </c:pt>
                <c:pt idx="9">
                  <c:v>-14.2</c:v>
                </c:pt>
              </c:numCache>
            </c:numRef>
          </c:val>
        </c:ser>
        <c:ser>
          <c:idx val="1"/>
          <c:order val="1"/>
          <c:tx>
            <c:strRef>
              <c:f>Hoja1!$C$1</c:f>
              <c:strCache>
                <c:ptCount val="1"/>
                <c:pt idx="0">
                  <c:v>Índice</c:v>
                </c:pt>
              </c:strCache>
            </c:strRef>
          </c:tx>
          <c:spPr>
            <a:solidFill>
              <a:srgbClr val="EB6834"/>
            </a:solidFill>
            <a:ln w="9525">
              <a:noFill/>
            </a:ln>
          </c:spPr>
          <c:invertIfNegative val="0"/>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c:formatCode>
                <c:ptCount val="10"/>
                <c:pt idx="0">
                  <c:v>12</c:v>
                </c:pt>
                <c:pt idx="1">
                  <c:v>21.7</c:v>
                </c:pt>
                <c:pt idx="2">
                  <c:v>-4.6</c:v>
                </c:pt>
                <c:pt idx="3">
                  <c:v>31.2</c:v>
                </c:pt>
                <c:pt idx="4">
                  <c:v>18.3</c:v>
                </c:pt>
                <c:pt idx="5">
                  <c:v>28.7</c:v>
                </c:pt>
                <c:pt idx="6">
                  <c:v>-18.2</c:v>
                </c:pt>
                <c:pt idx="7">
                  <c:v>26.2</c:v>
                </c:pt>
                <c:pt idx="8">
                  <c:v>24.9</c:v>
                </c:pt>
                <c:pt idx="9">
                  <c:v>17.7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últimos 12 meses (cierre de cada año): historia y mediana (veces)</a:t>
            </a:r>
          </a:p>
        </c:rich>
      </c:tx>
      <c:overlay val="0"/>
    </c:title>
    <c:autoTitleDeleted val="0"/>
    <c:plotArea>
      <c:layout/>
      <c:lineChart>
        <c:grouping val="standard"/>
        <c:varyColors val="0"/>
        <c:ser>
          <c:idx val="0"/>
          <c:order val="0"/>
          <c:tx>
            <c:strRef>
              <c:f>Hoja1!$B$1</c:f>
              <c:strCache>
                <c:ptCount val="1"/>
                <c:pt idx="0">
                  <c:v>Múltiplo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Hoja1!$B$2:$B$11</c:f>
              <c:numCache>
                <c:formatCode>0.0"x"</c:formatCode>
                <c:ptCount val="10"/>
                <c:pt idx="0">
                  <c:v>14.9</c:v>
                </c:pt>
                <c:pt idx="1">
                  <c:v>13.5</c:v>
                </c:pt>
                <c:pt idx="2">
                  <c:v>12</c:v>
                </c:pt>
                <c:pt idx="3">
                  <c:v>17.2</c:v>
                </c:pt>
                <c:pt idx="4">
                  <c:v>18</c:v>
                </c:pt>
                <c:pt idx="5">
                  <c:v>25.2</c:v>
                </c:pt>
                <c:pt idx="6">
                  <c:v>17.2</c:v>
                </c:pt>
                <c:pt idx="7">
                  <c:v>21.4</c:v>
                </c:pt>
                <c:pt idx="8">
                  <c:v>20</c:v>
                </c:pt>
                <c:pt idx="9">
                  <c:v>16.5</c:v>
                </c:pt>
              </c:numCache>
            </c:numRef>
          </c:val>
          <c:smooth val="0"/>
        </c:ser>
        <c:ser>
          <c:idx val="1"/>
          <c:order val="1"/>
          <c:tx>
            <c:strRef>
              <c:f>Hoja1!$C$1</c:f>
              <c:strCache>
                <c:ptCount val="1"/>
                <c:pt idx="0">
                  <c:v>Mediana del periodo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Hoja1!$A$2:$A$11</c:f>
              <c:strCache>
                <c:ptCount val="10"/>
                <c:pt idx="0">
                  <c:v>2016</c:v>
                </c:pt>
                <c:pt idx="1">
                  <c:v>2017</c:v>
                </c:pt>
                <c:pt idx="2">
                  <c:v>2018</c:v>
                </c:pt>
                <c:pt idx="3">
                  <c:v>2019</c:v>
                </c:pt>
                <c:pt idx="4">
                  <c:v>2020</c:v>
                </c:pt>
                <c:pt idx="5">
                  <c:v>2021</c:v>
                </c:pt>
                <c:pt idx="6">
                  <c:v>2022</c:v>
                </c:pt>
                <c:pt idx="7">
                  <c:v>2023</c:v>
                </c:pt>
                <c:pt idx="8">
                  <c:v>2024</c:v>
                </c:pt>
                <c:pt idx="9">
                  <c:v>2025</c:v>
                </c:pt>
              </c:strCache>
            </c:strRef>
          </c:cat>
          <c:val>
            <c:numRef>
              <c:f>Hoja1!$C$2:$C$11</c:f>
              <c:numCache>
                <c:formatCode>0.0"x"</c:formatCode>
                <c:ptCount val="10"/>
                <c:pt idx="0">
                  <c:v>17.2</c:v>
                </c:pt>
                <c:pt idx="1">
                  <c:v>17.2</c:v>
                </c:pt>
                <c:pt idx="2">
                  <c:v>17.2</c:v>
                </c:pt>
                <c:pt idx="3">
                  <c:v>17.2</c:v>
                </c:pt>
                <c:pt idx="4">
                  <c:v>17.2</c:v>
                </c:pt>
                <c:pt idx="5">
                  <c:v>17.2</c:v>
                </c:pt>
                <c:pt idx="6">
                  <c:v>17.2</c:v>
                </c:pt>
                <c:pt idx="7">
                  <c:v>17.2</c:v>
                </c:pt>
                <c:pt idx="8">
                  <c:v>17.2</c:v>
                </c:pt>
                <c:pt idx="9">
                  <c:v>17.2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Equifax</c:v>
                </c:pt>
                <c:pt idx="1">
                  <c:v>TransUnion</c:v>
                </c:pt>
                <c:pt idx="2">
                  <c:v>Experian</c:v>
                </c:pt>
                <c:pt idx="3">
                  <c:v>Fair Isaac (FICO)</c:v>
                </c:pt>
                <c:pt idx="4">
                  <c:v>Verisk Analytics</c:v>
                </c:pt>
                <c:pt idx="5">
                  <c:v>Moody's</c:v>
                </c:pt>
                <c:pt idx="6">
                  <c:v>S&amp;P Global</c:v>
                </c:pt>
                <c:pt idx="7">
                  <c:v>MSCI</c:v>
                </c:pt>
                <c:pt idx="8">
                  <c:v>First Advantage</c:v>
                </c:pt>
              </c:strCache>
            </c:strRef>
          </c:cat>
          <c:val>
            <c:numRef>
              <c:f>Hoja1!$B$2:$B$10</c:f>
              <c:numCache>
                <c:formatCode>0.0"x"</c:formatCode>
                <c:ptCount val="9"/>
                <c:pt idx="0">
                  <c:v>9.6</c:v>
                </c:pt>
                <c:pt idx="1">
                  <c:v>8.6</c:v>
                </c:pt>
                <c:pt idx="2">
                  <c:v>10.3</c:v>
                </c:pt>
                <c:pt idx="3">
                  <c:v>11.3</c:v>
                </c:pt>
                <c:pt idx="4">
                  <c:v>13.5</c:v>
                </c:pt>
                <c:pt idx="5">
                  <c:v>17.9</c:v>
                </c:pt>
                <c:pt idx="6">
                  <c:v>15.6</c:v>
                </c:pt>
                <c:pt idx="7">
                  <c:v>20</c:v>
                </c:pt>
                <c:pt idx="8">
                  <c:v>9.5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Equifax</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9</c:v>
                </c:pt>
              </c:numCache>
            </c:numRef>
          </c:xVal>
          <c:yVal>
            <c:numRef>
              <c:f>Hoja1!$C$2</c:f>
              <c:numCache>
                <c:formatCode>0.0"x"</c:formatCode>
                <c:ptCount val="1"/>
                <c:pt idx="0">
                  <c:v>9.6</c:v>
                </c:pt>
              </c:numCache>
            </c:numRef>
          </c:yVal>
          <c:smooth val="0"/>
        </c:ser>
        <c:ser>
          <c:idx val="1"/>
          <c:order val="1"/>
          <c:tx>
            <c:strRef>
              <c:f>Hoja1!$A$3</c:f>
              <c:strCache>
                <c:ptCount val="1"/>
                <c:pt idx="0">
                  <c:v>TransUnion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9.7</c:v>
                </c:pt>
              </c:numCache>
            </c:numRef>
          </c:xVal>
          <c:yVal>
            <c:numRef>
              <c:f>Hoja1!$C$3</c:f>
              <c:numCache>
                <c:formatCode>0.0"x"</c:formatCode>
                <c:ptCount val="1"/>
                <c:pt idx="0">
                  <c:v>8.6</c:v>
                </c:pt>
              </c:numCache>
            </c:numRef>
          </c:yVal>
          <c:smooth val="0"/>
        </c:ser>
        <c:ser>
          <c:idx val="2"/>
          <c:order val="2"/>
          <c:tx>
            <c:strRef>
              <c:f>Hoja1!$A$4</c:f>
              <c:strCache>
                <c:ptCount val="1"/>
                <c:pt idx="0">
                  <c:v>Experian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8</c:v>
                </c:pt>
              </c:numCache>
            </c:numRef>
          </c:xVal>
          <c:yVal>
            <c:numRef>
              <c:f>Hoja1!$C$4</c:f>
              <c:numCache>
                <c:formatCode>0.0"x"</c:formatCode>
                <c:ptCount val="1"/>
                <c:pt idx="0">
                  <c:v>10.3</c:v>
                </c:pt>
              </c:numCache>
            </c:numRef>
          </c:yVal>
          <c:smooth val="0"/>
        </c:ser>
        <c:ser>
          <c:idx val="3"/>
          <c:order val="3"/>
          <c:tx>
            <c:strRef>
              <c:f>Hoja1!$A$5</c:f>
              <c:strCache>
                <c:ptCount val="1"/>
                <c:pt idx="0">
                  <c:v>Fair Isaac (FICO)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12.7</c:v>
                </c:pt>
              </c:numCache>
            </c:numRef>
          </c:xVal>
          <c:yVal>
            <c:numRef>
              <c:f>Hoja1!$C$5</c:f>
              <c:numCache>
                <c:formatCode>0.0"x"</c:formatCode>
                <c:ptCount val="1"/>
                <c:pt idx="0">
                  <c:v>11.3</c:v>
                </c:pt>
              </c:numCache>
            </c:numRef>
          </c:yVal>
          <c:smooth val="0"/>
        </c:ser>
        <c:ser>
          <c:idx val="4"/>
          <c:order val="4"/>
          <c:tx>
            <c:strRef>
              <c:f>Hoja1!$A$6</c:f>
              <c:strCache>
                <c:ptCount val="1"/>
                <c:pt idx="0">
                  <c:v>Verisk Analytics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6</c:v>
                </c:pt>
              </c:numCache>
            </c:numRef>
          </c:xVal>
          <c:yVal>
            <c:numRef>
              <c:f>Hoja1!$C$6</c:f>
              <c:numCache>
                <c:formatCode>0.0"x"</c:formatCode>
                <c:ptCount val="1"/>
                <c:pt idx="0">
                  <c:v>13.5</c:v>
                </c:pt>
              </c:numCache>
            </c:numRef>
          </c:yVal>
          <c:smooth val="0"/>
        </c:ser>
        <c:ser>
          <c:idx val="5"/>
          <c:order val="5"/>
          <c:tx>
            <c:strRef>
              <c:f>Hoja1!$A$7</c:f>
              <c:strCache>
                <c:ptCount val="1"/>
                <c:pt idx="0">
                  <c:v>Moody's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7.2</c:v>
                </c:pt>
              </c:numCache>
            </c:numRef>
          </c:xVal>
          <c:yVal>
            <c:numRef>
              <c:f>Hoja1!$C$7</c:f>
              <c:numCache>
                <c:formatCode>0.0"x"</c:formatCode>
                <c:ptCount val="1"/>
                <c:pt idx="0">
                  <c:v>17.9</c:v>
                </c:pt>
              </c:numCache>
            </c:numRef>
          </c:yVal>
          <c:smooth val="0"/>
        </c:ser>
        <c:ser>
          <c:idx val="6"/>
          <c:order val="6"/>
          <c:tx>
            <c:strRef>
              <c:f>Hoja1!$A$8</c:f>
              <c:strCache>
                <c:ptCount val="1"/>
                <c:pt idx="0">
                  <c:v>S&amp;P Global</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2</c:v>
                </c:pt>
              </c:numCache>
            </c:numRef>
          </c:xVal>
          <c:yVal>
            <c:numRef>
              <c:f>Hoja1!$C$8</c:f>
              <c:numCache>
                <c:formatCode>0.0"x"</c:formatCode>
                <c:ptCount val="1"/>
                <c:pt idx="0">
                  <c:v>15.6</c:v>
                </c:pt>
              </c:numCache>
            </c:numRef>
          </c:yVal>
          <c:smooth val="0"/>
        </c:ser>
        <c:ser>
          <c:idx val="7"/>
          <c:order val="7"/>
          <c:tx>
            <c:strRef>
              <c:f>Hoja1!$A$9</c:f>
              <c:strCache>
                <c:ptCount val="1"/>
                <c:pt idx="0">
                  <c:v>MSCI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10</c:v>
                </c:pt>
              </c:numCache>
            </c:numRef>
          </c:xVal>
          <c:yVal>
            <c:numRef>
              <c:f>Hoja1!$C$9</c:f>
              <c:numCache>
                <c:formatCode>0.0"x"</c:formatCode>
                <c:ptCount val="1"/>
                <c:pt idx="0">
                  <c:v>20</c:v>
                </c:pt>
              </c:numCache>
            </c:numRef>
          </c:yVal>
          <c:smooth val="0"/>
        </c:ser>
        <c:ser>
          <c:idx val="8"/>
          <c:order val="8"/>
          <c:tx>
            <c:strRef>
              <c:f>Hoja1!$A$10</c:f>
              <c:strCache>
                <c:ptCount val="1"/>
                <c:pt idx="0">
                  <c:v>First Advantage</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7.3</c:v>
                </c:pt>
              </c:numCache>
            </c:numRef>
          </c:xVal>
          <c:yVal>
            <c:numRef>
              <c:f>Hoja1!$C$10</c:f>
              <c:numCache>
                <c:formatCode>0.0"x"</c:formatCode>
                <c:ptCount val="1"/>
                <c:pt idx="0">
                  <c:v>9.5</c:v>
                </c:pt>
              </c:numCache>
            </c:numRef>
          </c:yVal>
          <c:smooth val="0"/>
        </c:ser>
        <c:axId val="10"/>
        <c:axId val="20"/>
      </c:scatterChart>
      <c:valAx>
        <c:axId val="10"/>
        <c:scaling>
          <c:orientation val="minMax"/>
          <c:max val="16"/>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6"/>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Círculo de Crédito (buró de crédito, México)</c:v>
                </c:pt>
                <c:pt idx="1">
                  <c:v>Dun &amp; Bradstreet</c:v>
                </c:pt>
                <c:pt idx="2">
                  <c:v>Sterling Check</c:v>
                </c:pt>
                <c:pt idx="3">
                  <c:v>Neustar</c:v>
                </c:pt>
                <c:pt idx="4">
                  <c:v>Appriss Insights</c:v>
                </c:pt>
              </c:strCache>
            </c:strRef>
          </c:cat>
          <c:val>
            <c:numRef>
              <c:f>Hoja1!$B$2:$B$6</c:f>
              <c:numCache>
                <c:formatCode>0.0"x"</c:formatCode>
                <c:ptCount val="5"/>
                <c:pt idx="0">
                  <c:v>9.4</c:v>
                </c:pt>
                <c:pt idx="3">
                  <c:v>27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1186</c:v>
                </c:pt>
                <c:pt idx="1">
                  <c:v>1330</c:v>
                </c:pt>
                <c:pt idx="2">
                  <c:v>1459</c:v>
                </c:pt>
                <c:pt idx="3">
                  <c:v>1594</c:v>
                </c:pt>
                <c:pt idx="4">
                  <c:v>1720</c:v>
                </c:pt>
                <c:pt idx="5">
                  <c:v>1842</c:v>
                </c:pt>
                <c:pt idx="6">
                  <c:v>1960</c:v>
                </c:pt>
                <c:pt idx="7">
                  <c:v>2074</c:v>
                </c:pt>
                <c:pt idx="8">
                  <c:v>2166</c:v>
                </c:pt>
                <c:pt idx="9">
                  <c:v>2250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10558</c:v>
                </c:pt>
                <c:pt idx="1">
                  <c:v>13478</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142,43</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103.17</c:v>
                </c:pt>
                <c:pt idx="1">
                  <c:v>155.96</c:v>
                </c:pt>
                <c:pt idx="2">
                  <c:v>195.8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142,43</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Hoja1!$B$2:$B$10</c:f>
              <c:numCache>
                <c:formatCode>#,##0</c:formatCode>
                <c:ptCount val="9"/>
                <c:pt idx="0">
                  <c:v>137.01</c:v>
                </c:pt>
                <c:pt idx="1">
                  <c:v>148</c:v>
                </c:pt>
                <c:pt idx="2">
                  <c:v>151.94</c:v>
                </c:pt>
                <c:pt idx="3">
                  <c:v>136.15</c:v>
                </c:pt>
                <c:pt idx="4">
                  <c:v>135.55</c:v>
                </c:pt>
                <c:pt idx="5">
                  <c:v>103.17</c:v>
                </c:pt>
                <c:pt idx="6">
                  <c:v>142.87</c:v>
                </c:pt>
                <c:pt idx="7">
                  <c:v>178.65</c:v>
                </c:pt>
                <c:pt idx="8">
                  <c:v>141.72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8"/>
            <c:invertIfNegative val="0"/>
            <c:bubble3D val="0"/>
            <c:spPr>
              <a:solidFill>
                <a:srgbClr val="C9C8C2"/>
              </a:solidFill>
            </c:spPr>
          </c:dPt>
          <c:cat>
            <c:strRef>
              <c:f>Hoja1!$A$2:$A$10</c:f>
              <c:strCache>
                <c:ptCount val="9"/>
                <c:pt idx="0">
                  <c:v>Cotización 52 semanas (137,01 – 238,94)</c:v>
                </c:pt>
                <c:pt idx="1">
                  <c:v>Precio objetivo de los analistas (148,00 – 245,00)</c:v>
                </c:pt>
                <c:pt idx="2">
                  <c:v>Comparables: EV/EBITDA NTM (151,94 – 271,73)</c:v>
                </c:pt>
                <c:pt idx="3">
                  <c:v>Comparables: PER NTM (136,15 – 193,64)</c:v>
                </c:pt>
                <c:pt idx="4">
                  <c:v>DCF (WACC y g ± 0,5) (135,55 – 182,87)</c:v>
                </c:pt>
                <c:pt idx="5">
                  <c:v>Escenarios (bajista – alcista) (103,17 – 195,80)</c:v>
                </c:pt>
                <c:pt idx="6">
                  <c:v>Suma de partes (142,87 – 209,96)</c:v>
                </c:pt>
                <c:pt idx="7">
                  <c:v>DCF con la prima implícita del mercado (4,2 %)</c:v>
                </c:pt>
                <c:pt idx="8">
                  <c:v>Precio actual (142,43)</c:v>
                </c:pt>
              </c:strCache>
            </c:strRef>
          </c:cat>
          <c:val>
            <c:numRef>
              <c:f>Hoja1!$C$2:$C$10</c:f>
              <c:numCache>
                <c:formatCode>#,##0</c:formatCode>
                <c:ptCount val="9"/>
                <c:pt idx="0">
                  <c:v>101.93</c:v>
                </c:pt>
                <c:pt idx="1">
                  <c:v>97</c:v>
                </c:pt>
                <c:pt idx="2">
                  <c:v>119.79000000000002</c:v>
                </c:pt>
                <c:pt idx="3">
                  <c:v>57.48999999999998</c:v>
                </c:pt>
                <c:pt idx="4">
                  <c:v>47.31999999999999</c:v>
                </c:pt>
                <c:pt idx="5">
                  <c:v>92.63000000000001</c:v>
                </c:pt>
                <c:pt idx="6">
                  <c:v>67.09</c:v>
                </c:pt>
                <c:pt idx="7">
                  <c:v>42.81999999999999</c:v>
                </c:pt>
                <c:pt idx="8">
                  <c:v>1.4199999999999875</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