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Group 1 Automotive, Inc.</w:t>
      </w:r>
    </w:p>
    <w:p>
      <w:pPr>
        <w:spacing w:after="60"/>
        <w:rPr>
          <w:color w:val="52514E"/>
          <w:sz w:val="22"/>
          <w:szCs w:val="22"/>
        </w:rPr>
      </w:pPr>
      <w:r>
        <w:rPr>
          <w:color w:val="52514E"/>
          <w:sz w:val="22"/>
          <w:szCs w:val="22"/>
        </w:rPr>
        <w:t xml:space="preserve">GPI · New York Stock Exchange (NYSE) · ISIN US3989051095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231,59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219,61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-4,3 % (base -1,5 %)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378,53 USD · mercado 428,11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2.763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4,2x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Group 1 Automotive,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GPI / US3989051095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MidCap 400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Distribución especializada (concesionarios de automóviles)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Houston, Texas (EE. UU.) · 1995</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www.group1corp.com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231,59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227,50 – 461,27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2.763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7.261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219,61 USD</w:t>
      </w:r>
      <w:r>
        <w:t xml:space="preserve"> frente a 231,59 · Rentabilidad a 12 meses </w:t>
      </w:r>
      <w:r>
        <w:rPr>
          <w:b/>
          <w:bCs/>
        </w:rPr>
        <w:t xml:space="preserve">-4,3 % (base -1,5 %)</w:t>
      </w:r>
      <w:r>
        <w:t xml:space="preserve"> · Valor intrínseco 378,53 USD · con la prima implícita del mercado: 428,11 (+84,9 %) · Alcista / bajista +142,3 % / -42,2 %</w:t>
      </w:r>
    </w:p>
    <w:p>
      <w:pPr>
        <w:spacing w:after="100"/>
      </w:pPr>
      <w:r>
        <w:rPr>
          <w:b/>
        </w:rPr>
        <w:t xml:space="preserve">La recomendación y por qué.</w:t>
      </w:r>
      <w:r>
        <w:t xml:space="preserve"> Mantener (no comprar), con convicción media. Con nuestro BPA y nuestro PER, el objetivo a 12 meses es de 246,78 USD frente a 231,59 USD de cierre del 13 de octubre: +7,5 % con el dividendo, y +9,0 % en el caso base. No llega a los umbrales de compra (15 % y 12 %) y la asimetría es pobre (1,9x), porque el bajista (−33 %) es creíble: el beneficio por acción de un concesionario apalancado cae deprisa si el margen vuelve al de 2019. El valor intrínseco es mucho mayor (378,53 USD, +63 %), pero cerrar esa distancia exige que el beneficio deje de caer, algo que aún no se ve. La convicción es media y no alta porque las cifras salen de extractos de búsqueda, no de los documentos completos. Compraríamos por debajo de 216 USD o si el 3T26 (28 de octubre) muestra que el BPA ha tocado fondo; la convicción bajaría si la deuda pasa de 3,5x el EBITDA.</w:t>
      </w:r>
    </w:p>
    <w:p>
      <w:pPr>
        <w:spacing w:after="100"/>
      </w:pPr>
      <w:r>
        <w:rPr>
          <w:b/>
        </w:rPr>
        <w:t xml:space="preserve">El negocio.</w:t>
      </w:r>
      <w:r>
        <w:t xml:space="preserve"> Cuarto grupo de concesionarios de EE. UU. y uno de los mayores del Reino Unido: ≈259 concesionarios, 22.571 M USD de ventas en 2025 (74 % EE. UU.) [1, 81]. Gana dinero sobre todo en posventa y financiación y seguros, menos cíclicos que la venta de coches. Su ROIC (≈11 %) supera al WACC (7,6 %) por 3-4 puntos, menos de los 5 que pedimos para comprar.</w:t>
      </w:r>
    </w:p>
    <w:p>
      <w:pPr>
        <w:spacing w:after="100"/>
      </w:pPr>
      <w:r>
        <w:rPr>
          <w:b/>
        </w:rPr>
        <w:t xml:space="preserve">Finanzas.</w:t>
      </w:r>
      <w:r>
        <w:t xml:space="preserve"> El BPA ajustado bajó de 45,7 USD en 2022 a 40,7 en 2025 y un 13 % más en el 1S26, sostenido por recompras (−30 % de acciones desde 2021) [7, 16, 128]. La deuda sin floorplan sube a ≈4.500 M con la compra de Hennessy (≈1.300 M), unas 3,3 veces el EBITDA [40, 48].</w:t>
      </w:r>
    </w:p>
    <w:p>
      <w:pPr>
        <w:spacing w:after="100"/>
      </w:pPr>
      <w:r>
        <w:rPr>
          <w:b/>
        </w:rPr>
        <w:t xml:space="preserve">Valoración.</w:t>
      </w:r>
      <w:r>
        <w:t xml:space="preserve"> Cotiza a 5,4x el BPA de consenso de los próximos 12 meses, frente a 8,7x de mediana de sus pares y 9,6x de su propia mediana de cinco años. El DCF da 400,53 USD (rango 305,55-536,04) y descuenta un margen del 3,1 % para siempre. Nuestro base a 12 meses (250,29 USD) queda un 24 % por debajo del objetivo medio de los analistas (331,25): usamos un BPA de 2028e más bajo (40,4 frente a 49,0) y el PER actual, no el histórico.</w:t>
      </w:r>
    </w:p>
    <w:p>
      <w:pPr>
        <w:spacing w:after="100"/>
      </w:pPr>
      <w:r>
        <w:rPr>
          <w:b/>
        </w:rPr>
        <w:t xml:space="preserve">Riesgos y catalizadores.</w:t>
      </w:r>
      <w:r>
        <w:t xml:space="preserve"> El mayor riesgo es la normalización del beneficio bruto por coche con un consumidor que compra menos; el catalizador, los resultados del 28 de octubre y la integración de Hennessy en el 4T26. El sentimiento es negativo (mínimos de 52 semanas, recortes de los analistas) y el mayor accionista externo ha comprado en septiembre [168, 169].</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 Objetivo a 12 meses: </w:t>
      </w:r>
      <w:r>
        <w:rPr>
          <w:b/>
          <w:bCs/>
        </w:rPr>
        <w:t xml:space="preserve">219,61 USD</w:t>
      </w:r>
      <w:r>
        <w:t xml:space="preserve"> (rentabilidad -4,3 % (base -1,5 %)) · Valor intrínseco: 378,53 USD (+63,4 % sobre 231,59) · con la prima implícita del mercado: 428,11 (+84,9 %)</w:t>
      </w:r>
    </w:p>
    <w:p>
      <w:pPr>
        <w:spacing w:after="100"/>
      </w:pPr>
      <w:r>
        <w:t xml:space="preserve">Group 1 es un concesionario de calidad media, bien gestionado y muy barato (5,4x beneficios), pero en la fase baja del ciclo de márgenes y con más deuda. El precio ya descuenta un margen por debajo del de antes de la pandemia, por eso el valor intrínseco está muy por encima; a 12 meses, sin embargo, el múltiplo no tiene por qué recuperarse mientras el beneficio siga bajando. Es una idea de valor para vigilar, no para comprar hoy.</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219,61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 × 28,84 = 118,24 · 5,6x × 40,37 = 226,07 · 7,6x × 46,78 = 355,53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 / -1,5 %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331,25 (nuestro base -31,8 %)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378,53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142,3 % / -42,2 %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 frente a 7,6 % y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428,11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192,79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192,79 y 246,35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246,35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216 USD con el mismo BPA, pasaríamos a Comprar (ponderada ≥ 15 %).</w:t>
      </w:r>
    </w:p>
    <w:p>
      <w:pPr>
        <w:pStyle w:val="ListParagraph"/>
        <w:numPr>
          <w:ilvl w:val="0"/>
          <w:numId w:val="2"/>
        </w:numPr>
        <w:spacing w:after="60"/>
      </w:pPr>
      <w:r>
        <w:t xml:space="preserve">Si el 3T26 y el 4T26 muestran BPA ajustado creciendo y deuda &lt; 3x, subiríamos el BPA y podríamos pasar a Comprar.</w:t>
      </w:r>
    </w:p>
    <w:p>
      <w:pPr>
        <w:pStyle w:val="ListParagraph"/>
        <w:numPr>
          <w:ilvl w:val="0"/>
          <w:numId w:val="2"/>
        </w:numPr>
        <w:spacing w:after="60"/>
      </w:pPr>
      <w:r>
        <w:t xml:space="preserve">Si el precio sube por encima de 277 USD sin mejora del beneficio, la rentabilidad a 12 meses pasaría a −10 % y venderíamos.</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beneficio de los concesionarios seguirá bajando hacia el de antes de 2020 y que la deuda de Hennessy llega en mal momento: 5,4x beneficios y un margen implícito del 3,1 %.</w:t>
      </w:r>
    </w:p>
    <w:p>
      <w:pPr>
        <w:keepNext/>
        <w:spacing w:after="100"/>
      </w:pPr>
      <w:r>
        <w:rPr>
          <w:b/>
          <w:bCs/>
        </w:rPr>
        <w:t xml:space="preserve">Lo que creemos nosotros.</w:t>
      </w:r>
    </w:p>
    <w:p>
      <w:pPr>
        <w:spacing w:after="100"/>
      </w:pPr>
      <w:r>
        <w:t xml:space="preserve">Estamos más cerca del mercado que de los analistas: BPA de 2028e de 40,4 USD (consenso 49,0) y PER de 6,2x. El valor a largo plazo existe, pero el catalizador para cerrarlo no está a 12 meses.</w:t>
      </w:r>
    </w:p>
    <w:p>
      <w:pPr>
        <w:keepNext/>
        <w:spacing w:after="100"/>
      </w:pPr>
      <w:r>
        <w:rPr>
          <w:b/>
          <w:bCs/>
        </w:rPr>
        <w:t xml:space="preserve">Por qué podemos tener razón.</w:t>
      </w:r>
    </w:p>
    <w:p>
      <w:pPr>
        <w:spacing w:after="100"/>
      </w:pPr>
      <w:r>
        <w:t xml:space="preserve">La normalización del beneficio por coche no ha terminado y las recompras, que explicaban el crecimiento del BPA, se frenan con la deuda de Hennessy.</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31,5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Muy barata</w:t>
      </w:r>
      <w:r>
        <w:t xml:space="preserve">: 5,4x el BPA de consenso y 6,2x el nuestro de 2027e, frente a 8,7x de los pares y 9,6x de su mediana de cinco años.</w:t>
      </w:r>
    </w:p>
    <w:p>
      <w:pPr>
        <w:pStyle w:val="ListParagraph"/>
        <w:numPr>
          <w:ilvl w:val="0"/>
          <w:numId w:val="2"/>
        </w:numPr>
        <w:spacing w:after="60"/>
      </w:pPr>
      <w:r>
        <w:rPr>
          <w:b/>
        </w:rPr>
        <w:t xml:space="preserve">Posventa y F&amp;I</w:t>
      </w:r>
      <w:r>
        <w:t xml:space="preserve">: la parte menos cíclica del beneficio bruto; posventa +15,9 % en 2025 [2].</w:t>
      </w:r>
    </w:p>
    <w:p>
      <w:pPr>
        <w:pStyle w:val="ListParagraph"/>
        <w:numPr>
          <w:ilvl w:val="0"/>
          <w:numId w:val="2"/>
        </w:numPr>
        <w:spacing w:after="60"/>
      </w:pPr>
      <w:r>
        <w:rPr>
          <w:b/>
        </w:rPr>
        <w:t xml:space="preserve">Valor intrínseco muy por encima</w:t>
      </w:r>
      <w:r>
        <w:t xml:space="preserve">: DCF de 400,53 USD incluso con margen a la baja.</w:t>
      </w:r>
    </w:p>
    <w:p>
      <w:pPr>
        <w:pStyle w:val="ListParagraph"/>
        <w:numPr>
          <w:ilvl w:val="0"/>
          <w:numId w:val="2"/>
        </w:numPr>
        <w:spacing w:after="60"/>
      </w:pPr>
      <w:r>
        <w:rPr>
          <w:b/>
        </w:rPr>
        <w:t xml:space="preserve">Compras del mayor accionista externo</w:t>
      </w:r>
      <w:r>
        <w:t xml:space="preserve"> en septiembre de 2026 [168].</w:t>
      </w:r>
    </w:p>
    <w:p>
      <w:pPr>
        <w:pStyle w:val="Heading2"/>
      </w:pPr>
      <w:r>
        <w:t xml:space="preserve">En contra</w:t>
      </w:r>
    </w:p>
    <w:p>
      <w:pPr>
        <w:pStyle w:val="ListParagraph"/>
        <w:numPr>
          <w:ilvl w:val="0"/>
          <w:numId w:val="2"/>
        </w:numPr>
        <w:spacing w:after="60"/>
      </w:pPr>
      <w:r>
        <w:rPr>
          <w:b/>
        </w:rPr>
        <w:t xml:space="preserve">Beneficio en caída</w:t>
      </w:r>
      <w:r>
        <w:t xml:space="preserve">: BPA ajustado −13 % en el 1S26 por la asequibilidad en EE. UU. [16].</w:t>
      </w:r>
    </w:p>
    <w:p>
      <w:pPr>
        <w:pStyle w:val="ListParagraph"/>
        <w:numPr>
          <w:ilvl w:val="0"/>
          <w:numId w:val="2"/>
        </w:numPr>
        <w:spacing w:after="60"/>
      </w:pPr>
      <w:r>
        <w:rPr>
          <w:b/>
        </w:rPr>
        <w:t xml:space="preserve">Más deuda</w:t>
      </w:r>
      <w:r>
        <w:t xml:space="preserve">: ≈4.500 M sin floorplan con Hennessy, ≈3,3x el EBITDA [40].</w:t>
      </w:r>
    </w:p>
    <w:p>
      <w:pPr>
        <w:pStyle w:val="ListParagraph"/>
        <w:numPr>
          <w:ilvl w:val="0"/>
          <w:numId w:val="2"/>
        </w:numPr>
        <w:spacing w:after="60"/>
      </w:pPr>
      <w:r>
        <w:rPr>
          <w:b/>
        </w:rPr>
        <w:t xml:space="preserve">Reino Unido</w:t>
      </w:r>
      <w:r>
        <w:t xml:space="preserve">: apenas gana dinero tras Inchcape y tuvo deterioros en 2025 [5].</w:t>
      </w:r>
    </w:p>
    <w:p>
      <w:pPr>
        <w:pStyle w:val="ListParagraph"/>
        <w:numPr>
          <w:ilvl w:val="0"/>
          <w:numId w:val="2"/>
        </w:numPr>
        <w:spacing w:after="60"/>
      </w:pPr>
      <w:r>
        <w:rPr>
          <w:b/>
        </w:rPr>
        <w:t xml:space="preserve">Recortes de los analistas</w:t>
      </w:r>
      <w:r>
        <w:t xml:space="preserve">: Morgan Stanley a infraponderar con 232 USD [133].</w:t>
      </w:r>
    </w:p>
    <w:p>
      <w:pPr>
        <w:pStyle w:val="Heading2"/>
      </w:pPr>
      <w:r>
        <w:t xml:space="preserve">Qué tiene que pasar para que la tesis funcione</w:t>
      </w:r>
    </w:p>
    <w:p>
      <w:pPr>
        <w:spacing w:after="100"/>
      </w:pPr>
      <w:r>
        <w:t xml:space="preserve">Que el BPA ajustado deje de caer frente al año anterior. La primera señal llega el 28 de octubre con el 3T26 (comparativa: 10,45 USD en el 3T25). Si vuelve a caer más de un 10 % y la deuda no baja con la venta de concesionarios, el bajista gana peso.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trimestral frente al año anterior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 USD en el 2T26 (−17 %)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&gt; 10 % dos trimestres más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normalización del margen ha terminado.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generales sobre margen bruto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del 70 %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palanca de costes que sostiene el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sin floorplan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 (≈3,3x con Hennessy)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3,5x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Limita recompras y aumenta el riesgo en el bajista.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9,6x / 5,4x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 · 4,2x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Group 1 Automotive se constituyó en Houston el 21 de diciembre de 1995 para consolidar concesionarios de automóviles en EE. UU. y salió a bolsa en noviembre de 1997 a 12 USD por acción, comprando a la vez cuatro grupos de Texas y Oklahoma [51]. Bajo Earl Hesterberg (primer ejecutivo de abril de 2005 a 2022) entró en el Reino Unido (2007) y en Brasil (2013), y después se concentró en EE. UU. y el Reino Unido: compró Prime Automotive (28 concesionarios en el noreste, 934,2 M USD) en 2021 y vendió Brasil en 2022 [9, 55, 56]. Daryl Kenningham es primer ejecutivo desde el 1 de enero de 2023 [57]. La compra de la red minorista de Inchcape en el Reino Unido (54 concesionarios, ≈ 346 M GBP, agosto de 2024) duplicó el tamaño británico; a cierre de 2025 tenía 254 concesionarios, 315 franquicias y 36 marcas [2, 53, 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en Houston (21 de diciembre) como consolidador de concesionarios [51, 52].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(4 de noviembre, 12 USD por acción) y compra simultánea de los grupos Howard, McCall, Smith y Kingwood en Texas y Oklahoma [51].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Earl Hesterberg, primer ejecutivo (abril de 2005); dirige la compañía hasta finales de 2022 [57].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el Reino Unido con la compra de Chandlers Garage (BMW y MINI en el sureste de Inglaterra) [59, 60].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Brasil con la compra del 100 % de UAB Motors (18 concesionarios) [58].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Prime Automotive Group: 28 concesionarios, inmuebles y 3 talleres de chapa en el noreste de EE. UU. por 934,2 M USD [9, 55].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UAB (Brasil, 16 concesionarios) por 510 M BRL en efectivo; el grupo se queda solo en EE. UU. y Reino Unido [56].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Daryl Kenningham, en la casa desde 2011, primer ejecutivo desde el 1 de enero [57].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red minorista de Inchcape en el Reino Unido (54 concesionarios, ≈ 346 M GBP, ≈ 2.700 M USD de ingresos anuales); duplica el tamaño británico [53, 54].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récord de 22.571 M USD (+13,2 %) con 192,8 M USD de deterioros; ventas y cierres de concesionarios con ≈ 775 M USD de ingresos anuales [2,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para comprar Hennessy Automotive (Atlanta), operación estimada en ≈ 1.300 M USD por la prensa sectorial [61].</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Group 1 es el cuarto grupo de concesionarios de automóviles con sede en EE. UU. por ventas de 2025 [81]. A 31 de diciembre de 2025 operaba 254 concesionarios, 315 franquicias de 36 marcas y 32 talleres de chapa y pintura: 145 concesionarios y 21 talleres en 17 estados de EE. UU. y 109 concesionarios y 11 talleres en 62 ciudades del Reino Unido [1, 2]. Vende y alquila (leasing) coches nuevos y usados, intermedia la financiación, vende contratos de servicio y seguros, repara y mantiene vehículos y vende recambios, todo bajo contratos de franquicia con los fabricantes y con una plataforma digital omnicanal [1]. En 2025 vendió 224.166 coches nuevos y 234.906 usados al por menor, y 64.955 usados al por mayor [2]; a 31 de marzo de 2026 la red era de 253 concesionarios y 313 franquicias [50]. EE. UU. aportó 16.627 M USD de ingresos (73,7 %) y el Reino Unido 5.945 M USD (26,3 %) [29].</w:t>
      </w:r>
    </w:p>
    <w:p>
      <w:pPr>
        <w:pStyle w:val="Heading2"/>
      </w:pPr>
      <w:r>
        <w:t xml:space="preserve">Cómo gana dinero</w:t>
      </w:r>
    </w:p>
    <w:p>
      <w:pPr>
        <w:spacing w:after="100"/>
      </w:pPr>
      <w:r>
        <w:t xml:space="preserve">El coche nuevo genera la mayor parte de los ingresos, pero poco margen; el beneficio sale sobre todo de la posventa y de la financiación y seguros (F&amp;I). En 2025 el margen bruto total fue del 16,0 % sobre 22.571 M USD de ingresos, y recambios y taller aportaron 1.585,6 M USD de beneficio bruto (el 43,8 % del total) con un margen bruto del 55,7 % [2]. La posventa es la parte más recurrente: depende del parque en circulación y de las garantías del fabricante, no de las ventas del año. El margen operativo es fino (3,3 % en 2025; 4,1 % sin los 192,8 M USD de deterioros), así que pequeños cambios en el beneficio bruto por unidad mueven mucho el resultado [2, 29]. En 2025 el Reino Unido dio una pérdida antes de impuestos de 113,2 M USD frente a un beneficio de 563,1 M USD en EE. UU. [29].</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Reino Unido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Reino Unido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generales sobre margen bruto (grupo, publicado)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generales de 2.545,5 M frente a 2.179,2 M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generales ajustados sobre margen bruto,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completar un recorte de costes de 50 M anuales en EE. UU. [16,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posventa (recambios y taller)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en 1T26, 400,0 M (+5,0 %) [2,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neto de floorplan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Intereses de floorplan 101,5 M (108,5 M en 2024) menos ayudas de los fabricantes 91,0 M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Reino Unido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230,6 M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trimestral del segmento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Concesionarios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(oct-25)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y Reino Unido [22].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venta minorista de automóviles a través de concesionarios franquiciados en EE. UU. (≈ 74 % de los ingresos del grupo) y el Reino Unido (≈ 26 %), con su posventa y su F&amp;I [29]. Se mide en unidades porque es la serie oficial y comparable: ventas de vehículos ligeros nuevos en EE. UU. Las cifras de 2019 (Wards, vía el Departamento de Energía), 2020-2022 (recuentos de Kelley Blue Book y Cox), 2023-2024 (Wards y NADA) y 2025 (NADA) vienen de fuentes distintas con definiciones parecidas pero no idénticas [64, 65, 66, 67, 68]. En dinero, NADA da más de 1,3 billones USD de ventas de los concesionarios franquiciados de EE. UU. en 2025 [68]. El Reino Unido se contrasta con la SMMT: 2,02 millones de matriculaciones nuevas y 7,81 millones de compraventas de usados en 2025 [74, 79].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Más de 1,3 billones USD de ventas de los 16.990 concesionarios franquiciados de EE. UU. en 2025 (más de 1,2 billones en 2024), con 16,2 millones de vehículos ligeros nuevos y 164.600 M USD en recambios y taller [68, 69]. Reino Unido: 2.020.520 coches nuevos matriculados en 2025, frente a 1.952.778 en 2024 y 1.903.054 en 2023 [74, 77, 78], y 7,81 millones de compraventas de usados [79].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vehículos ligeros nuevos vendidos en EE. UU. (año natura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coches nuevos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16,2 millones en 2025, el mejor año desde 2019; Cox empezó 2026 previendo 15,8 millones (−2,4 %) por menor crecimiento, menos empleo y el fin de las ayudas fiscales a eléctricos, y en septiembre lo subió a 16,1 millones [62, 63].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Asequibilidad y precio de transacción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medio de transacción de un coche nuevo de 50.562 USD en septiembre de 2026, a 52 USD del récord de diciembre de 2025, con incentivos del 6,6 % del precio (7,3 % un año antes) [73]. Group 1 culpó a la asequibilidad de la caída del beneficio del 2T26 [16, 94].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Posventa (recambios y taller)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concesionarios franquiciados de EE. UU. facturaron 164.600 M USD en posventa en 2025 frente a ≈ 156.000 M en 2024, con más de 276 millones de órdenes de reparación (270 millones en 2024) [68, 69]. En Group 1 el beneficio bruto de posventa creció un 15,9 % en 2025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Oferta y precio de coches usados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Cox subió en 2025 su previsión de usados vendidos a 37,9-38,5 millones [71]; prevé 20,3 millones de ventas minoristas de usados en 2026 (−0,7 %) [70], con un precio medio de anuncio de 26.043 USD a principios de 2026 (+1 %) [72]. En el Reino Unido, la falta de matriculaciones de la pandemia reducirá un 17 % la oferta de coches de 5-7 años en dos años [80].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Transición al eléctrico y mandato ZEV británico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mandato exige un 28 % de eléctricos en 2025 y un 33 % en 2026; el mercado se quedó en el 23,4 % en 2025 y la SMMT prevé un 27,4 % en 2026, lo que empuja a los fabricantes a descontar eléctricos [74, 75, 76]. En EE. UU. el precio medio del eléctrico fue de 55.879 USD con incentivos del 11 % en septiembre de 2026 [73].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Consolidación de concesionarios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diez primeros grupos vendieron 1,8 millones de coches nuevos en 2025 (11,1 % del mercado, +0,3 puntos) y los 150 primeros el 27 % (+0,3 puntos) [82].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fragmentado: 16.990 concesionarios franquiciados en EE. UU. y los diez primeros grupos con solo el 11,1 % de las ventas de nuevos [68, 82]. Los cinco grandes cotizados ganan entre el 3 % y el 4,5 % de margen operativo [29, 85, 86, 89].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particular compara precios en línea y sufre la asequibilidad: precio medio de 50.562 USD con incentivos del 6,6 % [73]. A cambio, la posventa ligada a la garantía y a la marca deja márgenes brutos del 55,7 % en Group 1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fabricantes conceden y retiran las franquicias, fijan el producto y el reparto de unidades; en el Reino Unido trasladan la presión del mandato ZEV (33 % en 2026) a la red [75]. Group 1 perdió 113,2 M USD antes de impuestos en el Reino Unido en 2025 [29].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 vender nuevos hace falta una franquicia del fabricante; el crecimiento llega por compra de concesionarios existentes (Group 1 compró ≈ 3.900 M USD de ingresos anuales en 2024; Asbury pagó 1.450 M USD por Herb Chambers en 2025) [53, 91].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usados compiten minoristas sin franquicia como CarMax (780.684 usados en su ejercicio a febrero de 2026, −1,1 %) [93]; en nuevos el sustituto es la venta directa del fabricante y las plataformas digitales (Amazon prepara Amazon Autos en el Reino Unido) [80].</w:t>
            </w:r>
          </w:p>
        </w:tc>
      </w:tr>
    </w:tbl>
    <w:p>
      <w:pPr>
        <w:spacing w:after="160" w:before="0"/>
      </w:pPr>
    </w:p>
    <w:p>
      <w:pPr>
        <w:pStyle w:val="Heading2"/>
      </w:pPr>
      <w:r>
        <w:t xml:space="preserve">Ciclo</w:t>
      </w:r>
    </w:p>
    <w:p>
      <w:pPr>
        <w:spacing w:after="100"/>
      </w:pPr>
      <w:r>
        <w:t xml:space="preserve">Las ventas de nuevos en EE. UU. se recuperaron de 13,9 millones en 2022 a 16,2 millones en 2025, aún por debajo de los 17,0 millones de 2019, y Cox prevé 16,1 millones en 2026 [63, 64, 66, 68]. Los precios están en máximos (50.562 USD) y la asequibilidad frena el volumen [73]. En 2020 las ventas cayeron a 14,6 millones y en 2022, por falta de chips, a la cifra más baja desde 2011, cuando se vendían 12,7 millones tras la Gran Recesión [65, 66]; con poca oferta los márgenes por unidad de los concesionarios subieron. No hay en las fuentes leídas datos de 2008-09 por grupo.</w:t>
      </w:r>
    </w:p>
    <w:p>
      <w:pPr>
        <w:pStyle w:val="Heading2"/>
      </w:pPr>
      <w:r>
        <w:t xml:space="preserve">Regulación</w:t>
      </w:r>
    </w:p>
    <w:p>
      <w:pPr>
        <w:spacing w:after="100"/>
      </w:pPr>
      <w:r>
        <w:t xml:space="preserve">En el Reino Unido, el mandato ZEV exige un 28 % de eléctricos en 2025 y un 33 % en 2026, por encima de lo que vende el mercado [74, 75]. La FCA confirmó el 30 de marzo de 2026 un plan de compensación por comisiones ocultas en la financiación de coches, paralizado tras recursos de varios prestamistas; afecta a la intermediación de crédito de los concesionarios británicos [80]. En EE. UU., el fin de las ayudas fiscales a la compra de eléctricos pesa sobre la previsión de 2026 [62]. Los aranceles a la importación de coches no se han podido documentar con fuente en este análisis (ver huecos).</w:t>
      </w:r>
    </w:p>
    <w:p>
      <w:pPr>
        <w:pStyle w:val="Heading2"/>
      </w:pPr>
      <w:r>
        <w:t xml:space="preserve">Tendencias y disrupción</w:t>
      </w:r>
    </w:p>
    <w:p>
      <w:pPr>
        <w:spacing w:after="100"/>
      </w:pPr>
      <w:r>
        <w:t xml:space="preserve">Electrificación: en el Reino Unido los eléctricos llegaron al 23,4 % de las matriculaciones en 2025 y al 36,3 % en septiembre de 2026 (dato preliminar) [74, 76]; los usados eléctricos crecieron un 45,7 % en 2025 [79]. Digitalización: Group 1 tiene una plataforma omnicanal propia [1] y Amazon prepara Amazon Autos en el Reino Unido [80]. Consolidación: 101 de los 150 mayores grupos crecieron en 2025 y 62 lo hicieron sin añadir tiendas [83]; Group 1 compra (Inchcape en 2024, Hennessy en 2026) y vende concesionarios que no rinden (≈ 775 M USD de ingresos anuales en 2025) [2]. La escala favorece a Group 1 frente a los concesionarios independientes, pero la venta directa de los fabricantes y el eléctrico (menos mantenimiento) son riesgos para la posventa a largo plazo.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4.º grupo de concesionarios con sede en EE. UU. por ventas de 2025 (254 concesionarios y 524.027 unidades en la clasificación de Automotive News) [81]. Estimación propia de cuota: 224.166 coches nuevos al por menor frente a ≈ 18,2 millones vendidos en EE. UU. (16,2 M) y el Reino Unido (2,02 M) ≈ 1,2 % [2, 68, 74]. En el Reino Unido es uno de los mayores grupos tras comprar la red de Inchcape (109 concesionarios) [1, 54].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Lithia Motors (Lithia &amp; Driveway)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grupo por unidades (447 concesionarios, 953.078 unidades); ingresos +4,0 % en 2025; presente también en el Reino Unido y Canadá [81, 88, 89].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Penske Automotive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31.809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Lujo y camiones comerciales (3.400 M USD); el 39 % de los ingresos minoristas se genera fuera de EE. UU., sobre todo en el Reino Unido; ingresos planos en 2025 [86, 87].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AutoNation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27.631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EE. UU.; 271 concesionarios; resultado operativo de 1.239,9 M USD con 159 M USD de deterioros; financiera propia [81, 84, 85].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CarMax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KMX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minorista de usados sin franquicia: 780.684 unidades (−1,1 %) en el ejercicio a febrero de 2026; beneficio −50,6 %; margen operativo no localizado [93].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Asbury Automotive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EE. UU.; compró Herb Chambers (Boston) por 1.450 M USD en 2025; margen operativo ajustado del 5,6 % (el contable no se localizó) [90, 91].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Sonic Automotive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Concesionarios (12.900 M USD) más EchoPark, cadena de usados sin franquicia (2.100 M USD); beneficio neto 118,7 M USD (−45 %) [92].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concesionario no gana valor por tener más clientes; el negocio es local.</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posventa en garantía y la reparación de la marca atan al cliente al concesionario oficial: margen bruto de posventa del 55,7 % frente al 16,0 % del grupo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315 franquicias de 36 marcas concedidas por los fabricantes; solo se crece comprando franquicias existentes [2,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3,3 % en 2025 (4,1 % sin deterioros), por debajo de AutoNation (4,5 %), Lithia (4,2 %) y Penske (4,0 %) [3, 40, 44, 41].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Cuarto grupo de EE. UU.; agrupa concesionarios por zonas y compra redes enteras (Inchcape, ≈ 2.700 M USD de ingresos; Hennessy en Atlanta) [36, 7].</w:t>
            </w:r>
          </w:p>
        </w:tc>
      </w:tr>
    </w:tbl>
    <w:p>
      <w:pPr>
        <w:spacing w:after="160" w:before="0"/>
      </w:pPr>
    </w:p>
    <w:p>
      <w:pPr>
        <w:pStyle w:val="Heading2"/>
      </w:pPr>
      <w:r>
        <w:t xml:space="preserve">Amenazas</w:t>
      </w:r>
    </w:p>
    <w:p>
      <w:pPr>
        <w:spacing w:after="100"/>
      </w:pPr>
      <w:r>
        <w:t xml:space="preserve">La venta directa o por agencia de los fabricantes quitaría al concesionario el margen del coche nuevo (riesgo medio en el Reino Unido, bajo en EE. UU. mientras sigan las leyes estatales de franquicia; sin fuente citable en este análisis). El eléctrico reduce el mantenimiento a largo plazo y el mandato ZEV obliga a vender eléctricos con descuento en el Reino Unido [75]. Los minoristas de usados y las plataformas digitales (CarMax, Amazon Autos) compiten por el comprador [80, 93]. Y la asequibilidad (precio medio de 50.562 USD) presiona el beneficio bruto por unidad [73].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spacing w:after="100"/>
      </w:pPr>
      <w:r>
        <w:t xml:space="preserve">Crecimiento anual compuesto 2016-2025: ingresos </w:t>
      </w:r>
      <w:r>
        <w:rPr>
          <w:b/>
          <w:bCs/>
        </w:rPr>
        <w:t xml:space="preserve">8,4 %</w:t>
      </w:r>
      <w:r>
        <w:t xml:space="preserve">, EBITDA </w:t>
      </w:r>
      <w:r>
        <w:rPr>
          <w:b/>
          <w:bCs/>
        </w:rPr>
        <w:t xml:space="preserve">n.d.</w:t>
      </w:r>
      <w:r>
        <w:t xml:space="preserve">, BPA </w:t>
      </w:r>
      <w:r>
        <w:rPr>
          <w:b/>
          <w:bCs/>
        </w:rPr>
        <w:t xml:space="preserve">15,9 %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12.000 M en 2019 a 22.571 M en 2025 (+11 % anual), casi todo por compras (Inchcape en Reino Unido en 2024, ≈3.900 M de ventas anuales) [1, 5]. El beneficio se disparó en 2021-2022 con la escasez de coches (BPA ajustado de 45,7 USD en 2022) y desde entonces baja: 44,3 en 2023, ≈39 en 2024 y 40,7 en 2025, con menos acciones (−30 % desde 2021) que compensan un beneficio neto que cae [7, 8, 128]. 2025 lleva 221 M de deterioros y reestructuración (sobre todo Reino Unido), por eso el BPA contable (25,24) queda muy por debajo del ajustado [1, 2]. En el 1S26 el BPA ajustado cayó un 13 % (18,3 frente a 21,2 USD) por la asequibilidad en EE. UU. [16, 19].</w:t>
      </w:r>
    </w:p>
    <w:p>
      <w:pPr>
        <w:pStyle w:val="Heading2"/>
      </w:pPr>
      <w:r>
        <w:t xml:space="preserve">Ajustes y partidas no recurrentes</w:t>
      </w:r>
    </w:p>
    <w:p>
      <w:pPr>
        <w:spacing w:after="100"/>
      </w:pPr>
      <w:r>
        <w:t xml:space="preserve">La empresa publica beneficio y BPA «de operaciones continuadas» y su versión ajustada (no GAAP). La cuenta usa el beneficio total atribuido y el BPA total. 2025 lleva 192,8 M de deterioros y 28,4 M de reestructuración dentro del resultado de explotación [1], recogidos en no_recurrentes_en_ebitda (221,2); el 4T25 cargó 68,2 M de deterioros, sobre todo en EE. UU. [2], y el 3T25 dejó el BPA publicado en 1,02 frente a 10,45 ajustado [22]. 2021: la pérdida de Brasil (≈73 M, operación discontinuada) separa el beneficio total (552,1) del de continuadas (625,4) [9]. 2017 incluye un beneficio fiscal provisional de ≈73 M por la reforma fiscal de EE. UU. [24]. BPA ajustado por año en bpa_ajustado.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2T26 (30-jul-2026) el consejero delegado, Daryl Kenningham, atribuyó el trimestre más flojo a la asequibilidad: el consumidor estadounidense compra menos con tipos y precios altos [16, 18]. La respuesta fue de costes: completó un recorte de 50 M anuales en EE. UU. y bajó los gastos generales ajustados al 66,4 % del margen bruto en ese país [16, 17]. En capital, anunció la compra de 10 concesionarios de Hennessy y le quedaban 306,3 M del programa de recompra a 30 de junio [16]. En el 1T26 (30-abr-2026) el mensaje había sido el récord de margen bruto en Reino Unido (230,6 M) y de posventa (400,0 M, +5,0 %), con una recompra del 1,7 % del capital en el trimestre [19]. Entre una y otra conferencia el discurso pasó de la integración británica y la posventa a la debilidad de la demanda en EE. UU. y al control de costes. Las preguntas de los analistas y lo que la dirección evitó contestar no se han podido leer (transcripción no accesible).</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90"/>
        <w:gridCol w:w="1472"/>
        <w:gridCol w:w="1338"/>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Compra del negocio minorista de Inchcape en Reino Unido en 2024: el segmento R. U. pasa a 4.161,5 M de ingresos en 2024 y ≈5.945 M en 2025 (año completo) [1, 5]. Fecha de cierre e importe no confirmados.; 2022: Venta de Brasil: presentado como operación discontinuada desde 2021; 2016-2020 incluyen Brasil en los ingresos de las notas originales [9, 10].).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pasa de 2.036 M (2021) a 3.700 M (2025) y 3.363 M a jun-2026, empujada por las compras (Inchcape en 2024, 1.277 M de caja en adquisiciones) y por las recompras; el patrimonio apenas sube de ≈1.825 a 2.789 M porque la empresa recompra más de lo que gana algunos años (2025: 555 M de recompras frente a 325 M de beneficio). Con Hennessy (≈1.300 M [48]) y los 1.250 M de bonos nuevos [40], la deuda bruta superará los 4.600 M a cierre de 2026 si no hay desinversiones (estimación propia). </w:t>
      </w:r>
      <w:r>
        <w:rPr>
          <w:b/>
        </w:rPr>
        <w:t xml:space="preserve">Criterio homogéneo para concesionarios:</w:t>
      </w:r>
      <w:r>
        <w:t xml:space="preserve"> el floorplan no comercial es deuda del grupo con bancos y el comercial es crédito de las financieras de marca; la empresa trata los dos como circulante y el EBIT de la serie es antes de sus intereses. Para no contarlo dos veces ni omitirlo, o se deja fuera de la deuda neta y se resta su interés del EBITDA (EBITDA 2025 ≈ 855,2 − 101,5 = 753,7), o se suma a la deuda y el EBITDA se deja antes de ese interés. Aquí deuda_financiera excluye el floorplan; floorplan_no_comercial y floorplan_comercial van aparte para quien aplique la segunda opción. coste_deuda_pct 5,5 % = otros intereses 2025 (182,9 M [1]) / deuda media 2024-2025 (3.306 M), estimación propia.</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2.162</w:t>
      </w:r>
      <w:r>
        <w:t xml:space="preserve">, conversión </w:t>
      </w:r>
      <w:r>
        <w:rPr>
          <w:b/>
          <w:bCs/>
        </w:rPr>
        <w:t xml:space="preserve">79 %</w:t>
      </w:r>
      <w:r>
        <w:t xml:space="preserve"> del beneficio neto; adquisiciones 3.818, dividendos 124, recompras 1.621.</w:t>
      </w:r>
    </w:p>
    <w:p>
      <w:pPr>
        <w:spacing w:after="100"/>
      </w:pPr>
      <w:r>
        <w:t xml:space="preserve">Con el floorplan tratado como circulante, el flujo operativo ajustado es estable en 680-720 M entre 2023 y 2025 pese a que el beneficio cayó de 602 a 325 M: los deterioros de 2025 (192,8 M) no son caja y las amortizaciones crecieron con Inchcape. El GAAP es engañoso (190 M en 2023, 1.260 M en 2021) porque depende de qué financiera paga el inventario. Restando el capex total (incluidos inmuebles), el FCF es ≈535 M (2023), ≈438 M (2024) y ≈429 M (2025) (cálculo propio), frente a 1.277 M de compras en 2024 y 555 M de recompras en 2025: la empresa gasta en compras y recompras más de lo que genera y la diferencia sale de la deuda. Capex de mantenimiento según la empresa (capex no discrecional): 113 M (2022), 139 M (2023) y ≈179 M (2024), en torno al 0,9 % de las ventas; el resto es compra de inmuebles de concesionarios ya existentes, que la empresa trata como discrecional.</w:t>
      </w:r>
    </w:p>
    <w:p>
      <w:pPr>
        <w:pStyle w:val="Heading1"/>
      </w:pPr>
      <w:r>
        <w:t xml:space="preserve">9. Calidad contable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1,0 % · </w:t>
      </w:r>
      <w:r>
        <w:rPr>
          <w:b/>
          <w:bCs/>
        </w:rPr>
        <w:t xml:space="preserve">WACC</w:t>
      </w:r>
      <w:r>
        <w:t xml:space="preserve">: 7,6 %.</w:t>
      </w:r>
    </w:p>
    <w:p>
      <w:pPr>
        <w:spacing w:after="100"/>
      </w:pPr>
      <w:r>
        <w:t xml:space="preserve">Group 1 crea valor, pero menos que en el pico: el ROIC del motor (NOPAT entre capital invertido sin floorplan) pasó del 17 % en 2021 a ≈11 % en 2025, con un WACC del 7,6 %; el diferencial es de unos 3-4 puntos, por debajo de los 5 que pedimos para comprar. Lo ha movido el margen (el beneficio bruto por coche baja desde 2022) y las compras grandes (Inchcape), que rinden menos que el negocio antiguo: Reino Unido apenas ganó dinero antes de impuestos en 2024 [5]. El ROE (≈12 % contable en 2025, ≈19 % ajustado) está apalancado por la deuda y por las recompras (−30 % de acciones desde 2021).</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3.199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4.499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164,5 M a 30-jun-2026 [20], más lo depositado en la cuenta de compensación del floorplan (504,2 M a dic-2025 [1]) y lo no dispuesto del revolving (importe a jun-26 no confirmado). Un resumen de prensa de la conferencia del 1T26 cita 714,3 M de liquidez a 31-mar-2026 (TipRanks, no leído en la fuente primaria). Apalancamiento ajustado por alquileres (definición de la empresa) 3,3x a 30-jun-2026; la dirección espera seguir por debajo de 4x al cerrar Hennessy y volver al objetivo a mediados o finales de 2027 [44] [49].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El floorplan es el gran pasivo que no aparece como deuda financiera: 1.915,8 M a dic-2025 (1.083,5 no comercial + 832,3 de financieras de marca) y 2.181,2 M a jun-2026, frente a existencias de 2.741,3 y 2.759,6 M [1] [20]. Financia casi todo el inventario de coches nuevos y paga intereses variables (101,5 M en 2025 [1]). Pasivos por arrendamientos operativos de 255,0 M en 2025 [1], fuera del puente por US GAAP. En 2025 las adquisiciones incluyeron la devolución del floorplan de los vendedores (51,2 M) [1]. Covenants del revolving, garantías, pensiones del Reino Unido y litigios: no leídos (hueco).</w:t>
      </w:r>
    </w:p>
    <w:p>
      <w:pPr>
        <w:pStyle w:val="Heading1"/>
      </w:pPr>
      <w:r>
        <w:t xml:space="preserve">12. Asignación de capital</w:t>
      </w:r>
    </w:p>
    <w:p>
      <w:pPr>
        <w:pStyle w:val="Confianza"/>
        <w:spacing w:after="100"/>
      </w:pPr>
      <w:r>
        <w:t xml:space="preserve">Confianza: Baja</w:t>
      </w:r>
    </w:p>
    <w:p>
      <w:pPr>
        <w:spacing w:after="100"/>
      </w:pPr>
      <w:r>
        <w:t xml:space="preserve">Prioriza recompras: 210,6 M (2021), 521,2 M (2022), 172,8 M (2023), 161,6 M (2024) y 554,8 M (2025), ≈1.621 M en cinco años frente a ≈124 M de dividendos [9] [35] [31] [34] [29]; en 2025 compró ≈10,1 % de las acciones [2] y en el 1T26 otro 1,7 % [19]; a 30-jun-2026 quedaban 306,3 M autorizados [16]. Acciones en circulación 11,92 M a 24-jul-2026 [20]. Dividendo trimestral creciente y pequeño (pago ≈8 % del beneficio 2025): 1,33 USD (2021) → 2,00 USD (2025), 0,55 por trimestre en 2026 [41]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minorista de Inchcape en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 el segmento R. U. a 4.161,5 M de ingresos en 2024 y ≈5.945 M en 2025 [1, 5]; en 2024 R. U. apenas ganó dinero antes de impuestos (≈7 M, estimación por resta, con 16,7 M de reestructuración) [5]. Récord trimestral de margen bruto británico en 1T26 (230,6 M) [19]. Caja total pagada en adquisiciones en 2024: 1.276,8 M [1] (incluye otras compras).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concesionarios de Hennessy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Bonos: 625 M al 6,250 % (2032) y 625 M al 6,625 % (2035), cerrados el 22-sep-2026, más caja; antes, préstamo puente a 364 días [40] [49].</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concesionarios y un centro de chapa en Atlanta, ≈1.700 M de ingresos anuales; precio ≈1.300 M con inmuebles; cierre previsto antes de fin de 2026 [48]. La empresa prevé vender concesionarios en el 3T y 4T26 para reducir deuda [49].</w:t>
            </w:r>
          </w:p>
        </w:tc>
      </w:tr>
    </w:tbl>
    <w:p>
      <w:pPr>
        <w:spacing w:after="160" w:before="0"/>
      </w:pP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Daryl A. Kenningham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Group 1 en 2011 como vicepresidente regional; presidente de las operaciones de EE. UU. y Brasil (2019-2022), director de operaciones y presidente desde agosto de 2022 y CEO desde el 1 de enero de 2023, en una sucesión anunciada con cuatro meses de antelación [45, 57]. Con él la compañía compró unos 3.900 millones de USD de ventas anuales en 2024 y unos 640 millones en 2025, y recompró el 10,1 % del capital en 2025 [3, 120]; el BPA diluido del 2T26 cayó a 8,62 USD desde 10,82 USD [16]. Participación (estimación propia): 32.159 acciones directas y 34.795 indirectas tras las donaciones de febrero de 2026 [115], sobre 11.872.577 acciones en circulación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J. McHenry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sénior y director financiero (CFO); desde mayo de 2026 también presidente y CEO del negocio en Reino Unido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el 15 de agosto de 2020; antes, director financiero de la filial británica desde 2007 (llegó con la compra de Chandlers BMW) y cinco años en KPMG Reino Unido [103]. Desde el 19 de mayo de 2026 dirige además el negocio británico sin dejar la dirección financiera, a las órdenes de Kenningham [96]. Tiene 51 años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L. Szews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consejero delegado de Oshkosh Corporation; consejero independiente desde 2016 y presidente no ejecutivo desde 2023 [45, 116].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Gillian A. Hobson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Vicepresidenta sénior, directora jurídica y secretaria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Llegó en enero de 2023 desde Vinson &amp; Elkins, donde trabajó 22 años en fusiones, mercado de capitales y gobierno corporativo, formó parte de su comité de dirección y era la abogada de referencia de Group 1 [117].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del plan anual de incentivos: beneficio neto ajustado de operaciones continuadas de 528 millones de USD (umbral 423; máximo 582)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525 millones reportados; 542 millones tras el ajuste del comité por el alza no presupuestada de cotizaciones sociales y salario mínimo en Reino Unido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Reestructuración en Reino Unido: unos 22 millones de GBP de ahorro (plantilla, flota de demostración, cierres y compras)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millones de GBP de ahorro acumulado a comienzos de 2025 [107]; 28,4 millones de USD de cargos en 2025, nuevo plan en octubre de 2025 y más medidas previstas para 2026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Ahorro anualizado de 50 millones de USD en EE. UU. (700 puestos y proveedores) y 200 pb de mejora del SG&amp;A sobre margen bruto [108]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SG&amp;A ajustado de EE. UU. del 66,4 % del margen bruto en el 2T26 [16], frente al 70,5 % del 1T26 [118]; ejercicio aún en curso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Group 1 no publica previsiones de beneficio; sus compromisos verificables son objetivos de costes y los del plan de incentivos. En 2025 el beneficio ajustado se quedó en 525 millones, justo por debajo del objetivo de 528, y el comité lo elevó a 542 para el cálculo del bonus [45]: es una discrecionalidad a favor de la dirección. La reestructuración británica ha exigido rondas sucesivas [3, 107]. El equipo es estable y de la casa: CEO con 15 años en el grupo y CFO desde 2007 [45, 103]; la sucesión de 2022 se anunció con antelación [57]. La acumulación de funciones del CFO, que desde mayo de 2026 dirige también Reino Unido [96], concentra riesgo de persona clave. El 2T26 decepcionó y la acción cayó [119].</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L. Szews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Daryl A. Kenningham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Carin M. Barth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Finanzas y Riesgos; Gobierno y Responsabilidad Corporativa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C. Mizell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Recursos Humanos; Gobierno y Responsabilidad Corporativa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Lincoln Pereira Filho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Finanzas y Riesgos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D. Quinn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P. Stanbrook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 Taylor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MaryAnn Wright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Responsabilidad Corporativa (presidenta); Remuneración y Recursos Humanos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C. Kimbell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Benjamin Hart (desde el 1-11-2026)</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Lincoln Pereira Filho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97,0 %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97,79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1.961.862 acciones según el 13G de marzo de 2025 recogido en el proxy de 2026 [45]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Conifer Management (fondos Acacia)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activista amistoso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Pasó del 13G pasivo al 13D con el 9,7 % el 20-8-2026 y subió al 15,4 % el 25-9-2026 [101, 102, 113]; 1.912.290 acciones tras las compras del 28-30 de septiembre [106]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Grupo 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12,5 % en el proxy [45]; tras su reorganización de enero de 2026 declara por separado: Vanguard Portfolio Management 6,0 % y Vanguard Capital Management 5,08 % a 31-3-2026 [111, 112]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(CEO)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Kenningham: 66.954 acciones directas e indirectas tras donar 24.625 en febrero de 2026 (estimación propia sobre [115] y [45])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Conifer Management (accionista &gt;10 %)</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Conifer Management (accionista &gt;10 %), acumulado de 62 compras en 12 meses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89,50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cobró 11,12 millones de USD en 2025: 1,3 de fijo, 1,99 de bonus y unos 7,0 en acciones, tras subir el comité su incentivo a largo plazo desde unos 5,0 millones; ratio de 204 a 1 frente al empleado mediano [45, 123]. El bonus pondera un 80 % el beneficio neto ajustado (objetivo 528 millones) y un 20 % objetivos en Reino Unido, cumplidos al 94 % [45]. Las acciones por desempeño de 2025 miden dos años: 50 % BPA ajustado acumulado (objetivo 84 USD) y 50 % rentabilidad total relativa frente a Lithia, AutoNation, Sonic, Penske y Asbury, con tres años de permanencia [45]; en 2023 la mitad medía el ROIC [110]. Indemnización: 1,5 veces fijo más bonus objetivo, 2,0 con cambio de control [95]. El voto consultivo logró en torno al 98 % en 2023-2024 y al 97 % en 2025 [30, 33, 45].</w:t>
      </w:r>
    </w:p>
    <w:p>
      <w:pPr>
        <w:pStyle w:val="Heading2"/>
      </w:pPr>
      <w:r>
        <w:t xml:space="preserve">Operaciones vinculadas, estructura de control y defensas</w:t>
      </w:r>
    </w:p>
    <w:p>
      <w:pPr>
        <w:spacing w:after="100"/>
      </w:pPr>
      <w:r>
        <w:t xml:space="preserve">Una sola clase de acciones, consejo elegido entero cada año y mayoría de votos emitidos para elegir consejeros [97, 122]. Desde mayo de 2026 el 25 % del capital puede convocar una junta extraordinaria [97]. No hay accionista de control: Conifer (15,4 %) [102] firmó en septiembre de 2026 un acuerdo con </w:t>
      </w:r>
      <w:r>
        <w:rPr>
          <w:i/>
        </w:rPr>
        <w:t xml:space="preserve">standstill</w:t>
      </w:r>
      <w:r>
        <w:t xml:space="preserve">, voto a favor del consejo y tope del 19 % salvo dispensa de los fabricantes, a cambio de un consejero (Benjamin Hart) mientras conserve el 5 % [98, 99, 114]. Las franquicias de los fabricantes limitan de hecho los cambios de control. En 2015 desclasificar el consejo exigía el 80 % del capital [124]. El consejo pasó a diez miembros con Dave Kimbell, ex CEO de Ulta Beauty, en agosto de 2026 [100], y a once con Hart [98]. Pereira cobró como directivo en Brasil hasta su venta en 2022 [110, 121].</w:t>
      </w:r>
    </w:p>
    <w:p>
      <w:pPr>
        <w:pStyle w:val="Heading2"/>
      </w:pPr>
      <w:r>
        <w:t xml:space="preserve">Señales de alerta</w:t>
      </w:r>
    </w:p>
    <w:p>
      <w:pPr>
        <w:pStyle w:val="ListParagraph"/>
        <w:numPr>
          <w:ilvl w:val="0"/>
          <w:numId w:val="2"/>
        </w:numPr>
        <w:spacing w:after="60"/>
      </w:pPr>
      <w:r>
        <w:t xml:space="preserve">Conifer Management pasó del 9,7 % al 15,4 % en cinco semanas (agosto-septiembre de 2026) y entra en el consejo el 1 de noviembre; compró en torno a 275 USD por acción [102, 104, 106], frente a los 413 USD de precio medio de las recompras de 2025 [3].</w:t>
      </w:r>
    </w:p>
    <w:p>
      <w:pPr>
        <w:pStyle w:val="ListParagraph"/>
        <w:numPr>
          <w:ilvl w:val="0"/>
          <w:numId w:val="2"/>
        </w:numPr>
        <w:spacing w:after="60"/>
      </w:pPr>
      <w:r>
        <w:t xml:space="preserve">El comité de remuneración elevó el beneficio ajustado de 525 a 542 millones de USD para pagar el bonus de 2025 por encima del objetivo [45].</w:t>
      </w:r>
    </w:p>
    <w:p>
      <w:pPr>
        <w:pStyle w:val="ListParagraph"/>
        <w:numPr>
          <w:ilvl w:val="0"/>
          <w:numId w:val="2"/>
        </w:numPr>
        <w:spacing w:after="60"/>
      </w:pPr>
      <w:r>
        <w:t xml:space="preserve">El director financiero acumula desde mayo de 2026 la dirección del negocio británico [96]: concentración de funciones y menor separación entre quien gestiona y quien informa.</w:t>
      </w:r>
    </w:p>
    <w:p>
      <w:pPr>
        <w:pStyle w:val="ListParagraph"/>
        <w:numPr>
          <w:ilvl w:val="0"/>
          <w:numId w:val="2"/>
        </w:numPr>
        <w:spacing w:after="60"/>
      </w:pPr>
      <w:r>
        <w:t xml:space="preserve">Lincoln Pereira Filho, presidente de la comisión de Finanzas y Riesgos, fue empleado del grupo en Brasil hasta 2022 [110, 121]; no se ha verificado cómo lo clasifica el proxy de 2026.</w:t>
      </w:r>
    </w:p>
    <w:p>
      <w:pPr>
        <w:pStyle w:val="ListParagraph"/>
        <w:numPr>
          <w:ilvl w:val="0"/>
          <w:numId w:val="2"/>
        </w:numPr>
        <w:spacing w:after="60"/>
      </w:pPr>
      <w:r>
        <w:t xml:space="preserve">Stephen D. Quinn lleva en el consejo desde 2002 (24 años) y MaryAnn Wright desde 2014 [45]; antes de 2026, las últimas incorporaciones fueron Stanbrook (2019) y Mizell (2021) [45, 109].</w:t>
      </w:r>
    </w:p>
    <w:p>
      <w:pPr>
        <w:pStyle w:val="ListParagraph"/>
        <w:numPr>
          <w:ilvl w:val="0"/>
          <w:numId w:val="2"/>
        </w:numPr>
        <w:spacing w:after="60"/>
      </w:pPr>
      <w:r>
        <w:t xml:space="preserve">Sin ventas de acciones en mercado abierto de consejeros o directivos en los últimos 12 meses: solo retenciones fiscales y donaciones (Kenningham, febrero de 2026; DeLongchamps, septiembre de 2026) [104, 105, 115].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 vía Stock Analysis, 12 analistas, BPA ajustado; rango de BPA 36,75-40,45 e ingresos 21.500-22.900 M USD [128]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 vía Stock Analysis, BPA ajustado [128]; Zacks Research da 44,48 USD [131]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 Research (una sola casa), recogido por MarketBeat en agosto de 2026 [131]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 2 /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232,00 – 450,00</w:t>
            </w:r>
          </w:p>
        </w:tc>
      </w:tr>
    </w:tbl>
    <w:p>
      <w:pPr>
        <w:spacing w:after="160" w:before="0"/>
      </w:pPr>
    </w:p>
    <w:p>
      <w:pPr>
        <w:pStyle w:val="Heading2"/>
      </w:pPr>
      <w:r>
        <w:t xml:space="preserve">Revisiones de estimaciones</w:t>
      </w:r>
    </w:p>
    <w:p>
      <w:pPr>
        <w:spacing w:after="100"/>
      </w:pPr>
      <w:r>
        <w:t xml:space="preserve">Tendencia de recortes. Tras el 2T26 (BPA ajustado de 9,61 USD frente a 10,60 esperados e ingresos un 5,6 % menores [16, 131]), el consenso de BPA 2026 de Simply Wall St bajó de 42,82 a 40,31 USD [132]; a principios de octubre Stock Analysis lo situaba en 38,76 USD, un 4,8 % por debajo del BPA ajustado de 2025 (40,71 USD) [128]. Entre el 5 y el 7 de octubre de 2026 Morgan Stanley rebajó a infraponderar con objetivo de 232 USD (antes 300) [133], JPMorgan bajó el objetivo de 275 a 260 USD (neutral) [129], UBS de 330 a 271 USD (neutral) [134], Evercore ISI de 360 a 330 USD (sobreponderar) [135] y Barclays de 365 a 320 USD (sobreponderar) [129]. El objetivo medio pasó de 360,25 USD (MarketBeat, 30-sep) [136] a 331,25 USD (MarketBeat, 8-oct) [130].</w:t>
      </w:r>
    </w:p>
    <w:p>
      <w:pPr>
        <w:pStyle w:val="Heading1"/>
      </w:pPr>
      <w:r>
        <w:t xml:space="preserve">16. Comportamiento en bolsa</w:t>
      </w:r>
    </w:p>
    <w:p>
      <w:pPr>
        <w:pStyle w:val="Confianza"/>
        <w:spacing w:after="100"/>
      </w:pPr>
      <w:r>
        <w:t xml:space="preserve">Confianza: Baja</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0,82</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w:t>
            </w:r>
          </w:p>
        </w:tc>
      </w:tr>
    </w:tbl>
    <w:p>
      <w:pPr>
        <w:spacing w:after="160" w:before="0"/>
      </w:pP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1"/>
      </w:pPr>
      <w:r>
        <w:t xml:space="preserve">18. Comparables cotizados</w:t>
      </w:r>
    </w:p>
    <w:p>
      <w:pPr>
        <w:pStyle w:val="Confianza"/>
        <w:spacing w:after="100"/>
      </w:pPr>
      <w:r>
        <w:t xml:space="preserve">Confianza: Baja</w:t>
      </w:r>
    </w:p>
    <w:p>
      <w:pPr>
        <w:spacing w:after="100"/>
      </w:pPr>
      <w:r>
        <w:t xml:space="preserve">Grupos de concesionarios franquiciados cotizados en EE. UU. y Reino Unido (AutoNation, Penske, Lithia, Asbury, Sonic, Inchcape); CarMax (solo usados) y Rush (camiones) como referencia lejana.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Group 1</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AutoNation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Penske Automotive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Lithia Motors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Asbury Automotive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Sonic Automotive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CarMax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Inchcape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Rush Enterprises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50"/>
        <w:gridCol w:w="1056"/>
        <w:gridCol w:w="1188"/>
        <w:gridCol w:w="1188"/>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 / 8,7x / 10,7x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457,40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22.158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 / 0,4x / 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356,57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0" name="Gráfico 20"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Las cifras son de proveedores y fechas distintas (MarketScreener, Yahoo, ValueInvesting.io; principios de octubre de 2026 en su mayoría) y el PER es el del ejercicio en curso de cada proveedor [142, 143, 144, 145, 146, 147, 148, 149, 150, 151, 152, 153, 154]. La mediana del PER de los concesionarios es de 8,7x (7,3x-11,5x) y Group 1 cotiza a 5,4x el BPA de consenso de los próximos 12 meses: el descuento frente al sector (≈38 %) es mayor que el habitual (10-25 %). Penske tiene encima una oferta de su accionista de control a 210 USD, que sostiene su múltiplo [146].</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Pendragon: negocio de concesionarios en Reino Unido y alquiler de flotas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Lithia Motors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oferta de 280 M GBP, mejorada un 42 % hasta 397 M GBP en efectivo, más la deuda neta bancaria y las pensiones de Pendragon que asume Lithia; no se publicó el VE total ni el múltiplo [159]. Lithia dice que paga 3-7 veces el EBITDA normalizado en sus compras.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Jim Koons Dealerships (20 concesionarios, Washington-Baltimore)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Asbury Automotive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1.504,5 M USD en efectivo, incluida la financiación de inventario [156]. VE/ventas: estimación propia sobre los 2.810 M USD de ingresos que aportó en 2024 [156].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Inchcape Retail (54 concesionarios en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Group 1 Automotive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de 517,0 M USD con inmuebles [1]; al anunciarse se habló de 439 M USD, de los que 279 M eran inmuebles tasados [158]. VE/ventas: estimación propia sobre unos 2.700 M USD de ingresos de 2023 [158].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Herb Chambers Companies (33 concesionarios, Nueva Inglaterra)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Asbury Automotive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1.340 M USD: 750 de fondo de comercio y 590 de inmuebles [156]. VE/ventas: estimación propia sobre 2.900 M USD de ingresos de 2024 [157].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Hennessy Automobile Companies (10 concesionarios en Atlanta, 75 % de lujo)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Group 1 Automotive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1.300 M USD, financiados con deuda nueva y crédito puente; cierre previsto antes de fin de 2026 [61]. VE/ventas: estimación propia sobre 1.700 M USD de ingresos anuales esperados [61].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Penske Automotive Group (27,4 % en manos de minoritarios)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Penske Corporation y Mitsui &amp; 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Propuesta no vinculante a 210 USD por acción: 3.800 M USD por los minoritarios, unos 13.800 M USD de capital al 100 %. Prima del 19,3 % y del 25,4 % sobre la media ponderada de 60 y 90 sesiones [146]. Comité especial con Moelis [147]. Se excluye del cálculo: no es una compra de control.</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551,59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351,93 – 728,04</w:t>
            </w:r>
          </w:p>
        </w:tc>
      </w:tr>
    </w:tbl>
    <w:p>
      <w:pPr>
        <w:spacing w:after="160" w:before="0"/>
      </w:pPr>
    </w:p>
    <w:p>
      <w:pPr>
        <w:spacing w:after="100"/>
      </w:pPr>
      <w:r>
        <w:t xml:space="preserve">Los grupos pagan por concesionarios privados </w:t>
      </w:r>
      <w:r>
        <w:rPr>
          <w:b/>
        </w:rPr>
        <w:t xml:space="preserve">0,5-0,8 veces las ventas, inmuebles incluidos</w:t>
      </w:r>
      <w:r>
        <w:t xml:space="preserve"> (Koons, Herb Chambers, Hennessy), y menos por el negocio británico (0,2x en Inchcape Retail), de márgenes más finos. No se publican múltiplos de EBITDA: Lithia habla de 3-7 veces el EBITDA normalizado [159] y Haig sitúa el fondo de comercio medio por concesionario en 18,2 M USD [160]. La oferta sobre Penske (210 USD) indica que los accionistas de control ven valor por encima del mercado. Group 1 no tiene accionista de control y, a 2.840 M USD de capitalización, es asequible para un comprador estratégico o un fondo, aunque no hay indicios de interés.</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2026e plano (+0,1 %): el 1S26 cae un 3 % y el 2S26 suma un trimestre de Hennessy; el consenso da 22.240 M [128]. 2027e +7,1 %: Hennessy (≈1.700 M anuales) [48] y un 1-2 % orgánico. 2028e +2,9 % (el último trimestre de Hennessy y un 2 % orgánico). Después, 2,5 % hasta 2031e y 2 % al final: inflación de precios y algo de posventa, sin más compras (la empresa compra cada año, pero se financian con deuda y no se pueden proyectar sin su coste).</w:t>
      </w:r>
    </w:p>
    <w:p>
      <w:pPr>
        <w:keepNext/>
        <w:spacing w:after="100"/>
      </w:pPr>
      <w:r>
        <w:rPr>
          <w:b/>
          <w:bCs/>
        </w:rPr>
        <w:t xml:space="preserve">Márgenes.</w:t>
      </w:r>
    </w:p>
    <w:p>
      <w:pPr>
        <w:spacing w:after="100"/>
      </w:pPr>
      <w:r>
        <w:t xml:space="preserve">Margen EBITDA neto de los intereses del floorplan: ≈4,3 % en 2025 sin extraordinarios (1.076 M de EBITDA ajustado − 101,5 M de floorplan) [1, 2]. 2026e 3,95 % (1S26 más flojo, recorte de costes de 50 M ya hecho [16]); 4,05-4,15 % en 2027-28e con Hennessy y la mejora británica; desde 2029e vuelve medio punto, hasta el 3,7 %, porque el beneficio bruto por coche nuevo sigue normalizándose hacia el de antes de la pandemia (≈3,4 % de margen comparable en 2019).</w:t>
      </w:r>
    </w:p>
    <w:p>
      <w:pPr>
        <w:keepNext/>
        <w:spacing w:after="100"/>
      </w:pPr>
      <w:r>
        <w:rPr>
          <w:b/>
          <w:bCs/>
        </w:rPr>
        <w:t xml:space="preserve">Inversión y circulante.</w:t>
      </w:r>
    </w:p>
    <w:p>
      <w:pPr>
        <w:spacing w:after="100"/>
      </w:pPr>
      <w:r>
        <w:t xml:space="preserve">Capex del 1,0 % de las ventas hasta 2028e (270 M en 2025, el 1,2 %, con renovación de instalaciones) y 0,8 % después; amortización del 0,55 %. Circulante del 3 % de las ventas: existencias menos floorplan (2.741 − 1.916 M en 2025 = 3,7 %) [1].</w:t>
      </w:r>
    </w:p>
    <w:p>
      <w:pPr>
        <w:keepNext/>
        <w:spacing w:after="100"/>
      </w:pPr>
      <w:r>
        <w:rPr>
          <w:b/>
          <w:bCs/>
        </w:rPr>
        <w:t xml:space="preserve">Coste del capital.</w:t>
      </w:r>
    </w:p>
    <w:p>
      <w:pPr>
        <w:spacing w:after="100"/>
      </w:pPr>
      <w:r>
        <w:t xml:space="preserve">Tasa libre del 5,22 % (bono a 10 años del 13-oct) [155], beta 0,90 (0,82-0,92 según la fuente) [27, 127], prima de mercado del 5,5 % y 1 punto adicional por ciclo, tamaño y deuda creciente. Coste de la deuda del 6,2 % (bonos de septiembre al 6,25-6,625 %) [40]. Peso de la deuda del 55 % (≈4.500 M frente a 2.763 M de capitalización, ya con Hennessy). WACC del 7,57 %.</w:t>
      </w:r>
    </w:p>
    <w:p>
      <w:pPr>
        <w:keepNext/>
        <w:spacing w:after="100"/>
      </w:pPr>
      <w:r>
        <w:rPr>
          <w:b/>
          <w:bCs/>
        </w:rPr>
        <w:t xml:space="preserve">Valor terminal.</w:t>
      </w:r>
    </w:p>
    <w:p>
      <w:pPr>
        <w:spacing w:after="100"/>
      </w:pPr>
      <w:r>
        <w:t xml:space="preserve">Crecimiento a perpetuidad del 2,0 % (inflación, sin cuota adicional). El valor terminal pesa un 60 %. El múltiplo de salida de contraste (7x EBITDA) daría menos: es el de un sector que el mercado paga barato.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400,53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354,91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873,55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1.039,48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1.130,71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 M (13 %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 (hoy: 1,2 %)</w:t>
            </w:r>
          </w:p>
        </w:tc>
      </w:tr>
    </w:tbl>
    <w:p>
      <w:pPr>
        <w:spacing w:after="160" w:before="0"/>
      </w:pPr>
    </w:p>
    <w:p>
      <w:pPr>
        <w:spacing w:after="100"/>
      </w:pPr>
      <w:r>
        <w:t xml:space="preserve">La proyección apenas necesita inversión neta de la amortización (reinversión acumulada de 847 M, el 13 % del NOPAT, con un capex bruto medio del 0,9 % de las ventas). En un negocio de activos ligeros, el crecimiento medio del 2,6 % tiene que salir de subir precios y de ganar volumen sin capital nuevo, y la prueba es el poder de precios y la cuota (1,7 % del mercado en 2035e, frente al 1,2 %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−2,5 % (coches nuevos en EE. UU. de 16,2 a 16,1 M y menos usados por asequibilidad [62, 70]); precio +1,5 %; otros +1,1 % (un trimestre de Hennessy y libra más fuerte).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+0,5 % y precio +1,5 %; otros +5,1 % = Hennessy (≈1.700 M de ventas anuales sobre 22.600) [48], menos las ventas de concesionarios que la empresa prevé hacer para reducir deuda (no cuantificadas).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+0,5 %, precio +1,5 % y el resto de Hennessy (+0,9 %).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+1 % (posventa, que crece ≈5 % en el sector [68]) y precio +1,5 %.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2029e.</w:t>
            </w:r>
          </w:p>
        </w:tc>
      </w:tr>
    </w:tbl>
    <w:p>
      <w:pPr>
        <w:spacing w:after="160" w:before="0"/>
      </w:pPr>
    </w:p>
    <w:p>
      <w:pPr>
        <w:spacing w:after="100"/>
      </w:pPr>
      <w:r>
        <w:t xml:space="preserve">Sí. El crecimiento proyectado (2,6 % anual de 2026e a 2035e) sale casi entero de Hennessy, ya pagada con los bonos de septiembre, y del precio; el volumen crece menos que el mercado de EE. UU. desde 2019 (2,1 % anual en unidades) [64, 68]. La cuota implícita baja del 1,7 % al ≈1,7-1,8 % de las ventas de los concesionarios franquiciados (&gt;1,3 billones USD en EE. UU. más el Reino Unido) [68]: no exige ganar cuota. La reinversión (capex y circulante) es del 13 % del NOPAT, coherente con un negocio que crece con la inflación. El riesgo no es el crecimiento sino el margen: por eso baja hasta el 3,7 % en el terminal.</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 (base: 2,8 %)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 (base: 3,7 %)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 (WACC: 7,6 %)</w:t>
            </w:r>
          </w:p>
        </w:tc>
      </w:tr>
    </w:tbl>
    <w:p>
      <w:pPr>
        <w:spacing w:after="160" w:before="0"/>
      </w:pPr>
    </w:p>
    <w:p>
      <w:pPr>
        <w:spacing w:after="100"/>
      </w:pPr>
      <w:r>
        <w:t xml:space="preserve">El DCF da 400,53 USD por acción (+73 % sobre 231,59), con un WACC del 7,57 % y un valor terminal del 60 %. El rango de sensibilidad (WACC y crecimiento ± 0,5 puntos) va de 305,55 a 536,04 USD: el precio queda por debajo incluso del extremo bajo. El DCF inverso dice que a 231,59 USD el mercado descuenta un margen EBITDA del 3,1 % para siempre (el 3,7 % del caso base, y ≈4,3 % hoy) o que las ventas caigan un 1,6 % al año de 2027 a 2035. Es lo que el mercado suele pagar por los concesionarios: un negocio cíclico, con deuda y con el beneficio de pico de 2022 aún bajando. El DCF se fía de un margen que no está garantizado; por eso no manda y la decisión la toma el objetivo a 12 meses.</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Recesión suave en EE. UU. o asequibilidad que no mejora: volumen plano, beneficio bruto por coche nuevo de vuelta a niveles de 2019 y margen EBITDA neto de floorplan del 3,55 % en 2028e. Hennessy se integra peor de lo previsto y la deuda (≈3,3x EBITDA) obliga a frenar recompras.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coches nuevos estable (≈16 M en EE. UU.), Hennessy integrada desde el 4T26, posventa creciendo al 4-5 % y margen del 4,15 % en 2028e; deuda hacia 2,5x en 2028 con las ventas de concesionarios anunciadas.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Bajada de tipos que mejora la asequibilidad, volumen +2-3 % anual y Reino Unido en su mejor margen; margen del 4,45 % en 2028e y recompras con la caja (≈300 M autorizados).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USD) · precio actual 231,5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352,63 USD (+52,3 %).</w:t>
      </w:r>
    </w:p>
    <w:p>
      <w:pPr>
        <w:spacing w:after="100"/>
      </w:pPr>
      <w:r>
        <w:t xml:space="preserve">El DCF da 133,80 USD en el bajista (−42 %), 400,53 en el base y 561,10 en el alcista (+142 %). Con la deuda alta, cada décima de margen mueve mucho el valor: el bajista resta 0,6 puntos de margen y 2,5 de crecimiento y baja el terminal al 1,5 %. Le doy un 30 % porque el sector está en la fase baja del ciclo de márgenes y el consumidor de EE. UU. compra menos; el alcista, un 20 %. El valor ponderado es de 352,63 USD.</w:t>
      </w:r>
    </w:p>
    <w:p>
      <w:pPr>
        <w:pStyle w:val="Heading1"/>
      </w:pPr>
      <w:r>
        <w:t xml:space="preserve">22. Suma de partes</w:t>
      </w:r>
    </w:p>
    <w:p>
      <w:pPr>
        <w:pStyle w:val="Confianza"/>
        <w:spacing w:after="100"/>
      </w:pPr>
      <w:r>
        <w:t xml:space="preserve">Confianza: Baja</w:t>
      </w:r>
    </w:p>
    <w:p>
      <w:pPr>
        <w:spacing w:after="100"/>
      </w:pPr>
      <w:r>
        <w:t xml:space="preserve">No aplica: EE. UU. (74 % de las ventas) y Reino Unido (26 %) no publican resultado comparable de forma separada en las fuentes disponibles, y el inmobiliario propio (concesionarios en propiedad) no tiene tasación publicada.</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USD) · precio actual 231,5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570,96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232,75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378,53 USD (+63,4 % sobre 231,59).</w:t>
      </w:r>
    </w:p>
    <w:p>
      <w:pPr>
        <w:spacing w:after="100"/>
      </w:pPr>
      <w:r>
        <w:t xml:space="preserve">El DCF pesa un 40 %: el negocio genera caja estable fuera del ciclo de márgenes, pero el valor depende mucho del margen terminal. Los comparables pesan un 35 % porque el sector se valora por PER y Group 1 cotiza muy por debajo de sus pares; los escenarios, un 25 % para recoger el riesgo de ciclo. Las transacciones (551,59 USD de mediana) no se usan: son compras de concesionarios privados con prima de control y con inmuebles. Todos los métodos quedan por encima del precio; el valor objetivo es de 378,53 USD. La decisión, sin embargo, la toma el objetivo a 12 meses (PER propio × BPA propio): el valor intrínseco solo se cerrará si el beneficio deja de bajar.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(6.2x) ÷ 1.1 (tope: la mediana de 5 años, 4.2x,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355,53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+54,4 %</w:t>
            </w:r>
          </w:p>
        </w:tc>
      </w:tr>
    </w:tbl>
    <w:p>
      <w:pPr>
        <w:spacing w:after="160" w:before="0"/>
      </w:pPr>
    </w:p>
    <w:p>
      <w:pPr>
        <w:spacing w:after="100"/>
      </w:pPr>
      <w:r>
        <w:rPr>
          <w:b/>
          <w:bCs/>
        </w:rPr>
        <w:t xml:space="preserve">Objetivo a 12 meses (ponderado):</w:t>
      </w:r>
      <w:r>
        <w:t xml:space="preserve"> 219,61 USD · rentabilidad -4,3 % (base -1,5 %) · señal Mantener.</w:t>
      </w:r>
    </w:p>
    <w:p>
      <w:pPr>
        <w:spacing w:after="100"/>
      </w:pPr>
      <w:r>
        <w:t xml:space="preserve">Para comparar, con la regla v2 (historia al cierre, mismo precio): 5,3x / 6,2x / 8,1x, 7,5 % Mantener; con el tope anterior del base (×1,3, 14-oct mediodía): -11,4 % Vender. Decide la regla vigente (v3 con tope ×1,1; METODO-VIGENTE.md).</w:t>
      </w:r>
    </w:p>
    <w:p>
      <w:pPr>
        <w:keepNext/>
        <w:spacing w:after="100"/>
      </w:pPr>
      <w:r>
        <w:rPr>
          <w:b/>
          <w:bCs/>
        </w:rPr>
        <w:t xml:space="preserve">Frente al consenso (solo contraste).</w:t>
      </w:r>
    </w:p>
    <w:p>
      <w:pPr>
        <w:spacing w:after="100"/>
      </w:pPr>
      <w:r>
        <w:t xml:space="preserve">Nuestro base (250,29 USD) queda un 24 % por debajo del objetivo medio de los analistas (331,25 USD; 232-450). La mitad sale del BPA: 40,4 USD en 2028e frente a 49,0 de Zacks (la única casa con 2028e) y 43,8 de consenso en 2027e frente a nuestros 37,3; no contamos recompras no anunciadas (la empresa recompró un 10 % en 2025, lo que solo sumaría ≈4 USD por acción por año) y los intereses suben con los bonos de Hennessy. La otra mitad, del múltiplo: usamos el PER actual (6,2x) porque es menor que la mediana de cinco años (9,6x), mientras los objetivos de los analistas implican 7-8x. Desde octubre, las casas recortan (Morgan Stanley a 232 USD, infraponderar) [128, 130, 133].</w:t>
      </w:r>
    </w:p>
    <w:p>
      <w:pPr>
        <w:keepNext/>
        <w:spacing w:after="100"/>
      </w:pPr>
      <w:r>
        <w:rPr>
          <w:b/>
          <w:bCs/>
        </w:rPr>
        <w:t xml:space="preserve">Del valor intrínseco al objetivo a 12 meses.</w:t>
      </w:r>
    </w:p>
    <w:p>
      <w:pPr>
        <w:spacing w:after="100"/>
      </w:pPr>
      <w:r>
        <w:t xml:space="preserve">Con la regla común, el objetivo ponderado es de 246,78 USD (+7,5 % con el dividendo del 0,9 %) y el base de 250,29 (+9,0 %): Mantener, lejos de los umbrales de compra (15 % y 12 %). La asimetría es pobre (1,9x): el bajista (5,3x × 28,84 = 152,85 USD, −33 %) pesa un 30 %. El valor intrínseco (378,53 USD) está muy por encima del precio, pero cerrarlo exige que el beneficio deje de caer y que el mercado vuelva a pagar el PER medio. Compraríamos por debajo de 216 USD.</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(antes de la apertura) [43]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BPA ajustado vuelve a crecer frente al 3T25 (10,45 USD) y la deuda baja con ventas de concesionarios, el mercado puede revisar el múltiplo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Hennessy (10 concesionarios, ≈1.700 M de ventas) [48]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 ≈2-3 USD de BPA anual con la deuda ya emitida; riesgo de integración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Bajadas de tipos de la Reserva Federal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Mejora la asequibilidad (cuota mensual) y el coste del floorplan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2026 y plan de capital (recompras frente a deuda)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 reanuda las recompras grandes, el BPA crece más que nuestro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del beneficio bruto por coche y asequibilidad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(bajista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Posventa (≈40 % del beneficio bruto) y F&amp;I, menos cíclicos; recorte de costes de 50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bruto por coche nuevo en EE. UU. por debajo de 3.000 USD o gastos generales &gt; 70 % del margen bruto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al alza con Hennessy (≈3,3x EBITDA sin floorplan) y tipos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(menos recompras, más intereses)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Inmuebles en propiedad que respaldan parte de la deuda; venta de concesionarios anunciada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DN/EBITDA por encima de 3,5x a fin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Reino Unido: mandato de eléctricos (ZEV) y márgenes bajos tras Inchcape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de margen bruto británico en el 1T26; reestructuración hecha en 2025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deterioros en Reino Unido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 directa de fabricantes y agencia (modelo sin concesionario)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Pérdida de múltiplo a largo plazo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Leyes estatales de franquicia en EE. UU.; la posventa sigue en el concesionario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Grandes marcas que pasan a agencia en EE. UU.</w:t>
            </w:r>
          </w:p>
        </w:tc>
      </w:tr>
    </w:tbl>
    <w:p>
      <w:pPr>
        <w:spacing w:after="160" w:before="0"/>
      </w:pPr>
    </w:p>
    <w:p>
      <w:pPr>
        <w:pStyle w:val="Heading2"/>
      </w:pPr>
      <w:r>
        <w:t xml:space="preserve">Pre-mortem</w:t>
      </w:r>
    </w:p>
    <w:p>
      <w:pPr>
        <w:spacing w:after="100"/>
      </w:pPr>
      <w:r>
        <w:t xml:space="preserve">Es octubre de 2027 y la acción vale 160 USD. Los tipos no bajaron, el consumidor de EE. UU. siguió comprando menos y el beneficio bruto por coche nuevo volvió al nivel de 2019. Hennessy costó más integrarla de lo previsto y la deuda superó 3,5x el EBITDA, así que se pararon las recompras. El BPA de 2027 se quedó en 29 USD y el mercado siguió pagando 5-6x. La lección: comprar un cíclico apalancado porque «está barato frente a su historia» sin que el beneficio haya tocado fondo.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El asunto que más mueve las cifras es la transición al eléctrico en el Reino Unido: el mandato ZEV pide un 33 % de eléctricos en 2026 frente al 27,4 % previsto por la SMMT [75], en un negocio que perdió 113,2 M USD antes de impuestos en 2025 [29]. El segundo es la conducta en la venta de financiación: la FCA prepara compensaciones por comisiones en créditos de coche [80]. El tercero es la ciberseguridad de los proveedores de software de gestión: AutoNation registró en 2025 60,5 M USD de recuperaciones de seguros por la caída de CDK de 2024, que paralizó a miles de concesionarios [84].</w:t>
      </w:r>
    </w:p>
    <w:p>
      <w:pPr>
        <w:pStyle w:val="Heading2"/>
      </w:pPr>
      <w:r>
        <w:t xml:space="preserve">Controversias</w:t>
      </w:r>
    </w:p>
    <w:p>
      <w:pPr>
        <w:spacing w:after="100"/>
      </w:pPr>
      <w:r>
        <w:t xml:space="preserve">No se ha localizado en las fuentes consultadas ninguna sanción ni litigio relevante de Group 1 en los últimos tres años; la búsqueda específica no pudo completarse (ver huecos), así que esta ausencia no está verificada.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bruto por unidad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¿Dónde ve la dirección el suelo del beneficio bruto por coche nuevo en EE. UU. y cuánto queda de la normalización?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escenario base y el bajista (≈100 USD por acción a 12 meses).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y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apalancamiento objetivo tiene tras Hennessy y cuánto prevé ingresar con la venta de concesionarios? ¿Retoma recompras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explicaron casi todo el crecimiento del BPA desde 2022.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Reino Unido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margen antes de impuestos espera en Reino Unido en 2027 y qué coste le supone el mandato ZEV?</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26 % de las ventas y casi no gana dinero.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 de autor independiente)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a «mantener»: reconoce que la acción está barata frente a sus pares, pero cree que el deterioro de la venta minorista de coches y el aumento de la deuda por Hennessy aún no han tocado fondo [161].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(página del valor y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indicador de sentimiento de la comunidad marca «bajista» tras los resultados del 2T; el hilo gira en torno a la sorpresa negativa en beneficio e ingresos y a la compra de Hennessy [162, 163].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 vía Webull)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de particulares sitúan el valor razonable por encima del precio y ven la caída como exagerada, aunque condicionan la tesis a la competencia de los vendedores solo en línea y al riesgo de integración [164].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MarketBeat (alertas y resumen de la conferencia)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Mínimos anuales sucesivos tras los resultados, con la asequibilidad, la falta de usados para comprar y los cambios de marca como explicación, y un consenso de analistas que se desliza hacia «mantener» [165, 166, 167].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InsiderTrades y Quiver (seguimiento de compras de directivos y accionistas)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comunidad que sigue los Form 4 destaca las compras repetidas en septiembre del mayor accionista externo, leídas como señal de que el valor está en zona de suelo [168, 169].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sectorial (Car Dealer Magazine, Kerrigan Advisors, Hoodline)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sector aplaude la apuesta por Atlanta y la estrategia de agrupar concesionarios por zonas; en el Reino Unido el negocio aguanta mejor que en EE. UU., pero la propia dirección culpa a la asequibilidad del mal trimestre [61, 94, 170].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Asequibilidad y caída de volúmenes en EE. UU.</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respaldan: el comunicado del 2T recoge menos unidades nuevas y usadas, y la dirección cita la asequibilidad como causa principal; el Reino Unido compensa solo en parte [16, 94, 163].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de la compra de Hennessy y pausa de las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 fundamento: la operación se financia con deuda nueva, el apalancamiento supera temporalmente el objetivo de la dirección y esta descartó más recompras hasta cerrarla [16, 61, 171]. La crítica olvida que la compra se paga en parte con desinversiones.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frente a trampa de valor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múltiplos son bajos frente a los pares, pero el beneficio está cayendo: lo barato del precio depende de que el beneficio de 2026-2027 no siga bajando, que es justo lo que el escenario base debe contrastar [161, 164].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del mayor accionista externo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compras constan en los Form 4 del EDGAR [168, 169]; son de un accionista significativo, no de directivos de la empresa, y las cifras exactas deben tomarse de los Form 4, no de los rastreadores.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Recortes de recomendación de los analistas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Varios bancos rebajaron recomendación o precio objetivo tras el 2T [127, 167]: en este caso el particular y el analista van en la misma dirección, sin divergencia que explotar.</w:t>
            </w:r>
          </w:p>
        </w:tc>
      </w:tr>
    </w:tbl>
    <w:p>
      <w:pPr>
        <w:spacing w:after="160" w:before="0"/>
      </w:pPr>
    </w:p>
    <w:p>
      <w:pPr>
        <w:spacing w:after="100"/>
      </w:pPr>
      <w:r>
        <w:t xml:space="preserve">El tono es negativo y ha empeorado desde los resultados del 2T: la conversación se centra en la asequibilidad, la deuda de Hennessy y la pausa de las recompras [161, 162, 165]. No hay euforia ni capitulación clara; hay un grupo minoritario que ve la caída como exagerada [164] y el mayor accionista externo ha comprado con fuerza en septiembre [168]. El sentimiento no contradice a los analistas: ambos se han vuelto más prudentes [127, 167]. Para la decisión aporta dos cosas: el mercado ya descuenta un trimestre flojo, de modo que unos resultados del 3T que solo estabilicen volúmenes y márgenes podrían ser un catalizador, y el riesgo que más pesa en la conversación (deuda y asignación de capital) debe ocupar un lugar alto en los riesgos del informe. Muestra pequeña: Reddit no fue accesible.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20 controles correctos. Fuentes: 171 (75 primarias); citas distintas en el texto: 168.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1,7 % en 2035e frente al 1,2 %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3,0 % frente a 3,7 % real: genera una variación de circulante de -148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-31,8 %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171 fuentes (75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126, 140, 141.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amortizaciones y EBITDA 2016-2019; EBIT y EBITDA 2022; coste de ventas y gastos generales 2016-2019 y 2023; resultado financiero, BAI e impuestos 2016-2023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de resultados de los 10-K 2018, 2020 y 2024 buscadas en sec.gov: la búsqueda devolvió el documento pero no las líneas; 2) notas de resultados del 4T de cada año: solo cifras de cabecera; 3) Stock Analysis y StockTitan: solo ingresos, EBIT y beneficio redondeados; cupo de búsquedas agotado después; 4) segunda pasada: amortizaciones 2020-2024 halladas en los ARS 2022 y 10-K 2024; el EBIT 2022 no aparece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exactos 2016-2023 (se usan cifras redondeadas a 100 M o derivadas del crecimiento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2020 y 2018 en sec.gov por WebSearch: sin la cuenta; 2) notas de resultados: «10.900 M», «11.600 M», «12.000 M»…; 3) derivados del crecimiento publicado (2022, 2023, 2017)</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2024 y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4T24 (solo beneficio ajustado 530,6 M); 2) nota 4T25 (solo el trimestre, 8,49); 3) cupo de búsquedas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trimestral; ingresos exactos de 2T25, 3T25 y 4T25; consenso previo de 2T25, 3T25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8-K de cada trimestre: solo ingresos redondeados; 2) 10-Q 2T26 (columna comparativa): no devuelta; 3) cupo de búsquedas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KPI unitarios (unidades nuevas y usadas, margen bruto por unidad, F&amp;I por unidad, crecimiento de posventa comparable)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2025 y 2T26: los fragmentos no los traen; 2) conferencia del 2T26: solo cabeceras; 3) cupo de búsquedas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por segmento (EE. UU. y R. U.) 2021-2025 y segmentos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segmentos del 10-K 2024: BAI de EE. UU. 2022-2024 y partidas de R. U. 2024; 2) 10-K 2025: solo el aumento de ingresos de EE. UU.; 3) cupo de búsquedas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años y opinión; sección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informe del auditor: sin red; 2) DEF 14A 2026 (ratificación del auditor): sin red; 3) cupo de búsquedas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múltiplo y financiación de Inchcape Reino Unido (2024) y Hennessy (2026); recompras en USD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de las operaciones en sec.gov: sin red; 2) notas de resultados: solo menciones; 3) cupo de búsquedas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(Moody's, S&amp;P), calendario completo de vencimientos, vida media, covenants y holgura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4,000 % 2028 y bonos 2032/2035 en los 8-K: sin rating en los fragmentos; 2) búsqueda de acciones de rating de sep-2026: nada; 3) nota de deuda del 10-K 2025: no devuelta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patrimonio 30-jun-2026 y 2021 (2021 solo de proveedor); vencimientos corrientes 2024 y arrendamientos operativos 2021, 2022 y 2024 (redondeados de proveedor); fondo de comercio, intangibles, inmovilizado, circulante, clientes y proveedores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2T26: fragmentos sin la línea de patrimonio; 2) 10-K 2022: corta antes del patrimonio; 3) proveedores (Stockopedia, edgar.tools) para completar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FCF ajustado 2025, flujo operativo ajustado 2021, capex 2021-2022 y 2024-2025 del propio estado de flujos, principal de arrendamientos financieros, flujos del 1S26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4T25 y conferencia: sin cifras de caja en los fragmentos; 2) proxy 2026: solo flujo operativo ajustado (699,2) e inversión ajustada (647,7); 3) 10-K 2025 y 10-Q 2T26: tabla cortada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diluidas medias oficiales 2021-2025 (se usan beneficio / BPA)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no buscado por cupo; 2) notas 4T: no devuelven la línea; 3) cupo de búsquedas casi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 (cuota de los cinco mayores grupos)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Automotive News Top 150 2026: da unidades totales por grupo (nuevos y usados) y la cuota de los diez primeros en nuevos (11,1 %), no la de los cinco; 2) NADA Data: no publica concentración; 3) derivarlo con las unidades del Top 150 no es válido porque mezcla nuevos y usados (la suma de cinco superaría a la de diez). cupo de búsquedas web del turno agotado tras ~30 búsquedas compartidas; sin red para EDGAR ni webs (solo WebSearch).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tcac_previsto_pct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Cox Automotive: solo previsión de 2026 (16,1 M); 2) NADA: sin previsión a cinco años; 3) no hay serie a cinco años en fuentes accesibles.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Aranceles a la importación de vehículos, tipos de los créditos y modelo de agencia en el Reino Unido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Cox Automotive sobre aranceles y asequibilidad: no ejecutada; 2) búsqueda SMMT/AM sobre agencia: no ejecutada; 3) cupo de búsquedas web del turno agotado tras ~30 búsquedas compartidas; sin red para EDGAR ni webs (solo WebSearch).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de F&amp;I y de usados en dólares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NADA Data 2025: el resumen da el reparto (nuevos 54,9 %, usados 31,8 %, posventa 13,3 %) pero no las cifras; 2) Cox Automotive: sin cifra cerrada de usados de 2025; 3) cupo de búsquedas web del turno agotado tras ~30 búsquedas compartidas; sin red para EDGAR ni webs (solo WebSearch).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operativo contable de CarMax, Asbury y Sonic; cuota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resultados del 4T25: los resúmenes no dan el resultado operativo contable (Asbury solo el ajustado, 5,6 %); 2) búsqueda conjunta en Stock Analysis y 10-K: sin resultado; 3) cupo de búsquedas web del turno agotado tras ~30 búsquedas compartidas; sin red para EDGAR ni webs (solo WebSearch). Cuotas no calculables con el mismo criterio (los grupos mezclan EE. UU., Reino Unido y Canadá).</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 (MSCI, Sustainalytics, ISS, CDP) y controversias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de Group 1: no accesible sin red; 2) búsqueda MSCI/Sustainalytics: no ejecutada; 3) cupo de búsquedas web del turno agotado tras ~30 búsquedas compartidas; sin red para EDGAR ni webs (solo WebSearch).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voto_remuneracion_contra_pct (junta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del 8-K de 12-5-2026 (Item 5.07): el extracto se corta antes del recuento; 2) búsqueda de la cifra de votos a favor (9.687.409) y del resumen de StockTitan: sin votos en contra; 3) búsqueda en el proxy y en prensa de los porcentajes de 2024-2026: solo el «a favor» aproximado (98 % y 97 %)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voto_remuneracion_pct = 97 (junta de 2025, el más bajo de las tres últimas según los proxies). Estimación propia para 2026: 9.687.409 votos a favor sobre unos 9,94 millones emitidos (≈97,4 %) [97]</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cláusula de recuperación (clawback)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 el proxy 2026 de «clawback policy»; 2) búsqueda de métricas del incentivo a largo plazo con «clawback»; 3) búsqueda en el 10-K 2025 (anexos): sin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clasificación de Lincoln Pereira Filho y consejero coordinador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la determinación de independencia en los proxies 2021-2023; 2) búsqueda en el proxy 2026 de las comisiones y la tabla de consejeros; 3) búsqueda de operaciones vinculadas con Pereira: solo las de 2021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clasifica como «Otro externo» por prudencia y consejero_coordinador = null (el presidente ya es independiente)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del CFO y del presidente; participación del conjunto de consejeros y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la tabla de propiedad del proxy 2026; 2) búsqueda de Form 4 recientes por nombre; 3) form4.mjs: sin acceso a sec.gov desde el entorno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(Form 4 completos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herramientas/form4.mjs --ticker GPI: sin red a sec.gov; 2) búsqueda de Form 4 de Kenningham y McHenry; 3) agregadores (SECForm4, InsiderScreener): solo compras de Conifer y retenciones o donaciones de directivos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compras de Conifer agregadas según InsiderScreener; sin ventas en mercado abierto de directivos detectadas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de la propuesta de accionistas de 2025 sobre mayoría simple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 el proxy 2025; 2) búsqueda de mayorías reforzadas en estatutos; 3) búsqueda del resultado de la junta de 2025: agotado el cupo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totales de la acción y del índice, volatilidad,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WebFetch a Yahoo bloqueado; 3) cupo de WebSearch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valoracion.puente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caja y minoritarios a 30-jun-2026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del 2T26 no abre (sec.gov bloqueado); 2) cupo de WebSearch agotado; 3) corresponde al subagente de balance (A.json)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tomar del balance de A.json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de la empresa, EBITDA de consenso y BPA 2028e con más de una fuente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2027-2028 detrás de suscripción; 2) Simply Wall St y WallStreetZen: solo 2026; 3) Zacks vía MarketBeat: solo una casa para 2028e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2028e de una sola casa (Zacks), marcado en la fuente; EBITDA en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Cierres anuales sin ajustar de 2016-2020 y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Macrotrends: solo serie ajustada por dividendos; 2) 1Stock1: solo aparecieron 2021, 2023 y 2024 en la búsqueda; 3) 10-K 2019: gráfico de rentabilidad en índice base 100, no precios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usan los cierres ajustados de Macrotrends, marcados en notas_integrador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margen EBITDA, ROIC, DN/EBITDA y rentabilidad por FCF de cada comparable; capitalización de Penske, Sonic, Inchcape y Rush; PER futuro de Rush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por empresa (solo PER y VE/ventas en los extractos); 2) Yahoo, Stock Analysis, StockHub (fotos de junio-julio, no de octubre); 3) WebFetch bloqueado, no se pudo abrir ninguna página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múltiplos principales cubiertos con fechas mezcladas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VE/EBITDA de las operaciones y VE de Lithia/Pendragon en USD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Prensa de cada operación; 2) 10-K de Asbury y Group 1; 3) informes Haig y Kerrigan (múltiplos por marca solo en la versión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dan VE/ventas como estimación propia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(Reddit y comentarios de lectores de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WebSearch de hilos de Reddit sobre GPI y concesionarios cotizados; 2) búsqueda restringida a reddit.com (dominio bloqueado para el buscador); 3) búsqueda de comentarios en Seeking Alpha, Motley Fool y Zacks posteriores al 2T26, sin texto de comentarios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n_comentarios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lectura de páginas de foros vía resultados de búsqueda; 2) intento de abrir las páginas originales (WebFetch no disponible en este entorno); 3) recuento de piezas de opinión y hilos leídos en lugar de comentarios individuales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(gpi-20251231)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https://www.sec.gov/Archives/edgar/data/1031203/000103120326000064/gpi-20251231.htm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Group 1 Automotive Reports Fourth Quarter and Full Year 2025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https://www.group1corp.com/2026-01-29-Group-1-Automotive-Reports-Fourth-Quarter-and-Full-Year-2025-Financial-Results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Exhibit 99.1, resultados 4T25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https://www.sec.gov/Archives/edgar/data/1031203/000103120326000041/a2025q4exhibit991.htm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GPI Financials: Income Statement (serie anual 2020-2025)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StockTitan (datos de la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https://www.stocktitan.net/financials/GPI/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2024, tablas financieras (Financial_Report.xlsx), nota de segmentos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https://www.sec.gov/Archives/edgar/data/1031203/000103120325000013/Financial_Report.xlsx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Reports 2024 Fourth Quarter Financial Results and Record Full Year Revenues of $19.9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https://www.group1corp.com/2025-01-29-Group-1-Automotive-Reports-2024-Fourth-Quarter-Financial-Results-and-Record-Full-Year-Revenues-of-19-9-billion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Reports Fourth Quarter and Full Year 2023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https://www.group1corp.com/2024-01-31-Group-1-Automotive-Reports-Fourth-Quarter-and-Full-Year-2023-Financial-Results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Exhibit 99.1, resultados 4T22 y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https://www.sec.gov/Archives/edgar/data/1031203/000103120323000003/a2022q4exhibit991.htm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2021 (gpi-20211231), cuenta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https://www.sec.gov/Archives/edgar/data/1031203/000103120322000007/gpi-20211231.htm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Announces Record 4Q21 &amp; FY21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https://www.group1corp.com/2022-02-10-Group-1-Automotive-Announces-Record-4Q21-FY21-Financial-Results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Announces Fourth Quarter and Full Year 2020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https://www.group1corp.com/2021-02-04-Group-1-Automotive-Announces-Fourth-Quarter-and-Full-Year-2020-Financial-Results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Exhibit 99.1, resultados 4T19 y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https://www.sec.gov/Archives/edgar/data/1031203/000103120320000003/a2019q4exhibit991.htm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Reports Fourth Quarter &amp; Full Year 2018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https://www.group1corp.com/2019-02-05-Group-1-Automotive-Reports-Fourth-Quarter-Full-Year-2018-Financial-Results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Exhibit 99.1, resultados 4T17 y ejercicio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https://www.sec.gov/Archives/edgar/data/0001031203/000103120318000005/exhibit991-4thqtr2017.htm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Exhibit 99.1, resultados 4T16 y ejercicio 2016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https://www.sec.gov/Archives/edgar/data/0001031203/000103120317000003/exhibit991-4thqtr2016.htm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Exhibit 99.1, resultados 2T26 (y nota de prensa en Nasdaq.com)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https://www.sec.gov/Archives/edgar/data/0001031203/000103120326000121/a2026q2exhibit991.htm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Reports $5.4 Billion In Q2 2026 Revenue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Pulse 2.0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https://pulse2.com/group-1-automotive-reports-5-4-billion-in-q2-2026-revenue/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(GPI) Q2 FY2026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https://finance.yahoo.com/quote/GPI/earnings/GPI-Q2-2026-earnings_call-658112.html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Reports First Quarter 2026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https://www.group1corp.com/2026-04-30-Group-1-Automotive-Reports-First-Quarter-2026-Financial-Results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2T26 (gpi-20260630)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https://www.sec.gov/Archives/edgar/data/0001031203/000103120326000123/gpi-20260630.htm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1T26 (gpi-20260331), nota de segmentos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https://www.sec.gov/Archives/edgar/data/0001031203/000103120326000107/gpi-20260331.htm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Exhibit 99.1, resultados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https://www.sec.gov/Archives/edgar/data/1031203/000103120325000058/a2025q3exhibit991.htm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Q4 2025 slides: record annual revenue despite quarterly miss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https://www.investing.com/news/company-news/group-1-automotive-q4-2025-slides-record-annual-revenue-despite-quarterly-miss-93CH-4473935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2018, tablas financieras (deterioros y reforma fiscal)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https://www.sec.gov/Archives/edgar/data/1031203/000103120319000007/Financial_Report.xlsx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Inc Reports Q1 2025 Revenue of $5.5 Billion, Exceeding Estimates; EPS Falls Short at $9.64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https://www.gurufocus.com/news/2800464/group-1-automotive-inc-reports-q1-2025-revenue-of-55-billion-exceeding-estimates-eps-falls-short-at-964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INC 2026: Revenue $5.39B, EPS $8.64 — 10-Q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https://www.tradingview.com/news/tradingview:513baeee5539c:0-group-1-automotive-inc-2026-revenue-5-39b-eps-8-64-10-q-summary/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(GPI)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https://stockanalysis.com/stocks/gpi/statistics/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transcript: Group 1 Automotive Q1 2026 misses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https://www.investing.com/news/transcripts/earnings-call-transcript-group-1-automotive-q1-2026-misses-forecast-93CH-4657094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ARS 2025 (10-K 2025 en PDF): balance consolidado y estado de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https://www.sec.gov/Archives/edgar/data/1031203/000103120326000098/a2025_10kxasxfiledx2x13x26.pdf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DEF 14A 2025 (flujo operativo ajustado y FCF ajustado 2023-2024)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https://www.sec.gov/Archives/edgar/data/1031203/000103120325000023/gpi-20250404.htm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2023 (gpi-20231231): balance, recompras y dividendos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https://www.sec.gov/Archives/edgar/data/1031203/000103120324000013/gpi-20231231.htm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ARS 2023: balance (patrimonio 2023 y 2022) y flujos ajustados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https://www.sec.gov/Archives/edgar/data/1031203/000103120324000023/ars.pdf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DEF 14A 2024 (FCF ajustado y capex no discrecional 2022-2023)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https://www.sec.gov/Archives/edgar/data/1031203/000130817924000455/lgpi2024_def14a.htm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2024 (gpi-20241231): floorplan, amortizaciones, recompras y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https://www.sec.gov/Archives/edgar/data/1031203/000103120325000013/gpi-20241231.htm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2022 (gpi-20221231): balance 2022-2021, floorplan, recompras y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https://www.sec.gov/Archives/edgar/data/1031203/000103120323000007/gpi-20221231.htm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ARS 2022: estado de flujos (amortizaciones 2020-2022)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https://www.sec.gov/Archives/edgar/data/1031203/000103120323000009/ars.pdf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GPI Cash Flow Statement (serie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la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https://stockanalysis.com/stocks/gpi/financials/cash-flow-statement/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INC: balance y flujos XBRL (serie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edgar.tools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https://app.edgar.tools/companies/GPI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GPI Balance Sheet (serie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 / 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https://stockopedia.com/share-prices/group-1-automotive-NYQ:GPI/balance-sheet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emisión de 1.250 M en bonos 2032 y 2035 (Ex. 99.1 y 99.2, extractos del folleto)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https://www.sec.gov/Archives/edgar/data/0001031203/000119312526384390/d123895dex991.htm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Inc - GPI Dividend history and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Trendlyne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https://us.trendlyne.com/us/equity/Dividend/GPI/1403728/group-1-automotive-inc-dividend/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Inc (GPI) factsheet: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Fidelity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https://fidelity.co.uk/factsheet-data/factsheet/US3989051095-group-1-automotive-inc/dividends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Schedules Release of Third Quarter 2026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(vía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https://finviz.com/news/399688/group-1-automotive-schedules-release-of-third-quarter-2026-financial-results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(GPI)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https://quartr.com/events/group-1-automotive-inc-gpi-q2-2026_oflVB27H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DEF 14A 2026 (flujo operativo e inversión ajustados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https://www.sec.gov/Archives/edgar/data/1031203/000103120326000100/gpi-20260402.htm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ampliación de 200 M de las notas al 4,000 % con vencimiento 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https://www.sec.gov/Archives/edgar/data/1031203/000119312521306611/d233899d8k.htm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2T25 (gpi-20250630): conciliación del flujo operativo ajustado del 1S25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https://www.sec.gov/Archives/edgar/data/1031203/000103120325000049/gpi-20250630.htm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Agrees to Acquire Hennessy Automobile Dealerships in the Atlanta Market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(vía 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https://www.barchart.com/story/news/3544602/group-1-agrees-to-acquire-hennessy-automobile-dealerships-in-the-atlanta-market-to-advance-proven-cluster-strategy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Q2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TheCerbatGem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https://www.thecerbatgem.com/?p=10330162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Reports First Quarter 2026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https://www.prnewswire.com/news-releases/group-1-automotive-reports-first-quarter-2026-financial-results-302757965.html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1997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1998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https://www.sec.gov/Archives/edgar/data/0001031203/000095012998001348/0000950129-98-001348.txt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Inc. (historia de la compañía)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Encyclopedia.com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https://www.encyclopedia.com/books/politics-and-business-magazines/group-1-automotive-inc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Agrees to Acquire Inchcape U.K. Dealerships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https://www.group1corp.com/2024-04-15-Group-1-Automotive-Agrees-to-Acquire-Inchcape-U-K-Dealerships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giant Group 1 completes £346m Inchcape acquisition, doubling its UK footprint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Dealer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https://cardealermagazine.co.uk/us-giant-group-1-completes-346m-inchcape-acquisition-doubling-its-uk-footprint/305827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acuerdo para comprar Prime Automotive Group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https://www.sec.gov/Archives/edgar/data/1031203/000119312521270867/d203790dex991.htm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venta de las operaciones en Brasil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https://www.sec.gov/Archives/edgar/data/1031203/000119312522188297/d376107dex991.htm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transición del primer ejecutivo (Hesterberg a Kenningham)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https://www.sec.gov/Archives/edgar/data/1031203/000119312522228066/d382733d8k.htm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Closes UAB Motors Acquisition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2013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https://www.group1corp.com/2013-02-28-Group-1-Automotive-Closes-UAB-Motors-Acquisition-Adds-Additional-Board-Member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(enciclopedia)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https://en.wikipedia.org/wiki/Group_1_Automotive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sets sight on further growth in the UK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 (am-online)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https://www.am-online.com/news/group-1-automotive-sets-sight-on-further-growth-in-the-uk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signs deal estimated at $1.3B to acquire Hennessy Automotive Companies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Kerrigan Advisors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https://www.kerriganadvisors.com/in-the-news/group-1-automotive-signs-deal-estimated-at-1-3b-to-acquire-hennessy-automotive-companies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Cox Automotive Forecast: Despite Q4 Slowdown, New-Vehicle Sales Forecast to Reach 16.3 Million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Cox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https://www.coxautoinc.com/insights/cox-automotive-forecast-dec-2025-u-s-auto-sales-forecast/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Cox Automotive Raises Full-Year New-Vehicle Sales Forecast (3T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Cox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https://www.coxautoinc.com/press-releases/q3-september-2026-cox-automotive-new-vehicle-sales-forecast-press-release/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FOTW #1116: U.S. Light-Duty Vehicle Sales in 2019 Were Nearly 17 Million Vehicles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Energy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ene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https://www.energy.gov/cmei/vehicles/articles/fotw-1116-january-13-2020-us-light-duty-vehicle-sales-2019-were-nearly-17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auto sales up in 2021, but long way before full recovery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WJLA (AP)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https://wjla.com/news/nation-world/new-auto-sales-up-in-2021-but-long-way-before-full-recovery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auto sales expected to finish 2022 down 8% year over year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 (Cox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https://www.motor.com/2022/12/u-s-auto-sales-expected-to-finish-2022-down-8-year-over-year-as-general-motors-reclaims-top-spot-honda-and-nissan-fall-significantly/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Reading the Meter (diciembre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Alliance for Automotive Innovation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https://www.autosinnovate.org/posts/papers-reports/Reading%20the%20Meter%2012-5-2024.pdf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NADA Data (informes anuales 2024 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https://www.nada.org/nada/newsdata/nada-data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Annual Financial Profile of America's Franchised New-Car Dealerships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https://www.nada.org/media/4695/download?inline=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Used-Vehicle Retail Sales Climb in December, Defying Seasonal Slowdown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Cox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https://www.coxautoinc.com/insights/used-retail-vehicle-sales-december-2025/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Used vehicle sales surpassing 2025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NIADA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https://niada.com/dashboard/used-vehicle-sales-surpassing-2025-forecast/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Used-Vehicle Inventory Holds Steady to Start 2026 as Sales Momentum Builds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Cox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https://www.coxautoinc.com/insights/used-vehicle-inventory-december-2025/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Kelley Blue Book Report: Average New-Vehicle Transaction Prices Flirt with All-Time High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Cox Automotive / Kelley Blue Book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https://www.coxautoinc.com/insights/sept-2026-atp-report/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UK new car market breaches two million as almost one in four buyers go electric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SMMT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https://www.smmt.co.uk/uk-new-car-market-breaches-two-million-as-almost-one-in-four-buyers-go-electric/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Huge EV boost in July yet mandate gap persists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SMMT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https://www.smmt.co.uk/huge-ev-boost-in-july-yet-mandate-gap-persists/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BEV registrations climb beyond ZEV Mandate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Transport + Energy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https://transportandenergy.com/2026/10/02/bev-registrations-climb-beyond-zev-mandate-target/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UK 2024 car market falls just short of 2 million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Auto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https://www.just-auto.com/news/uk-2024-car-market-falls-just-short-of-2-million/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Cox Automotive reiterates 2024 market forecasts and predicts a scramble for stability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Cox Automotive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https://coxauto.co.uk/knowledge-centre/content-hub/cox-automotive-reiterates-2024-market-forecasts-and-predicts-a-scramble-for-stability/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EVs power up used car market in three year growth run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SMMT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https://www.smmt.co.uk/evs-power-up-used-car-market-in-three-year-growth-run/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Annual Report and Financial Statements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https://plc.autotrader.co.uk/media/d4wcf00t/at-ar26-web.pdf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 150 Dealership Groups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Automotive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https://www.autonews.com/retail/top-150-dealership-groups/2026/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 150 dealership groups show consolidation, new-vehicle sales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Automotive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https://www.autonews.com/retail/top-150-dealership-groups/an-top-150-dealerships-2026-intersection-0412/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 150 Dealers 2026: 62 Groups Grew Without Adding a Store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GoodCarBadCar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https://www.goodcarbadcar.net/top-150-dealers-2026-organic-growth/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AutoNation,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AutoNation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https://www.sec.gov/Archives/edgar/data/350698/000162828026007800/an-20251231.htm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AutoNation, Inc. Annual Report 2025 (ARS)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AutoNation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https://www.sec.gov/Archives/edgar/data/350698/000162828026018709/a2025ars.pdf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Penske Automotive Group Reports Fourth Quarter and Full 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Penske Automotive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https://www.prnewswire.com/news-releases/penske-automotive-group-reports-fourth-quarter-and-full-year-2025-results-302684889.html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Penske Automotive Group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Penske Automotive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https://www.sec.gov/Archives/edgar/data/1019849/000162828026012830/pag-20251231.htm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Lithia &amp; Driveway: resultados del cuarto trimestre y del ejercicio 2025 (8-K, Ex.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Lithia Motors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https://www.sec.gov/Archives/edgar/data/1023128/000102312826000004/a2025q4exx99earningsrelease.htm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Lithia Motors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Lithia Motors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https://www.sec.gov/Archives/edgar/data/1023128/000102312826000015/lad-20251231.htm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Asbury Automotive Group Reports Fourth Quarter Results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Asbury Automotive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https://www.morningstar.com/news/business-wire/20260205073949/asbury-automotive-group-reports-fourth-quarter-results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Asbury Automotive Group Completes Acquisition of Herb Chambers Dealerships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Simpson Thacher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https://www.stblaw.com/about-us/news/view/2025/07/22/asbury-automotive-group-completes-acquisition-of-herb-chambers-dealerships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Sonic Automotive Reports Fourth Quarter and Full Year Financial Results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Sonic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https://www.businesswire.com/news/home/20260218554758/en/Sonic-Automotive-Reports-Fourth-Quarter-and-Full-Year-Financial-Results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CarMax Reports Fourth Quarter and Fiscal Year 2026 Results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CarMax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https://www.sec.gov/Archives/edgar/data/1170010/000117001026000017/q4fy26earningsrelease.htm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blames consumer affordability pressures as second quarter earnings fall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Dealer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https://cardealermagazine.co.uk/group-1-blames-consumer-affordability-pressures-as-second-quarter-earnings-fall/326015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segunda modificación del contrato de incentivos del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https://www.sec.gov/Archives/edgar/data/1031203/000103120326000092/gpi-20260302.htm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 99.1): Daniel McHenry, presidente y CEO del negocio en Reino Unido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https://www.sec.gov/Archives/edgar/data/0001031203/000103120326000114/exhibit991-51926.htm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anual de 2026 y modificación de estatutos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https://www.sec.gov/Archives/edgar/data/0001031203/000103120326000109/gpi-20260512.htm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 99.1): nombramiento de Benjamin Hart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https://www.sec.gov/Archives/edgar/data/0001031203/000103120326000137/exhibit991-92126.htm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 10.1): acuerdo de accionista con Conifer Management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https://www.sec.gov/Archives/edgar/data/0001031203/000103120326000137/exhibit101-92126.htm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 99.1): nombramiento de Dave Kimbell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https://www.sec.gov/Archives/edgar/data/0001031203/000103120326000126/exhibit991-81126.htm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 de Conifer Management sobre Group 1 Automotive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https://www.sec.gov/Archives/edgar/data/0001031203/000090514826003844/primary_doc.xml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n.º 3) de Conifer Management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https://www.sec.gov/Archives/edgar/data/0001031203/000090514826004293/primary_doc.xml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Appoints Daniel McHenry as Chief Financial Officer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jun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https://www.group1corp.com/2020-06-01-Group-1-Automotive-Appoints-Daniel-McHenry-as-Chief-Financial-Officer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GPI - Insider Trading Form 4 Filings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SECForm4.com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https://www.secform4.com/insider-trading/1031203.htm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Inc (GPI) Insider Trading Activity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https://www.insiderscreener.com/en/company/group-1-automotive-inc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Conifer Management (compras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https://www.sec.gov/Archives/edgar/data/0001031203/000090514826004278/form4.xml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Q1 2025 slides: revenue surges 23%, UK restructuring on track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https://www.investing.com/news/company-news/group-1-automotive-q1-2025-slides-revenue-surges-23-uk-restructuring-on-track-93CH-4001357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trims 700 jobs in Q1 amid uncertain market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WardsAuto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https://www.wardsauto.com/news/group-1-automotive-trims-700-jobs-in-q1-amid-uncertain-market/820785/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Appoints New Director and Expands Board (Steven Stanbrook)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https://www.group1corp.com/2019-08-15-Group-1-Automotive-Appoints-New-Director-and-Expands-Board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2023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https://www.sec.gov/Archives/edgar/data/1031203/000130817923000678/gpi-20221231.htm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GPI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https://www.sec.gov/Archives/edgar/data/0001031203/000210011926000635/primary_doc.xml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Portfolio Management sobre GPI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https://www.sec.gov/Archives/edgar/data/0001031203/000210012126000419/primary_doc.xml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Conifer Management Seeks Board Role at Group 1 Automotive with 9.7% Stake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TradingView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https://www.tradingview.com/news/tradingview:7de57d9da5cdb:0-conifer-management-seeks-board-role-at-group-1-automotive-with-9-7-stake/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adds board member from major shareholder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https://www.investing.com/news/company-news/group-1-automotive-adds-board-member-from-major-shareholder-93CH-4910407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Daryl Kenningham (retención fiscal y tenencia directa e indirecta)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SECForm4.com (copia de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https://www.secform4.com/filings/1031203/0001031203-26-000076.htm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 99.1): elección de Charles Szews como presidente no ejecutivo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https://www.sec.gov/Archives/edgar/data/1031203/000103120323000021/exhibit991-51723.htm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Announces Additions of Chief Legal Officer and Chief Marketing Officer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https://www.group1corp.com/2023-01-17-Group-1-Automotive-Announces-Additions-of-Chief-Legal-Officer-and-Chief-Marketing-Officer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Inc. Q1 2026 Earnings Call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https://finance.yahoo.com/markets/stocks/articles/group-1-automotive-inc-q1-003108126.html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transcript: Group 1 Automotive posts Q2 2026 miss, shares sink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https://www.investing.com/news/transcripts/earnings-call-transcript-group-1-automotive-posts-q2-2026-miss-shares-sink-93CH-4825412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 99.1): adquisición de tres concesionarios de lujo en Florida y Texas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https://www.sec.gov/Archives/edgar/data/1031203/000103120325000037/exhibit991-51925.htm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2021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https://www.sec.gov/Archives/edgar/data/1031203/000130817921000175/lgpi2021_def14a.htm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2019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https://www.sec.gov/Archives/edgar/data/1031203/000130817919000138/lgpi2019_def14a.htm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Daryl A. Kenningham — executive compensation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Salary.com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https://www.salary.com/research/executive-compensation/daryl-a-kenningham-executive-member-of-group-1-automotive-inc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2015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2015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https://www.sec.gov/Archives/edgar/data/0001031203/000104746915003461/a2224201zdef14a.htm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(GPI): histórico de cotización. Extracto de búsqueda; no se pudo abrir la página (WebFetch y curl bloqueados)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https://au.finance.yahoo.com/quote/GPI/history/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(NYSE:GPI) Sets New 52-Week Low.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https://www.marketbeat.com/instant-alerts/price-group-1-automotive-nyse-gpi-sets-new-52-week-low-time-to-sell-2026-10-13/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(GPI) Stock Price &amp; Overview (cierre del 9-oct-2026).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https://stockanalysis.com/stocks/gpi/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(GPI) Stock Forecast &amp; Analyst Price Targets (datos de S&amp;P Global).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https://stockanalysis.com/stocks/gpi/forecast/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(NYSE:GPI) Stock Price Target Lowered at JPMorgan Chase &amp; Co.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https://www.marketbeat.com/instant-alerts/analyst-group-1-automotive-nyse-gpi-stock-price-target-lowered-at-jpmorgan-chase-co-2026-10-06/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(NYSE:GPI) Hits New 12-Month Low After Analyst Downgrade (consenso de MarketBeat).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Defense World / 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https://www.defenseworld.net/2026/10/08/group-1-automotive-nysegpi-hits-new-12-month-low-after-analyst-downgrade.html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 is Zacks Research's Forecast for GPI FY2026 Earnings?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Political / 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https://www.dailypolitical.com/2026/08/17/what-is-zacks-researchs-forecast-for-gpi-fy2026-earnings.html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Inc. Earnings Missed Analyst Estimates: Here's What Analysts Are Forecasting Now.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https://simplywall.st/stocks/us/retail/nyse-gpi/group-1-automotive/news/group-1-automotive-inc-earnings-missed-analyst-estimates-her-1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Morgan Stanley cuts Group 1 target to USD 232 for Group 1 Automotive stock.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https://www.ad-hoc-news.de/boerse/news/nebenwerte/morgan-stanley-cuts-group-1-target-to-usd-232-for-group-1-automotive-stock/70246646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GPI Maintained by UBS -- Price Target Lowered to $271.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https://www.gurufocus.com/news/9114185/gpi-maintained-by-ubs-price-target-lowered-to-271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GPI Maintained by Evercore ISI Group -- Price Target Lowered to $330.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https://www.gurufocus.com/news/9119519/gpi-maintained-by-evercore-isi-group-price-target-lowered-to-330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Inc. (NYSE:GPI) Stock Has Consensus Price Target of $360.25 According to Analysts.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https://www.marketbeat.com/instant-alerts/consensus-group-1-automotive-inc-nyse-gpi-stock-has-consensus-price-target-of-36025-according-to-analysts-2026-09-30/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GPI: Group 1 Automotive, Inc. Yearly Stock Returns (cierres anuales sin ajustar).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1Stock1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https://www.1stock1.com/1stock1_1738.htm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PE Ratio 2012-2026, EPS 2010-2025 y Stock Price History (ajustada por dividendos).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https://www.macrotrends.net/stocks/charts/GPI/group-1-automotive/pe-ratio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 Dato tomado del método del repositorio; no se abrió la hoja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GPI - Stock Price &amp; News (precio base del año en curso a 31-dic-2025).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https://www.fool.com/quote/nyse/gpi/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Form 10-K 2017 y comunicado de resultados de 2016 (BPA diluido 10,08 y 6,67 USD; ajustado 7,73 y 7,42).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https://www.sec.gov/Archives/edgar/data/0001031203/000103120318000013/a2017form10-k.htm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AutoNation, Inc.: Valuation Ratios, Analysts' Forecasts (PER 2026e ≈7,7x y VE/EBITDA 2026e ≈8,2x con precio ≈162 USD, principios de octubre de 2026).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https://in.marketscreener.com/quote/stock/AUTONATION-INC-14247/valuation/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AutoNation (AN:NYSE), cotización ≈157 USD y capitalización ≈5.200 M USD al 9-oct-2026.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https://www.google.com/finance/labs/quote/AN:NYSE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Lithia Motors, Inc.: Valuation Ratios, Analysts' Forecasts (PER 2026e 8,67x, VE/EBITDA 2026e 10,2x, VE/ventas 0,44x; capitalización 6.400-6.800 M USD; 1-5 oct 2026).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https://www.marketscreener.com/quote/stock/LITHIA-MOTORS-INC-50913186/valuation/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Penske Automotive Group, Inc. (cotización en Stuttgart): PER 2026e 11,5x, VE/ventas 0,37-0,38x. Extracto de búsqueda, sin fecha visible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https://www.marketscreener.com/quote/stock/PENSKE-AUTOMOTIVE-GROUP-I-50915843/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Penske Automotive Group, 8-K del 22-jul-2026: propuesta no vinculante de Penske Corporation y Mitsui de comprar a 210 USD por acción en efectivo, carta de oferta y nota de prensa.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Penske Automotive Group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https://www.sec.gov/Archives/edgar/data/0001019849/000162828026049230/pag-nonxbindingofferlett.htm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Penske Automotive Group, 8-K: el comité especial contrata a Moelis y a Paul, Weiss (10-ago-2026).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Penske Automotive Group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https://www.sec.gov/Archives/edgar/data/0001019849/000162828026055334/pr-penskeautomotivespecial.htm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Asbury Automotive Group (ABG): estadísticas clave (capitalización 3.870 M USD, PER futuro 7,32; columna a 30-jun-2026).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https://finance.yahoo.com/quote/ABG/key-statistics/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Asbury Automotive Group: Financial Data Forecasts (EBITDA 2026e 902-916 M USD, VE 2026 ≈7.860 M USD, PER 2026e 6,6-8,3x).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https://in.marketscreener.com/quote/stock/ASBURY-AUTOMOTIVE-GROUP-I-11498/finances/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Sonic Automotive, Inc. (SAH): PER 2026e 8,72x y 2027e 8,01x, VE/ventas 0,25x; último cierre 60,56 USD (sin fecha).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https://marketscreener.com/quote/stock/SONIC-AUTOMOTIVE-INC-14317/financials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CarMax, Inc.: Valuation Ratios, Analysts' Forecasts (ejercicio a feb-2027: PER 21,2x, VE/EBITDA 10,5x, precio de referencia 57,45 USD).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https://www.marketscreener.com/quote/stock/CARMAX-INC-17185128/valuation/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CarMax (NYSE:KMX) shares down 4.2% (30-sep-2026; capitalización 8.030-8.410 M USD según la fuente).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https://www.marketbeat.com/instant-alerts/price-carmax-nyse-kmx-shares-down-42-whats-next-2026-09-30/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Inchcape plc: Financial Data Forecasts (PER 2026e 9,2-10,3x, 2027e 7,0-7,8x; EBITDA 2026e 704 M GBP).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https://www.marketscreener.com/quote/stock/INCHCAPE-PLC-4005916/finances/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Rush Enterprises (RUSHA): VE/EBITDA de los últimos 12 meses 11,03 a 29-sep-2026 (VE 6.920 M USD, EBITDA 627 M USD).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ValueInvesting.io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https://valueinvesting.io/RUSHA/valuation/ev_ebitda-multiples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yield falls as energy prices stabilize (13-oct-2026); FRED DGS10 da 5,24 % el 9-oct-2026; Forbes, 5,21 % el 13-oct.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 Reserva Federal de St. Louis (FRED) / Forbes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Asbury Automotive Group, Form 10-K 2024: compra de Jim Koons Dealerships (1.504,5 M USD con financiación de inventario; ingresos aportados en 2024: 2.810 M USD) y acuerdo de Herb Chambers (1.340 M USD: 750 fondo de comercio y 590 inmuebles).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Asbury Automotive Group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https://www.sec.gov/Archives/edgar/data/1144980/000114498025000077/abg-20241231.htm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Asbury to buy Herb Chambers dealerships for $1.34 billion (ingresos 2024 de 2.900 M USD, 33 concesionarios).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Remarketing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https://www.autoremarketing.com/?p=71170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(GPI) to Acquire Inchcape's UK Dealerships for $439M (ingresos de unos 2.700 M USD en 2023).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https://malaysia.news.yahoo.com/group-1-gpi-acquire-inchcapes-130400388.html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Lithia makes second bid for listed car dealer Pendragon (oferta de 280 M GBP; mejorada después a 397 M GBP en efectivo, más deuda neta y pensiones asumidas).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Dealer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https://cardealermagazine.co.uk/lithia-makes-second-bid-for-listed-car-dealer-pendragon-with-fresh-280m-offer/289868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Haig Partners Q2 2026 Haig Report: valor medio del fondo de comercio («blue sky») por concesionario de grupos cotizados, 18,2 M USD; Buick-GMC y Chevrolet a 3,75-4,75x.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Haig Partners (vía The Shop)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https://theshopmag.com/news/haig-partners-q2-2026-report-dealership-ma-franchise-horsepower-index/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Stock's Bumpy Ride Isn't Over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https://seekingalpha.com/article/4951594-group-1-automotive-bumpy-ride-not-over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(GPI): página del valor y sentimiento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https://stocktwits.com/symbol/GPI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(GPI): noticias y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https://stocktwits.com/symbol/GPI/news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Group 1 Automotive (GPI) Undervalued Following Its Earnings Miss And Atlanta Acquisition?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https://www.webull.com/news/15333657267217408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sets new 1-year low on disappointing earnings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https://www.marketbeat.com/instant-alerts/group-1-automotive-nysegpi-sets-new-1-year-low-on-disappointing-earnings-2026-07-31/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Q2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https://www.marketbeat.com/instant-alerts/group-1-automotive-q2-earnings-call-highlights-2026-07-31/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sets new 1-year low: what's next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https://www.marketbeat.com/instant-alerts/group-1-automotive-nysegpi-sets-new-1-year-low-whats-next-2026-08-06/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Buying: Group 1 Automotive major shareholder buys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InsiderTrades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https://www.insidertrades.com/alerts/nyse-gpi-insider-buying-and-selling-2026-09-04/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Conifer Management acquires shares of Group 1 Automotive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InsiderTrades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https://www.insidertrades.com/alerts/nyse-gpi-insider-buying-and-selling-2026-09-09/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snaps up Hennessy's Atlanta car empire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Hoodline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https://hoodline.com/2026/07/group-1-snaps-up-hennessy-s-atlanta-car-empire-in-1-3b-deal/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Auto Dealer Earnings Calls: Strategic Capital Remains Active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Mercer Capital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https://mercercapital.com/insights/blogs/auto-dealer-valuation-insights-blog/2026/q2-2026-auto-dealer-earnings-calls-strategic-capital-remains-active/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83,4 %</w:t>
      </w:r>
      <w:r>
        <w:t xml:space="preserve"> · Secciones con menos del 60 % de campos cubiertos: </w:t>
      </w:r>
      <w:r>
        <w:rPr>
          <w:b/>
          <w:bCs/>
        </w:rPr>
        <w:t xml:space="preserve">calidad, bolsa, multiplos_historicos</w:t>
      </w:r>
      <w:r>
        <w:t xml:space="preserve"> · Generado el 14 oct 2026.</w:t>
      </w:r>
    </w:p>
    <w:p>
      <w:pPr>
        <w:pStyle w:val="Nota"/>
        <w:spacing w:after="100"/>
      </w:pPr>
      <w:r>
        <w:t xml:space="preserve">Análisis hecho desde la nube con la red limitada a la búsqueda web: sec.gov, la web de la empresa y los proveedores de datos no se pudieron abrir, así que las cifras salen de los extractos de búsqueda de los comunicados 8-K, del 10-K y de la prensa financiera, cruzadas cuando fue posible; la confianza es menor que en un análisis normal y lo que no cuadró está en null y en los huecos. Cuentas en USD con US GAAP; ejercicio natural. El floorplan (líneas de crédito que financian el inventario, 2.181 M a junio de 2026) se trata como pasivo de explotación y no como deuda: el EBITDA del DCF va neto de sus intereses (101,5 M en 2025) y el circulante lo descuenta de las existencias, igual que el flujo operativo ajustado de la empresa [1, 2]. La deuda del puente (3.363 M) incluye bonos, préstamo de adquisiciones, hipotecas inmobiliarias y arrendamientos financieros; se le suman los ≈1.300 M de la compra de Hennessy, que se paga en el 4T26 con los bonos de septiembre [40, 49]. El BPA del objetivo a 12 meses y el PER histórico están en base ajustada (sin deterioros, plusvalías ni reestructuración).</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Group 1 Automotive, Inc. (GPI)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231,59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(227,50 – 461,27)</c:v>
                </c:pt>
                <c:pt idx="1">
                  <c:v>Precio objetivo de los analistas (232,00 – 450,00)</c:v>
                </c:pt>
                <c:pt idx="2">
                  <c:v>Comparables: PER NTM (350,53 – 457,40)</c:v>
                </c:pt>
                <c:pt idx="3">
                  <c:v>DCF (WACC y g ± 0,5) (305,55 – 536,04)</c:v>
                </c:pt>
                <c:pt idx="4">
                  <c:v>Escenarios (bajista – alcista) (133,80 – 561,10)</c:v>
                </c:pt>
                <c:pt idx="5">
                  <c:v>DCF con la prima implícita del mercado (4,2 %)</c:v>
                </c:pt>
                <c:pt idx="6">
                  <c:v>Precio actual (231,59)</c:v>
                </c:pt>
              </c:strCache>
            </c:strRef>
          </c:cat>
          <c:val>
            <c:numRef>
              <c:f>Hoja1!$B$2:$B$8</c:f>
              <c:numCache>
                <c:formatCode>#,##0</c:formatCode>
                <c:ptCount val="7"/>
                <c:pt idx="0">
                  <c:v>227.5</c:v>
                </c:pt>
                <c:pt idx="1">
                  <c:v>232</c:v>
                </c:pt>
                <c:pt idx="2">
                  <c:v>350.53</c:v>
                </c:pt>
                <c:pt idx="3">
                  <c:v>305.55</c:v>
                </c:pt>
                <c:pt idx="4">
                  <c:v>133.8</c:v>
                </c:pt>
                <c:pt idx="5">
                  <c:v>404.13</c:v>
                </c:pt>
                <c:pt idx="6">
                  <c:v>230.43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(227,50 – 461,27)</c:v>
                </c:pt>
                <c:pt idx="1">
                  <c:v>Precio objetivo de los analistas (232,00 – 450,00)</c:v>
                </c:pt>
                <c:pt idx="2">
                  <c:v>Comparables: PER NTM (350,53 – 457,40)</c:v>
                </c:pt>
                <c:pt idx="3">
                  <c:v>DCF (WACC y g ± 0,5) (305,55 – 536,04)</c:v>
                </c:pt>
                <c:pt idx="4">
                  <c:v>Escenarios (bajista – alcista) (133,80 – 561,10)</c:v>
                </c:pt>
                <c:pt idx="5">
                  <c:v>DCF con la prima implícita del mercado (4,2 %)</c:v>
                </c:pt>
                <c:pt idx="6">
                  <c:v>Precio actual (231,59)</c:v>
                </c:pt>
              </c:strCache>
            </c:strRef>
          </c:cat>
          <c:val>
            <c:numRef>
              <c:f>Hoja1!$C$2:$C$8</c:f>
              <c:numCache>
                <c:formatCode>#,##0</c:formatCode>
                <c:ptCount val="7"/>
                <c:pt idx="0">
                  <c:v>233.76999999999998</c:v>
                </c:pt>
                <c:pt idx="1">
                  <c:v>218</c:v>
                </c:pt>
                <c:pt idx="2">
                  <c:v>106.87</c:v>
                </c:pt>
                <c:pt idx="3">
                  <c:v>230.48999999999995</c:v>
                </c:pt>
                <c:pt idx="4">
                  <c:v>427.3</c:v>
                </c:pt>
                <c:pt idx="5">
                  <c:v>166.83000000000004</c:v>
                </c:pt>
                <c:pt idx="6">
                  <c:v>2.319999999999993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EE. UU.</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15772.8</c:v>
                </c:pt>
                <c:pt idx="1">
                  <c:v>16626.7</c:v>
                </c:pt>
              </c:numCache>
            </c:numRef>
          </c:val>
        </c:ser>
        <c:ser>
          <c:idx val="1"/>
          <c:order val="1"/>
          <c:tx>
            <c:strRef>
              <c:f>Hoja1!$C$1</c:f>
              <c:strCache>
                <c:ptCount val="1"/>
                <c:pt idx="0">
                  <c:v>Reino Unido</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4161.5</c:v>
                </c:pt>
                <c:pt idx="1">
                  <c:v>5944.7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EE. UU.</c:v>
                </c:pt>
                <c:pt idx="1">
                  <c:v>Reino Unido</c:v>
                </c:pt>
              </c:strCache>
            </c:strRef>
          </c:cat>
          <c:val>
            <c:numRef>
              <c:f>Hoja1!$B$2:$B$3</c:f>
              <c:numCache>
                <c:formatCode>General</c:formatCode>
                <c:ptCount val="2"/>
                <c:pt idx="0">
                  <c:v>73.7</c:v>
                </c:pt>
                <c:pt idx="1">
                  <c:v>26.3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EE. UU.</c:v>
                </c:pt>
                <c:pt idx="1">
                  <c:v>Reino Unido</c:v>
                </c:pt>
              </c:strCache>
            </c:strRef>
          </c:cat>
          <c:val>
            <c:numRef>
              <c:f>Hoja1!$B$2:$B$3</c:f>
              <c:numCache>
                <c:formatCode>0"%"</c:formatCode>
                <c:ptCount val="2"/>
                <c:pt idx="0">
                  <c:v>73.7</c:v>
                </c:pt>
                <c:pt idx="1">
                  <c:v>26.3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vehículos ligeros nuevos vendidos en EE. UU. (año natural))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c:v>
                </c:pt>
                <c:pt idx="7">
                  <c:v>2026e</c:v>
                </c:pt>
              </c:strCache>
            </c:strRef>
          </c:cat>
          <c:val>
            <c:numRef>
              <c:f>Hoja1!$B$2:$B$9</c:f>
              <c:numCache>
                <c:formatCode>#,##0</c:formatCode>
                <c:ptCount val="8"/>
                <c:pt idx="0">
                  <c:v>17</c:v>
                </c:pt>
                <c:pt idx="1">
                  <c:v>14.6</c:v>
                </c:pt>
                <c:pt idx="2">
                  <c:v>14.9</c:v>
                </c:pt>
                <c:pt idx="3">
                  <c:v>13.9</c:v>
                </c:pt>
                <c:pt idx="4">
                  <c:v>15.5</c:v>
                </c:pt>
                <c:pt idx="5">
                  <c:v>15.9</c:v>
                </c:pt>
                <c:pt idx="6">
                  <c:v>16.2</c:v>
                </c:pt>
                <c:pt idx="7">
                  <c:v>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4</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Group 1</c:v>
                </c:pt>
                <c:pt idx="1">
                  <c:v>Lithia Motors (Lithia &amp; Driveway)</c:v>
                </c:pt>
                <c:pt idx="2">
                  <c:v>Penske Automotive Group</c:v>
                </c:pt>
                <c:pt idx="3">
                  <c:v>AutoNation</c:v>
                </c:pt>
                <c:pt idx="4">
                  <c:v>CarMax</c:v>
                </c:pt>
                <c:pt idx="5">
                  <c:v>Asbury Automotive Group</c:v>
                </c:pt>
                <c:pt idx="6">
                  <c:v>Sonic Automotive</c:v>
                </c:pt>
              </c:strCache>
            </c:strRef>
          </c:cat>
          <c:val>
            <c:numRef>
              <c:f>Hoja1!$B$2:$B$8</c:f>
              <c:numCache>
                <c:formatCode>0.0"%"</c:formatCode>
                <c:ptCount val="7"/>
                <c:pt idx="0">
                  <c:v>4.2</c:v>
                </c:pt>
                <c:pt idx="1">
                  <c:v>4.2</c:v>
                </c:pt>
                <c:pt idx="2">
                  <c:v>4</c:v>
                </c:pt>
                <c:pt idx="3">
                  <c:v>4.5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3</c:v>
                </c:pt>
                <c:pt idx="3">
                  <c:v>1</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10900</c:v>
                </c:pt>
                <c:pt idx="1">
                  <c:v>11122</c:v>
                </c:pt>
                <c:pt idx="2">
                  <c:v>11600</c:v>
                </c:pt>
                <c:pt idx="3">
                  <c:v>12000</c:v>
                </c:pt>
                <c:pt idx="4">
                  <c:v>10600</c:v>
                </c:pt>
                <c:pt idx="5">
                  <c:v>13500</c:v>
                </c:pt>
                <c:pt idx="6">
                  <c:v>16223</c:v>
                </c:pt>
                <c:pt idx="7">
                  <c:v>17878</c:v>
                </c:pt>
                <c:pt idx="8">
                  <c:v>19934.3</c:v>
                </c:pt>
                <c:pt idx="9">
                  <c:v>22571.4</c:v>
                </c:pt>
                <c:pt idx="10">
                  <c:v>22594</c:v>
                </c:pt>
                <c:pt idx="11">
                  <c:v>24198</c:v>
                </c:pt>
                <c:pt idx="12">
                  <c:v>24900</c:v>
                </c:pt>
                <c:pt idx="13">
                  <c:v>25522</c:v>
                </c:pt>
                <c:pt idx="14">
                  <c:v>26160</c:v>
                </c:pt>
                <c:pt idx="15">
                  <c:v>26814</c:v>
                </c:pt>
                <c:pt idx="16">
                  <c:v>27351</c:v>
                </c:pt>
                <c:pt idx="17">
                  <c:v>27898</c:v>
                </c:pt>
                <c:pt idx="18">
                  <c:v>28456</c:v>
                </c:pt>
                <c:pt idx="19">
                  <c:v>29025</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4">
                  <c:v>571.5</c:v>
                </c:pt>
                <c:pt idx="5">
                  <c:v>963.3</c:v>
                </c:pt>
                <c:pt idx="7">
                  <c:v>1060.6</c:v>
                </c:pt>
                <c:pt idx="8">
                  <c:v>1022.2</c:v>
                </c:pt>
                <c:pt idx="9">
                  <c:v>1076.4</c:v>
                </c:pt>
                <c:pt idx="10">
                  <c:v>892</c:v>
                </c:pt>
                <c:pt idx="11">
                  <c:v>980</c:v>
                </c:pt>
                <c:pt idx="12">
                  <c:v>1033</c:v>
                </c:pt>
                <c:pt idx="13">
                  <c:v>1034</c:v>
                </c:pt>
                <c:pt idx="14">
                  <c:v>1033</c:v>
                </c:pt>
                <c:pt idx="15">
                  <c:v>1032</c:v>
                </c:pt>
                <c:pt idx="16">
                  <c:v>1026</c:v>
                </c:pt>
                <c:pt idx="17">
                  <c:v>1032</c:v>
                </c:pt>
                <c:pt idx="18">
                  <c:v>1053</c:v>
                </c:pt>
                <c:pt idx="19">
                  <c:v>1074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4">
                  <c:v>16</c:v>
                </c:pt>
                <c:pt idx="5">
                  <c:v>17.8</c:v>
                </c:pt>
                <c:pt idx="6">
                  <c:v>18.5</c:v>
                </c:pt>
                <c:pt idx="8">
                  <c:v>16.3</c:v>
                </c:pt>
                <c:pt idx="9">
                  <c:v>16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4">
                  <c:v>5.4</c:v>
                </c:pt>
                <c:pt idx="5">
                  <c:v>7.1</c:v>
                </c:pt>
                <c:pt idx="7">
                  <c:v>5.9</c:v>
                </c:pt>
                <c:pt idx="8">
                  <c:v>5.1</c:v>
                </c:pt>
                <c:pt idx="9">
                  <c:v>4.8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4">
                  <c:v>4.7</c:v>
                </c:pt>
                <c:pt idx="5">
                  <c:v>6.6</c:v>
                </c:pt>
                <c:pt idx="7">
                  <c:v>5.4</c:v>
                </c:pt>
                <c:pt idx="8">
                  <c:v>4.6</c:v>
                </c:pt>
                <c:pt idx="9">
                  <c:v>4.2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1.3</c:v>
                </c:pt>
                <c:pt idx="1">
                  <c:v>1.9</c:v>
                </c:pt>
                <c:pt idx="2">
                  <c:v>1.4</c:v>
                </c:pt>
                <c:pt idx="3">
                  <c:v>1.5</c:v>
                </c:pt>
                <c:pt idx="4">
                  <c:v>2.7</c:v>
                </c:pt>
                <c:pt idx="5">
                  <c:v>4.1</c:v>
                </c:pt>
                <c:pt idx="6">
                  <c:v>4.6</c:v>
                </c:pt>
                <c:pt idx="7">
                  <c:v>3.4</c:v>
                </c:pt>
                <c:pt idx="8">
                  <c:v>2.5</c:v>
                </c:pt>
                <c:pt idx="9">
                  <c:v>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2">
                  <c:v>10.8</c:v>
                </c:pt>
                <c:pt idx="3">
                  <c:v>0.6</c:v>
                </c:pt>
                <c:pt idx="4">
                  <c:v>-1.8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inventario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35</c:v>
                </c:pt>
                <c:pt idx="1">
                  <c:v>37</c:v>
                </c:pt>
                <c:pt idx="3">
                  <c:v>58</c:v>
                </c:pt>
                <c:pt idx="4">
                  <c:v>53</c:v>
                </c:pt>
              </c:numCache>
            </c:numRef>
          </c:val>
          <c:smooth val="0"/>
        </c:ser>
        <c:ser>
          <c:idx val="1"/>
          <c:order val="1"/>
          <c:tx>
            <c:strRef>
              <c:f>Hoja1!$C$1</c:f>
              <c:strCache>
                <c:ptCount val="1"/>
                <c:pt idx="0">
                  <c:v>Días de pago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17</c:v>
                </c:pt>
                <c:pt idx="1">
                  <c:v>28</c:v>
                </c:pt>
                <c:pt idx="3">
                  <c:v>44</c:v>
                </c:pt>
                <c:pt idx="4">
                  <c:v>37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1">
                  <c:v>760.2</c:v>
                </c:pt>
                <c:pt idx="2">
                  <c:v>534.6</c:v>
                </c:pt>
                <c:pt idx="3">
                  <c:v>437.9</c:v>
                </c:pt>
                <c:pt idx="4">
                  <c:v>429.20000000000005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552.1</c:v>
                </c:pt>
                <c:pt idx="1">
                  <c:v>751.5</c:v>
                </c:pt>
                <c:pt idx="2">
                  <c:v>601.6</c:v>
                </c:pt>
                <c:pt idx="3">
                  <c:v>498.1</c:v>
                </c:pt>
                <c:pt idx="4">
                  <c:v>325.2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5">
                  <c:v>17.2</c:v>
                </c:pt>
                <c:pt idx="7">
                  <c:v>16.2</c:v>
                </c:pt>
                <c:pt idx="8">
                  <c:v>13</c:v>
                </c:pt>
                <c:pt idx="9">
                  <c:v>11.2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7.6</c:v>
                </c:pt>
                <c:pt idx="1">
                  <c:v>7.6</c:v>
                </c:pt>
                <c:pt idx="2">
                  <c:v>7.6</c:v>
                </c:pt>
                <c:pt idx="3">
                  <c:v>7.6</c:v>
                </c:pt>
                <c:pt idx="4">
                  <c:v>7.6</c:v>
                </c:pt>
                <c:pt idx="5">
                  <c:v>7.6</c:v>
                </c:pt>
                <c:pt idx="6">
                  <c:v>7.6</c:v>
                </c:pt>
                <c:pt idx="7">
                  <c:v>7.6</c:v>
                </c:pt>
                <c:pt idx="8">
                  <c:v>7.6</c:v>
                </c:pt>
                <c:pt idx="9">
                  <c:v>7.6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5">
                  <c:v>30.3</c:v>
                </c:pt>
                <c:pt idx="6">
                  <c:v>37</c:v>
                </c:pt>
                <c:pt idx="7">
                  <c:v>24.5</c:v>
                </c:pt>
                <c:pt idx="8">
                  <c:v>17.6</c:v>
                </c:pt>
                <c:pt idx="9">
                  <c:v>11.3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2.1</c:v>
                </c:pt>
                <c:pt idx="2">
                  <c:v>1.92</c:v>
                </c:pt>
                <c:pt idx="3">
                  <c:v>2.82</c:v>
                </c:pt>
                <c:pt idx="4">
                  <c:v>3.41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1100</c:v>
                </c:pt>
                <c:pt idx="1">
                  <c:v>528.7</c:v>
                </c:pt>
                <c:pt idx="2">
                  <c:v>366.1</c:v>
                </c:pt>
                <c:pt idx="3">
                  <c:v>1276.8</c:v>
                </c:pt>
                <c:pt idx="4">
                  <c:v>546.8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24</c:v>
                </c:pt>
                <c:pt idx="1">
                  <c:v>23.7</c:v>
                </c:pt>
                <c:pt idx="2">
                  <c:v>25.2</c:v>
                </c:pt>
                <c:pt idx="3">
                  <c:v>25.2</c:v>
                </c:pt>
                <c:pt idx="4">
                  <c:v>25.6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210.6</c:v>
                </c:pt>
                <c:pt idx="1">
                  <c:v>521.2</c:v>
                </c:pt>
                <c:pt idx="2">
                  <c:v>172.8</c:v>
                </c:pt>
                <c:pt idx="3">
                  <c:v>161.6</c:v>
                </c:pt>
                <c:pt idx="4">
                  <c:v>554.8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Independiente</c:v>
                </c:pt>
                <c:pt idx="1">
                  <c:v>Ejecutivo</c:v>
                </c:pt>
                <c:pt idx="2">
                  <c:v>Otro externo</c:v>
                </c:pt>
                <c:pt idx="3">
                  <c:v>Dominical</c:v>
                </c:pt>
              </c:strCache>
            </c:strRef>
          </c:cat>
          <c:val>
            <c:numRef>
              <c:f>Hoja1!$B$2:$B$5</c:f>
              <c:numCache>
                <c:formatCode>0</c:formatCode>
                <c:ptCount val="4"/>
                <c:pt idx="0">
                  <c:v>8</c:v>
                </c:pt>
                <c:pt idx="1">
                  <c:v>1</c:v>
                </c:pt>
                <c:pt idx="2">
                  <c:v>1</c:v>
                </c:pt>
                <c:pt idx="3">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BlackRock</c:v>
                </c:pt>
                <c:pt idx="1">
                  <c:v>Conifer Management (fondos Acacia)</c:v>
                </c:pt>
                <c:pt idx="2">
                  <c:v>Grupo Vanguard</c:v>
                </c:pt>
                <c:pt idx="3">
                  <c:v>Consejeros y directivos (CEO)</c:v>
                </c:pt>
              </c:strCache>
            </c:strRef>
          </c:cat>
          <c:val>
            <c:numRef>
              <c:f>Hoja1!$B$2:$B$5</c:f>
              <c:numCache>
                <c:formatCode>0.0"%"</c:formatCode>
                <c:ptCount val="4"/>
                <c:pt idx="0">
                  <c:v>16.5</c:v>
                </c:pt>
                <c:pt idx="1">
                  <c:v>15.4</c:v>
                </c:pt>
                <c:pt idx="2">
                  <c:v>12.5</c:v>
                </c:pt>
                <c:pt idx="3">
                  <c:v>0.56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5.8</c:v>
                </c:pt>
                <c:pt idx="7">
                  <c:v>6</c:v>
                </c:pt>
                <c:pt idx="8">
                  <c:v>8.4</c:v>
                </c:pt>
                <c:pt idx="9">
                  <c:v>8.1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7.1</c:v>
                </c:pt>
                <c:pt idx="1">
                  <c:v>7.1</c:v>
                </c:pt>
                <c:pt idx="2">
                  <c:v>7.1</c:v>
                </c:pt>
                <c:pt idx="3">
                  <c:v>7.1</c:v>
                </c:pt>
                <c:pt idx="4">
                  <c:v>7.1</c:v>
                </c:pt>
                <c:pt idx="5">
                  <c:v>7.1</c:v>
                </c:pt>
                <c:pt idx="6">
                  <c:v>7.1</c:v>
                </c:pt>
                <c:pt idx="7">
                  <c:v>7.1</c:v>
                </c:pt>
                <c:pt idx="8">
                  <c:v>7.1</c:v>
                </c:pt>
                <c:pt idx="9">
                  <c:v>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Group 1</c:v>
                </c:pt>
                <c:pt idx="1">
                  <c:v>AutoNation</c:v>
                </c:pt>
                <c:pt idx="2">
                  <c:v>Penske Automotive</c:v>
                </c:pt>
                <c:pt idx="3">
                  <c:v>Lithia Motors</c:v>
                </c:pt>
                <c:pt idx="4">
                  <c:v>Asbury Automotive</c:v>
                </c:pt>
                <c:pt idx="5">
                  <c:v>Sonic Automotive</c:v>
                </c:pt>
                <c:pt idx="6">
                  <c:v>CarMax</c:v>
                </c:pt>
                <c:pt idx="7">
                  <c:v>Inchcape</c:v>
                </c:pt>
                <c:pt idx="8">
                  <c:v>Rush Enterprises</c:v>
                </c:pt>
              </c:strCache>
            </c:strRef>
          </c:cat>
          <c:val>
            <c:numRef>
              <c:f>Hoja1!$B$2:$B$10</c:f>
              <c:numCache>
                <c:formatCode>0.0"x"</c:formatCode>
                <c:ptCount val="9"/>
                <c:pt idx="1">
                  <c:v>8.2</c:v>
                </c:pt>
                <c:pt idx="3">
                  <c:v>10.2</c:v>
                </c:pt>
                <c:pt idx="4">
                  <c:v>8.6</c:v>
                </c:pt>
                <c:pt idx="6">
                  <c:v>10.5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618</c:v>
                </c:pt>
                <c:pt idx="1">
                  <c:v>474</c:v>
                </c:pt>
                <c:pt idx="2">
                  <c:v>535</c:v>
                </c:pt>
                <c:pt idx="3">
                  <c:v>583</c:v>
                </c:pt>
                <c:pt idx="4">
                  <c:v>578</c:v>
                </c:pt>
                <c:pt idx="5">
                  <c:v>573</c:v>
                </c:pt>
                <c:pt idx="6">
                  <c:v>568</c:v>
                </c:pt>
                <c:pt idx="7">
                  <c:v>569</c:v>
                </c:pt>
                <c:pt idx="8">
                  <c:v>580</c:v>
                </c:pt>
                <c:pt idx="9">
                  <c:v>592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3742</c:v>
                </c:pt>
                <c:pt idx="1">
                  <c:v>5535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231,59</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133.8</c:v>
                </c:pt>
                <c:pt idx="1">
                  <c:v>400.53</c:v>
                </c:pt>
                <c:pt idx="2">
                  <c:v>561.1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231,59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(227,50 – 461,27)</c:v>
                </c:pt>
                <c:pt idx="1">
                  <c:v>Precio objetivo de los analistas (232,00 – 450,00)</c:v>
                </c:pt>
                <c:pt idx="2">
                  <c:v>Comparables: PER NTM (350,53 – 457,40)</c:v>
                </c:pt>
                <c:pt idx="3">
                  <c:v>DCF (WACC y g ± 0,5) (305,55 – 536,04)</c:v>
                </c:pt>
                <c:pt idx="4">
                  <c:v>Escenarios (bajista – alcista) (133,80 – 561,10)</c:v>
                </c:pt>
                <c:pt idx="5">
                  <c:v>DCF con la prima implícita del mercado (4,2 %)</c:v>
                </c:pt>
                <c:pt idx="6">
                  <c:v>Precio actual (231,59)</c:v>
                </c:pt>
              </c:strCache>
            </c:strRef>
          </c:cat>
          <c:val>
            <c:numRef>
              <c:f>Hoja1!$B$2:$B$8</c:f>
              <c:numCache>
                <c:formatCode>#,##0</c:formatCode>
                <c:ptCount val="7"/>
                <c:pt idx="0">
                  <c:v>227.5</c:v>
                </c:pt>
                <c:pt idx="1">
                  <c:v>232</c:v>
                </c:pt>
                <c:pt idx="2">
                  <c:v>350.53</c:v>
                </c:pt>
                <c:pt idx="3">
                  <c:v>305.55</c:v>
                </c:pt>
                <c:pt idx="4">
                  <c:v>133.8</c:v>
                </c:pt>
                <c:pt idx="5">
                  <c:v>404.13</c:v>
                </c:pt>
                <c:pt idx="6">
                  <c:v>230.43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(227,50 – 461,27)</c:v>
                </c:pt>
                <c:pt idx="1">
                  <c:v>Precio objetivo de los analistas (232,00 – 450,00)</c:v>
                </c:pt>
                <c:pt idx="2">
                  <c:v>Comparables: PER NTM (350,53 – 457,40)</c:v>
                </c:pt>
                <c:pt idx="3">
                  <c:v>DCF (WACC y g ± 0,5) (305,55 – 536,04)</c:v>
                </c:pt>
                <c:pt idx="4">
                  <c:v>Escenarios (bajista – alcista) (133,80 – 561,10)</c:v>
                </c:pt>
                <c:pt idx="5">
                  <c:v>DCF con la prima implícita del mercado (4,2 %)</c:v>
                </c:pt>
                <c:pt idx="6">
                  <c:v>Precio actual (231,59)</c:v>
                </c:pt>
              </c:strCache>
            </c:strRef>
          </c:cat>
          <c:val>
            <c:numRef>
              <c:f>Hoja1!$C$2:$C$8</c:f>
              <c:numCache>
                <c:formatCode>#,##0</c:formatCode>
                <c:ptCount val="7"/>
                <c:pt idx="0">
                  <c:v>233.76999999999998</c:v>
                </c:pt>
                <c:pt idx="1">
                  <c:v>218</c:v>
                </c:pt>
                <c:pt idx="2">
                  <c:v>106.87</c:v>
                </c:pt>
                <c:pt idx="3">
                  <c:v>230.48999999999995</c:v>
                </c:pt>
                <c:pt idx="4">
                  <c:v>427.3</c:v>
                </c:pt>
                <c:pt idx="5">
                  <c:v>166.83000000000004</c:v>
                </c:pt>
                <c:pt idx="6">
                  <c:v>2.319999999999993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