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Hermès International SCA</w:t>
      </w:r>
    </w:p>
    <w:p>
      <w:pPr>
        <w:spacing w:after="60"/>
        <w:rPr>
          <w:color w:val="52514E"/>
          <w:sz w:val="22"/>
          <w:szCs w:val="22"/>
        </w:rPr>
      </w:pPr>
      <w:r>
        <w:rPr>
          <w:color w:val="52514E"/>
          <w:sz w:val="22"/>
          <w:szCs w:val="22"/>
        </w:rPr>
        <w:t xml:space="preserve">RMS · Euronext París · ISIN FR0000052292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1.283,00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1.580,69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+24,6 % (base +20,3 %)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937,64 EUR · mercado 1.158,70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134.651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Hermès International SCA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RMS / FR0000052292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confección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rue du Faubourg Saint-Honoré, París · 1837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https://finance.hermes.com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1.283,00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1.255,00 – 2.300,00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134.651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123.285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156 M EUR/día (104.019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1.580,69 EUR</w:t>
      </w:r>
      <w:r>
        <w:t xml:space="preserve"> frente a 1.283,00 · Rentabilidad a 12 meses </w:t>
      </w:r>
      <w:r>
        <w:rPr>
          <w:b/>
          <w:bCs/>
        </w:rPr>
        <w:t xml:space="preserve">+24,6 % (base +20,3 %)</w:t>
      </w:r>
      <w:r>
        <w:t xml:space="preserve"> · Valor intrínseco 937,64 EUR · con la prima implícita del mercado: 1.158,70 (-9,7 %) · Alcista / bajista -10,6 % / -45,2 %</w:t>
      </w:r>
    </w:p>
    <w:p>
      <w:pPr>
        <w:spacing w:after="100"/>
      </w:pPr>
      <w:r>
        <w:rPr>
          <w:b/>
        </w:rPr>
        <w:t xml:space="preserve">La recomendación y por qué.</w:t>
      </w:r>
      <w:r>
        <w:t xml:space="preserve"> Vender, con convicción baja. El valor objetivo es de 937,64 EUR, un 26,9 % por debajo del precio de 1.283,00 EUR; con el dividendo (1,4 %), la rentabilidad total esperada es del −25,5 %, y ni el escenario alcista (1.146,87 EUR) alcanza el precio. Con la prima que hoy pide el mercado (4,2 %) el valor sube a 1.158,70 EUR y la rentabilidad a −8,3 %, con una asimetría de 0,43 veces: las dos reglas dan Vender. La convicción es baja porque esa rentabilidad está a menos de dos puntos del umbral y porque la conclusión depende de cuánto dure la prima de crecimiento de Hermès; subiría si las ventas del 3T26 (22-oct) quedan por debajo del 5 % a tipos constantes, y pasaríamos a Mantener por debajo de 1.263,94 EUR.</w:t>
      </w:r>
    </w:p>
    <w:p>
      <w:pPr>
        <w:spacing w:after="100"/>
      </w:pPr>
      <w:r>
        <w:rPr>
          <w:b/>
        </w:rPr>
        <w:t xml:space="preserve">El negocio.</w:t>
      </w:r>
      <w:r>
        <w:t xml:space="preserve"> Es el mejor negocio del lujo: margen operativo del 41,0 % frente al 35,0 % de la moda de LVMH, el 24 % de Chanel y el 11 % de Kering, un ROIC del 55,1 % y 12.926 M EUR de caja neta [1, 2, 14, 16, 19]. La calidad sostiene nuestro caso base (veredicto «Sí»): un 6,7 % anual con un taller nuevo al año, subidas de precio moderadas y casi sin reinversión; no sostiene el 12 % que pide el precio.</w:t>
      </w:r>
    </w:p>
    <w:p>
      <w:pPr>
        <w:spacing w:after="100"/>
      </w:pPr>
      <w:r>
        <w:rPr>
          <w:b/>
        </w:rPr>
        <w:t xml:space="preserve">Sector y ciclo.</w:t>
      </w:r>
      <w:r>
        <w:t xml:space="preserve"> El lujo personal cayó dos años (358.000 M EUR en 2025) y Bain espera un +2/4 % en 2026 [13]. Hermès sigue ganando cuota (+6,1 % a tipos constantes en el 1S26), pero su motor de 2019-2025, Asia-Pacífico sin Japón (42 % de las ventas), crece un 2,4 % [2].</w:t>
      </w:r>
    </w:p>
    <w:p>
      <w:pPr>
        <w:spacing w:after="100"/>
      </w:pPr>
      <w:r>
        <w:rPr>
          <w:b/>
        </w:rPr>
        <w:t xml:space="preserve">Finanzas.</w:t>
      </w:r>
      <w:r>
        <w:t xml:space="preserve"> Ventas de 16.131 M EUR y EBITDA de 7.425 M en los últimos doce meses; conversión en caja del 86 % y Altman de 18,02 [2]. El beneficio de 2025 bajó un 2 % por la contribución excepcional francesa (unos 325 M), que sigue en 2026 [1].</w:t>
      </w:r>
    </w:p>
    <w:p>
      <w:pPr>
        <w:spacing w:after="100"/>
      </w:pPr>
      <w:r>
        <w:rPr>
          <w:b/>
        </w:rPr>
        <w:t xml:space="preserve">Equipo y gobierno.</w:t>
      </w:r>
      <w:r>
        <w:t xml:space="preserve"> Resta poco, pero resta. La familia controla el 78,6 % de los votos y el socio colectivo nombra al gerente; la remuneración no tiene componente a largo plazo y al menos el 41,5 % del flotante votó en contra en 2025 (estimación propia) [1]. A favor: la familia compró 40,7 M EUR de acciones en doce meses, a 1.349-2.120 EUR [27].</w:t>
      </w:r>
    </w:p>
    <w:p>
      <w:pPr>
        <w:spacing w:after="100"/>
      </w:pPr>
      <w:r>
        <w:rPr>
          <w:b/>
        </w:rPr>
        <w:t xml:space="preserve">Valoración.</w:t>
      </w:r>
      <w:r>
        <w:t xml:space="preserve"> El DCF da 944,86 EUR (WACC del 9,99 %) y 1.192,26 EUR con la prima del mercado. El DCF inverso dice que el precio descuenta un crecimiento del 12,0 % anual en 2027e-2035e frente al 6,7 % de nuestro caso base y al 7,5 % del consenso para 2027e-2028e: el precio sigue pagando el Hermès de 2019-2025. Cotiza a 16,6 veces el EBITDA y 29,8 veces el beneficio, mínimos de cinco años (medias de 30,2 y 49,3 veces) [23], pero aún al doble de la mediana del lujo. Discrepamos del consenso, cuyo objetivo medio es de 1.657,61 EUR [29].</w:t>
      </w:r>
    </w:p>
    <w:p>
      <w:pPr>
        <w:spacing w:after="100"/>
      </w:pPr>
      <w:r>
        <w:rPr>
          <w:b/>
        </w:rPr>
        <w:t xml:space="preserve">Riesgos y catalizadores.</w:t>
      </w:r>
      <w:r>
        <w:t xml:space="preserve"> El riesgo de esta recomendación es que China vuelva y Hermès recupere un 10-12 % de crecimiento: el mercado volvería a pagar más de 45 veces el beneficio. En contra del precio, la fatiga de precio en marroquinería (bajista: 703,16 EUR) y las divisas. Catalizadores: ventas del 3T26 el 22-oct-2026, presupuesto francés de 2027 y resultados anuales el 11-feb-2027. Los foros franceses están en capitulación (objetivos de 900-1.000 EUR) [51]: el riesgo de rebote técnico existe, pero no cambia el valor.</w:t>
      </w:r>
    </w:p>
    <w:p>
      <w:pPr>
        <w:spacing w:after="100"/>
      </w:pPr>
      <w:r>
        <w:rPr>
          <w:b/>
        </w:rPr>
        <w:t xml:space="preserve">Qué cambiaría la decisión.</w:t>
      </w:r>
      <w:r>
        <w:t xml:space="preserve"> Con la regla combinada, Hermès es compra por debajo de 909,51 EUR, Mantener entre ese nivel y 1.263,94 EUR, y venta por encima. Pasaríamos a Mantener si el crecimiento a tipos constantes supera el 9 % dos trimestres seguidos con Asia-Pacífico sin Japón por encima del 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Objetivo a 12 meses: </w:t>
      </w:r>
      <w:r>
        <w:rPr>
          <w:b/>
          <w:bCs/>
        </w:rPr>
        <w:t xml:space="preserve">1.580,69 EUR</w:t>
      </w:r>
      <w:r>
        <w:t xml:space="preserve"> (rentabilidad +24,6 % (base +20,3 %)) · Valor intrínseco: 937,64 EUR (-26,9 % sobre 1.283,00) · con la prima implícita del mercado: 1.158,70 (-9,7 %)</w:t>
      </w:r>
    </w:p>
    <w:p>
      <w:pPr>
        <w:spacing w:after="100"/>
      </w:pPr>
      <w:r>
        <w:t xml:space="preserve">Hermès es una marca de 189 años que vende objetos que fabrica en cantidades que ella decide: margen operativo del 41,0 %, ROIC del 55,1 %, sin deuda y con 12.926 M EUR de caja [1, 2]. Ha crecido un 15,1 % anual de 2019 a 2025 con el mercado al 4 % y ha ganado cuota todos los años [6, 13].</w:t>
      </w:r>
    </w:p>
    <w:p>
      <w:pPr>
        <w:spacing w:after="100"/>
      </w:pPr>
      <w:r>
        <w:t xml:space="preserve">El precio, 1.283 EUR, ya ha caído un 38,9 % en 2026 y cotiza a 29,8 veces el beneficio, su mínimo de cinco años [23]. Pero el DCF inverso dice que todavía descuenta un 12,0 % de crecimiento anual hasta 2035 con nuestros márgenes, cuando el consenso espera un 7,5 % para 2027-2028 y la empresa crece un 6,1 % a tipos constantes [2, 28].</w:t>
      </w:r>
    </w:p>
    <w:p>
      <w:pPr>
        <w:spacing w:after="100"/>
      </w:pPr>
      <w:r>
        <w:t xml:space="preserve">El mercado acierta en la calidad y se equivoca en la duración del crecimiento: la marroquinería crece con la capacidad (un taller al año) y con subidas de precio que el sector ya no acepta como antes [12, 33]. Para invertir hay que creer que China vuelve y que Hermès recupera los dos dígitos durante una década. Nuestro caso base, un 6,7 % anual, vale 944,86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1.580,69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 × 46,60 = 1.048,50 · 28,2x × 54,10 = 1.525,62 · 38,0x × 58,50 = 2.223,00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 / 20,3 %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1.657,61 (nuestro base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937,64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 / -45,2 %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frente a 10,0 %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1.158,70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 frente a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 rentabilidad que decide (-8,3 %) está a menos de 3 puntos del umbral de Vender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937,64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937,64 y 1.776,32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1.776,32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1.263,94 EUR, pasaríamos a Mantener; por debajo de 909,51 EUR, a Comprar.</w:t>
      </w:r>
    </w:p>
    <w:p>
      <w:pPr>
        <w:pStyle w:val="ListParagraph"/>
        <w:numPr>
          <w:ilvl w:val="0"/>
          <w:numId w:val="2"/>
        </w:numPr>
        <w:spacing w:after="60"/>
      </w:pPr>
      <w:r>
        <w:t xml:space="preserve">Si el crecimiento a tipos constantes supera el 9 % dos trimestres seguidos, pasaríamos a Mantener.</w:t>
      </w:r>
    </w:p>
    <w:p>
      <w:pPr>
        <w:pStyle w:val="ListParagraph"/>
        <w:numPr>
          <w:ilvl w:val="0"/>
          <w:numId w:val="2"/>
        </w:numPr>
        <w:spacing w:after="60"/>
      </w:pPr>
      <w:r>
        <w:t xml:space="preserve">Si Asia-Pacífico sin Japón vuelve a crecer por encima del 6 % en un semestre, revisaríamos al alza el caso base.</w:t>
      </w:r>
    </w:p>
    <w:p>
      <w:pPr>
        <w:pStyle w:val="ListParagraph"/>
        <w:numPr>
          <w:ilvl w:val="0"/>
          <w:numId w:val="2"/>
        </w:numPr>
        <w:spacing w:after="60"/>
      </w:pPr>
      <w:r>
        <w:t xml:space="preserve">Si el margen operativo semestral baja del 39 %, reforzaríamos la venta (convicción media).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caída es un bache: Hermès volverá a crecer cerca de un 12 % anual (el DCF inverso) y merece el doble del múltiplo del lujo. El consenso tiene un objetivo de 1.657,61 EUR, un 29 % por encima del precio, con solo 2 ventas de 23 [29].</w:t>
      </w:r>
    </w:p>
    <w:p>
      <w:pPr>
        <w:keepNext/>
        <w:spacing w:after="100"/>
      </w:pPr>
      <w:r>
        <w:rPr>
          <w:b/>
          <w:bCs/>
        </w:rPr>
        <w:t xml:space="preserve">Lo que creemos nosotros.</w:t>
      </w:r>
    </w:p>
    <w:p>
      <w:pPr>
        <w:spacing w:after="100"/>
      </w:pPr>
      <w:r>
        <w:t xml:space="preserve">Hermès seguirá ganando cuota, pero a un ritmo del 7,5 % hasta 2030 y del 5 % en 2035: su crecimiento lo limitan los artesanos y un cliente que ya acepta peor las subidas de precio. Con ese ritmo, la acción vale 944,86 EUR por DCF y 1.192,26 EUR con la prima del mercado.</w:t>
      </w:r>
    </w:p>
    <w:p>
      <w:pPr>
        <w:keepNext/>
        <w:spacing w:after="100"/>
      </w:pPr>
      <w:r>
        <w:rPr>
          <w:b/>
          <w:bCs/>
        </w:rPr>
        <w:t xml:space="preserve">Por qué podemos tener razón.</w:t>
      </w:r>
    </w:p>
    <w:p>
      <w:pPr>
        <w:spacing w:after="100"/>
      </w:pPr>
      <w:r>
        <w:t xml:space="preserve">Porque la caída de 2025-2026 es de crecimiento, no de margen: del 13-15 % a tipos constantes al 6 %, con Asia al 2 % y Bernstein esperando subidas de precio más moderadas en 2027 [2, 33]. El precio ha bajado el múltiplo pero no la expectativa de crecimiento a largo plazo.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283,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El mejor margen del lujo</w:t>
      </w:r>
      <w:r>
        <w:t xml:space="preserve">: 41,0 % de margen operativo frente al 35,0 % de la moda de LVMH y el 11,1 % de Kering [1, 16, 19].</w:t>
      </w:r>
    </w:p>
    <w:p>
      <w:pPr>
        <w:pStyle w:val="ListParagraph"/>
        <w:numPr>
          <w:ilvl w:val="0"/>
          <w:numId w:val="2"/>
        </w:numPr>
        <w:spacing w:after="60"/>
      </w:pPr>
      <w:r>
        <w:rPr>
          <w:b/>
        </w:rPr>
        <w:t xml:space="preserve">Balance de caja</w:t>
      </w:r>
      <w:r>
        <w:t xml:space="preserve">: 12.926 M EUR de caja neta y ninguna deuda financiera relevante [2].</w:t>
      </w:r>
    </w:p>
    <w:p>
      <w:pPr>
        <w:pStyle w:val="ListParagraph"/>
        <w:numPr>
          <w:ilvl w:val="0"/>
          <w:numId w:val="2"/>
        </w:numPr>
        <w:spacing w:after="60"/>
      </w:pPr>
      <w:r>
        <w:rPr>
          <w:b/>
        </w:rPr>
        <w:t xml:space="preserve">La familia compra</w:t>
      </w:r>
      <w:r>
        <w:t xml:space="preserve">: 40,7 M EUR de compras de miembros de la familia y consejeros en doce meses, sin ventas [27].</w:t>
      </w:r>
    </w:p>
    <w:p>
      <w:pPr>
        <w:pStyle w:val="ListParagraph"/>
        <w:numPr>
          <w:ilvl w:val="0"/>
          <w:numId w:val="2"/>
        </w:numPr>
        <w:spacing w:after="60"/>
      </w:pPr>
      <w:r>
        <w:rPr>
          <w:b/>
        </w:rPr>
        <w:t xml:space="preserve">Múltiplo en mínimos</w:t>
      </w:r>
      <w:r>
        <w:t xml:space="preserve">: 29,8 veces el beneficio frente a una media de 49,3 veces en 2021-2025 [23].</w:t>
      </w:r>
    </w:p>
    <w:p>
      <w:pPr>
        <w:pStyle w:val="ListParagraph"/>
        <w:numPr>
          <w:ilvl w:val="0"/>
          <w:numId w:val="2"/>
        </w:numPr>
        <w:spacing w:after="60"/>
      </w:pPr>
      <w:r>
        <w:rPr>
          <w:b/>
        </w:rPr>
        <w:t xml:space="preserve">Sigue ganando cuota</w:t>
      </w:r>
      <w:r>
        <w:t xml:space="preserve">: +6,1 % a tipos constantes en el 1S26 con el mercado al +2/4 % [2, 13].</w:t>
      </w:r>
    </w:p>
    <w:p>
      <w:pPr>
        <w:pStyle w:val="Heading2"/>
      </w:pPr>
      <w:r>
        <w:t xml:space="preserve">En contra</w:t>
      </w:r>
    </w:p>
    <w:p>
      <w:pPr>
        <w:pStyle w:val="ListParagraph"/>
        <w:numPr>
          <w:ilvl w:val="0"/>
          <w:numId w:val="2"/>
        </w:numPr>
        <w:spacing w:after="60"/>
      </w:pPr>
      <w:r>
        <w:rPr>
          <w:b/>
        </w:rPr>
        <w:t xml:space="preserve">El precio pide un 12,0 % anual</w:t>
      </w:r>
      <w:r>
        <w:t xml:space="preserve"> de crecimiento hasta 2035, frente al 6,7 % de nuestro caso base.</w:t>
      </w:r>
    </w:p>
    <w:p>
      <w:pPr>
        <w:pStyle w:val="ListParagraph"/>
        <w:numPr>
          <w:ilvl w:val="0"/>
          <w:numId w:val="2"/>
        </w:numPr>
        <w:spacing w:after="60"/>
      </w:pPr>
      <w:r>
        <w:rPr>
          <w:b/>
        </w:rPr>
        <w:t xml:space="preserve">Asia frena</w:t>
      </w:r>
      <w:r>
        <w:t xml:space="preserve">: Asia-Pacífico sin Japón, el 42 % de las ventas, crece un 2,4 % en el 1S26 [2].</w:t>
      </w:r>
    </w:p>
    <w:p>
      <w:pPr>
        <w:pStyle w:val="ListParagraph"/>
        <w:numPr>
          <w:ilvl w:val="0"/>
          <w:numId w:val="2"/>
        </w:numPr>
        <w:spacing w:after="60"/>
      </w:pPr>
      <w:r>
        <w:rPr>
          <w:b/>
        </w:rPr>
        <w:t xml:space="preserve">Prima del 85 % sobre el lujo</w:t>
      </w:r>
      <w:r>
        <w:t xml:space="preserve">: 15,7 veces el EBITDA de los próximos 12 meses frente a 8,5 de la mediana [35, 36, 37, 38, 39, 40, 41].</w:t>
      </w:r>
    </w:p>
    <w:p>
      <w:pPr>
        <w:pStyle w:val="ListParagraph"/>
        <w:numPr>
          <w:ilvl w:val="0"/>
          <w:numId w:val="2"/>
        </w:numPr>
        <w:spacing w:after="60"/>
      </w:pPr>
      <w:r>
        <w:rPr>
          <w:b/>
        </w:rPr>
        <w:t xml:space="preserve">Divisas y fisco</w:t>
      </w:r>
      <w:r>
        <w:t xml:space="preserve">: −360 M EUR de ventas por divisas en el 1S26 y unos 325 M de contribución excepcional en 2025 [1, 2].</w:t>
      </w:r>
    </w:p>
    <w:p>
      <w:pPr>
        <w:pStyle w:val="ListParagraph"/>
        <w:numPr>
          <w:ilvl w:val="0"/>
          <w:numId w:val="2"/>
        </w:numPr>
        <w:spacing w:after="60"/>
      </w:pPr>
      <w:r>
        <w:rPr>
          <w:b/>
        </w:rPr>
        <w:t xml:space="preserve">Gobierno cerrado</w:t>
      </w:r>
      <w:r>
        <w:t xml:space="preserve">: el socio colectivo nombra al gerente y la remuneración no tiene métricas de retorno [1].</w:t>
      </w:r>
    </w:p>
    <w:p>
      <w:pPr>
        <w:pStyle w:val="Heading2"/>
      </w:pPr>
      <w:r>
        <w:t xml:space="preserve">Qué tiene que pasar para que la tesis funcione</w:t>
      </w:r>
    </w:p>
    <w:p>
      <w:pPr>
        <w:spacing w:after="100"/>
      </w:pPr>
      <w:r>
        <w:t xml:space="preserve">La tesis depende de que el crecimiento a tipos constantes se quede en el 6-8 % y no vuelva a los dos dígitos. La señal de que nos equivocamos: dos trimestres seguidos por encima del 9 %, con Asia-Pacífico sin Japón por encima del 6 % y la Marroquinería por encima del 12 %. La primera lectura llega el 22-oct-2026.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nuestro valor del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sin Japón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6 % o &lt;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Marroquinería a tipos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 o &gt;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precio y capacidad.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Divisas y absorción de capacidad.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de la familia (AMF)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 M EUR en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Ventas netas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quien mejor conoce la empresa.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16,6x / 15,7x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29,8x / 27,1x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 · -1,4x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Hermès nació en 1837 como taller de arneses de Thierry Hermès en París y se trasladó al 24 de la rue du Faubourg Saint-Honoré en 1880 [1]. Pasó de la guarnicionería al bolso, la seda y la moda en el siglo XX (Kelly en 1956, Birkin en 1984) bajo las familias Hermès, Dumas y Puech [1]. Salió a bolsa en 1993 con la familia en el control. En 2010 LVMH reveló una participación construida con derivados que llegó al 23 %; la familia agrupó más del 50 % en el holding H51 y en 2014 LVMH repartió su participación tras una multa de 8 M EUR de la AMF [22]. La lección: el control familiar, blindado por la forma de comanditaria por acciones, es parte de la tesis. Axel Dumas, sexta generación, dirige la casa desde 2013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1837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Thierry Hermès abre su taller de arneses y sillas de montar en París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Charles-Émile Hermès traslada el taller al 24 de la rue du Faubourg Saint-Honoré, sede actual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carré de seda; el bolso de 1930 pasa a llamarse Kelly en 1956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Jean-Louis Dumas toma el mando y crea la filial de relojes en Bienne (Suiza)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el bolso Birkin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Hermès International el 3 de junio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 revela una participación de en torno al 17 % construida con derivados; llegará al 23 %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Axel Dumas, sexta generación, nombrado gerente (Executive Chairman); la AMF multa a LVMH con 8 M EUR por la toma de participación [1,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LVMH, que reparte su 23 % entre sus accionistas y se compromete a no volver a comprar en cinco años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CAC 40; en 2021, en el Euro Stoxx 50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Toma de control de la distribución en Emiratos Árabes Unidos; ventas por encima de 15.000 M EUR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25.º taller de marroquinería (Loupes) y peor caída bursátil de su historia: −38,9 % en el año a 9-oct [2, 23].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Hermès diseña, fabrica y vende objetos de lujo con su única marca a través de 16 oficios. La Marroquinería-Guarnicionería (bolsos Birkin, Kelly, Constance, pequeña marroquinería y sillas de montar) hace el 44 % de las ventas de 2025 (7.070 M EUR); Prêt-à-porter y Accesorios, el 28 %; Seda y Textiles, el 6 %; los Otros oficios (joyería y casa), el 13 %; Perfumes y Belleza, Relojes y Otros productos, el resto [1]. Vende en 294 tiendas exclusivas, 234 de ellas propias, y en hermes.com; Asia-Pacífico sin Japón supone el 42 % de las ventas, Américas el 19 % y Europa con Francia el 25 % [1]. Fabrica el 55 % de sus objetos en talleres propios y exclusivos y el 75 % en Francia, con 79 centros de producción y 25 talleres de marroquinería [1, 2].</w:t>
      </w:r>
    </w:p>
    <w:p>
      <w:pPr>
        <w:pStyle w:val="Heading2"/>
      </w:pPr>
      <w:r>
        <w:t xml:space="preserve">Cómo gana dinero</w:t>
      </w:r>
    </w:p>
    <w:p>
      <w:pPr>
        <w:spacing w:after="100"/>
      </w:pPr>
      <w:r>
        <w:t xml:space="preserve">Vende caro lo que fabrica en cantidades que controla: el margen bruto fue del 71,1 % en 2025 y el margen operativo recurrente del 41,0 % [1]. La marroquinería está limitada por la capacidad: cada taller nuevo (uno al año, unos 260 artesanos) añade volumen, y el resto del crecimiento sale del precio y la mezcla [1, 7]. Casi todo se produce en euros y casi todo se vende en otras divisas: los tipos de cambio restaron más de 360 M EUR a las ventas del 1S26, aunque la empresa cubre casi el 100 % de sus flujos internos del año siguiente [1, 2]. No hay ingresos recurrentes por contrato, pero la demanda de los modelos icónicos supera a la oferta y la venta es en tienda propia, sin rebajas ni outlets. El gasto en comunicación es solo del 3,9 % de las ventas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(sin Francia)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(sin Japón)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(Oriente Medio)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(sin Francia)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(sin Japón)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(Oriente Medio)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particulares de muy alto patrimonio, sin concentración: ningún cliente pesa en las cuentas [1]. Los bolsos icónicos se asignan a clientes con historial de compra; un tribunal federal de California desestimó definitivamente en septiembre de 2025 la demanda colectiva que lo calificaba de venta condicionada [15]. El poder de precios se ve en los márgenes: el margen operativo subió del 31,0 % de 2020 al 41,1 % de 2025 con una inflación de costes alta y con divisas en contra, y la empresa creció un 8,9 % a tipos constantes en 2025 cuando el mercado crecía un 1 % [1, 12]. Bain calcula que los bolsos icónicos del sector subieron entre un 50 % y un 70 % de 2019 a 2025, y que eso expulsó a unos 70 millones de clientes aspiracionales del mercado desde 2022 [12]: Hermès apenas depende de ellos.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(2025); 6,1 %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Frenazo en Asia-Pacífico sin Japón (+4,9 % en 2025; +2,4 % en 1S26)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 (2025 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divisas en contra (−360 M de ventas en 1S26)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Marroquinería-Guarnicionería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7.070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a tipos constantes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 de las ventas; limitada por la capacidad de los talleres (25 en abr-2026)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exclusivas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(234 propias)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estable; crecimiento por ampliación y traslado de tiendas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26.494 (2025); 27.107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16.656 en Francia a jun-26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 operativas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 de las ventas; talleres y tiendas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bienes personales de lujo</w:t>
      </w:r>
      <w:r>
        <w:t xml:space="preserve"> a escala mundial (marroquinería, moda, calzado, joyería, relojería y belleza de gama alta), medido por Bain y Altagamma a precio de venta al público: 358.000 M EUR en 2025 [12, 13]. Es donde están el 100 % de las ventas de Hermès. Dentro, la marroquinería de lujo suma unos 74.000 M EUR en 2025 (−5 % a −7 %) y Hermès tiene en torno al 9,6 % (estimación propia) [12]. Usamos la serie de Bain de junio de 2026 (1996-2025) y la contrastamos con la edición de diciembre de 2025 [12, 13]; los datos de los competidores salen de sus cuentas. El TCAC histórico se mide de 2019 a 2025 para no partir del valle de 2020; el previsto (3,5 %) es estimación propia a partir del +2/4 % que Bain prevé para 2026 y su visión de crecimiento positivo hasta 2035 [12,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358.000 M EUR en 2025 (−2 % a tipos corrientes, +1 % a tipos constantes); 365.000-373.000 M EUR previstos para 2026 [12,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Riqueza y gasto de los clientes de muy alto patrimonio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perdió unos 20 millones de clientes en 2025 (330 millones frente a 400 en 2022), sobre todo aspiracionales; el cliente rico sostuvo su gasto [12]. Es la base de clientes de Hermès.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precios en la marroquinería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marroquinería de lujo cayó entre un 5 % y un 7 % en 2025, hasta unos 74.000 M EUR; los bolsos icónicos subieron entre un 50 % y un 70 % de 2019 a 2025 [12]. Hermès creció un 13 % a tipos constantes en Marroquinería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en China continental cayó entre un 6 % y un 8 % en 2025 [12]; Bain ve recuperación gradual en 2026 [13]. Asia-Pacífico sin Japón es el 42 % de las ventas de Hermès y creció solo un 2,5 % en el 2T26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Américas sumó unos 101.000 M EUR en 2025 (0 % a +2 %) y es la región que tira en 2026 según Bain [12, 13]; Hermès creció un 15,3 % en Américas en el 1S26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de Oriente Medio y turismo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sitúa el conflicto entre EE. UU. e Irán, el petróleo por encima de 100 USD y la caída de las devoluciones de impuestos a turistas (−20 % en febrero de 2026) como lastres del 1S26 [13]; Oriente Medio cayó un 4,2 % en las ventas de Hermès en el 1S26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en euros y ventas en otras divisas: los tipos de cambio restaron más de 360 M EUR a las ventas del 1S26 de Hermès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grupos suman en torno al 35 % del mercado; solo entre el 40 % y el 45 % de las marcas creció en 2025 [12]. En el segmento de Hermès (marroquinería de máximo precio) la rivalidad es mucho menor: Chanel es el único rival de tamaño comparable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venta en tiendas propias (234 de 294) y demanda superior a la oferta en los bolsos icónicos; el tribunal federal de California desestimó en septiembre de 2025 la demanda colectiva por las condiciones de venta del Birkin [1,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el 55 % de los objetos se fabrica en talleres propios y exclusivos, y Hermès controla curtidurías; la piel exótica depende de pocos criadores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189 años, 25 talleres de marroquinería y artesanos formados durante años: la capacidad no se compra [1,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gasto se desplaza a experiencias (+2/6 % en 2026) y la segunda mano llega a unos 50.000 M EUR, pero los bolsos Hermès se revenden por encima del precio de tienda, lo que refuerza la marca [12, 13].</w:t>
            </w:r>
          </w:p>
        </w:tc>
      </w:tr>
    </w:tbl>
    <w:p>
      <w:pPr>
        <w:spacing w:after="160" w:before="0"/>
      </w:pPr>
    </w:p>
    <w:p>
      <w:pPr>
        <w:pStyle w:val="Heading2"/>
      </w:pPr>
      <w:r>
        <w:t xml:space="preserve">Ciclo</w:t>
      </w:r>
    </w:p>
    <w:p>
      <w:pPr>
        <w:spacing w:after="100"/>
      </w:pPr>
      <w:r>
        <w:t xml:space="preserve">El lujo personal cayó dos años seguidos (364.000 M EUR en 2024 y 358.000 M en 2025) y Bain prevé un +2 % a +4 % a tipos constantes en 2026, con un primer trimestre todavía negativo a tipos corrientes (−5 % a −3 %) [13]. Es una recuperación tibia: el 1S26 sufrió el conflicto entre EE. UU. e Irán, el petróleo por encima de 100 USD y la primera subida de tipos del BCE desde 2023 [13]. En 2020 el mercado cayó un 21 % y Hermès un 7 %; en 2025 el mercado retrocedió un 2 % y Hermès subió un 5,5 % publicado [6, 13].</w:t>
      </w:r>
    </w:p>
    <w:p>
      <w:pPr>
        <w:pStyle w:val="Heading2"/>
      </w:pPr>
      <w:r>
        <w:t xml:space="preserve">Regulación</w:t>
      </w:r>
    </w:p>
    <w:p>
      <w:pPr>
        <w:spacing w:after="100"/>
      </w:pPr>
      <w:r>
        <w:t xml:space="preserve">Tres frentes con cifras. </w:t>
      </w:r>
      <w:r>
        <w:rPr>
          <w:b/>
        </w:rPr>
        <w:t xml:space="preserve">Aranceles de EE. UU.</w:t>
      </w:r>
      <w:r>
        <w:t xml:space="preserve">: Américas es el 19 % de las ventas y Hermès fabrica en Europa; aun así, la región creció un 15,3 % a tipos constantes en el 1S26 [2]. </w:t>
      </w:r>
      <w:r>
        <w:rPr>
          <w:b/>
        </w:rPr>
        <w:t xml:space="preserve">Fiscalidad francesa</w:t>
      </w:r>
      <w:r>
        <w:t xml:space="preserve">: la contribución excepcional sobre los beneficios de las grandes empresas costó unos 325 M EUR en 2025 (dos puntos de margen neto) y sigue en 2026 [1, 2]. </w:t>
      </w:r>
      <w:r>
        <w:rPr>
          <w:b/>
        </w:rPr>
        <w:t xml:space="preserve">China</w:t>
      </w:r>
      <w:r>
        <w:t xml:space="preserve">: Bain incluye el endurecimiento de normas entre los retos de corto plazo del sector, y la prensa recoge en octubre de 2026 la presión fiscal china sobre las marcas de lujo [13, 33]. Además, la piel exótica (cocodrilo, avestruz) está sujeta al convenio CITES y a la presión de las organizaciones de bienestar animal [1].</w:t>
      </w:r>
    </w:p>
    <w:p>
      <w:pPr>
        <w:pStyle w:val="Heading2"/>
      </w:pPr>
      <w:r>
        <w:t xml:space="preserve">Tendencias y disrupción</w:t>
      </w:r>
    </w:p>
    <w:p>
      <w:pPr>
        <w:spacing w:after="100"/>
      </w:pPr>
      <w:r>
        <w:t xml:space="preserve">El gasto se desplaza de los objetos a las experiencias (+2/6 % en 2026 frente al +2/4 % de los bienes personales) y la segunda mano llega a unos 50.000 M EUR [12, 13]. La marroquinería es la categoría perdedora (−5 % a −7 % en 2025) por la fatiga de precio y la falta de novedades, y la joyería la ganadora (+4/+6 %) [12]. Hermès gana con las dos: sus bolsos no pierden valor en la reventa y su joyería y casa (Otros oficios) crecieron un 11 % en 2025 [1]. El riesgo para Hermès es la normalización china: las marcas locales ganan terreno entre los jóvenes [12].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Tercer grupo mundial de bienes personales de lujo por ventas tras LVMH y Richemont, empatado con Chanel (≈4,5 % del mercado); ≈9,6 % de la marroquinería de lujo mundial (7.070 M EUR de 74.000 M EUR), estimación propia [1,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(Moda y Marroquinería)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Louis Vuitton y Dior: ventas del segmento −8 % publicadas en 2025 y margen del 37,1 % al 35,0 %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Compagnie Financière Richemont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CFR.SW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mar-2026. Cartier y Van Cleef &amp; Arpels: joyería con un 30,5 % de margen; compite con Hermès en joyería y relojes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Chanel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19.300 M USD de ingresos (+2 %) y 4.712 M USD de resultado operativo en 2025; su rival directo en bolsos de máximo precio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−13 % en 2025; Gucci 5.992 M EUR con un 16,1 % de margen: lo que pasa cuando una marca pierde al cliente aspiracional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1913.HK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 en 2025 gracias a Miu Miu; consolida Versace desde dic-2025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Moncler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 a tipos constantes en 2025, especialista en abrigo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red propiamente dicho; el valor de reventa de los bolsos (por encima del precio de tienda) refuerza la demanda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acceso a los bolsos icónicos depende de la relación con la tienda: el cliente que cambia de marca pierde su historial, aunque no hay contrato.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39-42 % en 2021-2025 frente al 35 % de LVMH Moda y Marroquinería, el 24 % de Chanel y el 11 % de Kering; creció un 8,9 % a tipos constantes en 2025 con el mercado plano [3, 7, 9,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(55 % en talleres propios, curtidurías propias) y gasto en comunicación del 3,9 % de las ventas (620 M EUR en 2025)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oferta la limitan los artesanos (formación larga, 25 talleres): crecer en marroquinería exige 1-2 talleres nuevos al año y no se puede replicar deprisa [4].</w:t>
            </w:r>
          </w:p>
        </w:tc>
      </w:tr>
    </w:tbl>
    <w:p>
      <w:pPr>
        <w:spacing w:after="160" w:before="0"/>
      </w:pPr>
    </w:p>
    <w:p>
      <w:pPr>
        <w:pStyle w:val="Heading2"/>
      </w:pPr>
      <w:r>
        <w:t xml:space="preserve">Amenazas</w:t>
      </w:r>
    </w:p>
    <w:p>
      <w:pPr>
        <w:spacing w:after="100"/>
      </w:pPr>
      <w:r>
        <w:t xml:space="preserve">La amenaza principal no es un competidor, sino la erosión de su propia escasez: si Hermès sube precios por encima de lo que acepta su cliente o fabrica más de lo que se desea, los bolsos dejarían de revenderse por encima del precio de tienda (Bain: el lujo perdió 70 millones de clientes desde 2022 por la subida de precios) [12]. Probabilidad baja: Hermès crece con capacidad, uno o dos talleres al año [2]. La segunda es China: Asia-Pacífico sin Japón es el 42 % de las ventas y crece un 2,4 % en el 1S26 [2]. La tercera, Chanel, que factura algo más que Hermès (19.300 M USD) y compite en el mismo cliente y en bolsos de máximo precio [14].</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2020-2025: ingresos </w:t>
      </w:r>
      <w:r>
        <w:rPr>
          <w:b/>
          <w:bCs/>
        </w:rPr>
        <w:t xml:space="preserve">20,2 %</w:t>
      </w:r>
      <w:r>
        <w:t xml:space="preserve">, EBITDA </w:t>
      </w:r>
      <w:r>
        <w:rPr>
          <w:b/>
          <w:bCs/>
        </w:rPr>
        <w:t xml:space="preserve">24,2 %</w:t>
      </w:r>
      <w:r>
        <w:t xml:space="preserve">, BPA </w:t>
      </w:r>
      <w:r>
        <w:rPr>
          <w:b/>
          <w:bCs/>
        </w:rPr>
        <w:t xml:space="preserve">26,7 %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6.389 M EUR en 2020 a 16.002 M en 2025, un 20,2 % anual, sin compras relevantes: el crecimiento es orgánico salvo el control de la distribución en Emiratos en 2024 [1, 4]. El margen EBITDA subió del 39,1 % de 2020 (año de cierres) al 45,6-47,3 % de 2021-2025, y el margen EBIT al 41,1 % en 2025 [1]. El margen bruto mejoró del 69,1 % al 71,1 % por precio y mezcla, pese a las divisas [1, 6]. El frenazo es reciente: de +15,7 % en 2023 a +5,5 % publicado en 2025 (+8,9 % a tipos constantes) y +1,6 % en el 1S26 (+6,1 %), por China y las divisas [1, 2]. El beneficio neto cayó en 2025 (4.524 M frente a 4.603 M) por la contribución excepcional francesa: sin ella, el margen neto habría sido del 30,3 % [1].</w:t>
      </w:r>
    </w:p>
    <w:p>
      <w:pPr>
        <w:pStyle w:val="Heading2"/>
      </w:pPr>
      <w:r>
        <w:t xml:space="preserve">Ajustes y partidas no recurrentes</w:t>
      </w:r>
    </w:p>
    <w:p>
      <w:pPr>
        <w:spacing w:after="100"/>
      </w:pPr>
      <w:r>
        <w:t xml:space="preserve">Usamos las cifras publicadas. Hermès no presenta partidas no recurrentes desde 2021 (el resultado operativo recurrente es igual al operativo); en 2020 incluyó 91 M de ingresos no recurrentes, que el motor quita del EBITDA [6]. El EBITDA es el resultado operativo más todas las amortizaciones, incluidas las de derechos de uso (799 M en 2025); las de 2022 y 2023 son estimación propia (660 y 700 M) [1, 5]. Los deterioros de activos (127 M en 2025, 84 M en 2024) quedan dentro del EBITDA, como en las cuentas; MarketScreener los suma al suyo [1, 28]. La contribución excepcional francesa infla el tipo impositivo de 2025 (33,4 %) y del 1S26 (35,4 %) frente al 28,7 % de 2024 [1,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1S26 (29-jul-2026) la dirección repitió su mensaje: «confianza» en el segundo semestre, control de los equilibrios y un objetivo «ambicioso» de crecimiento a tipos constantes, sin cifras [2]. Destacó la aceleración del 2T (+6,7 % frente al +5,6 % del 1T), la Marroquinería (+10,2 % en el 2T) y la capacidad nueva: el taller de Loupes abierto en abril y tres más previstos hasta 2030 [2, 10]. La caja creció más que el beneficio (flujo libre ajustado +18 %) por la gestión de existencias [2]. Frente a febrero, el discurso añade la palabra «incertidumbres» geopolíticas y monetarias y la defensa de la «estrategia de valor» en Oriente Medio [2, 3]. Lo que no se cuantificó: cuánto subirán los precios en 2027 (Bernstein espera que se moderen), cuándo vuelve a crecer China y el impacto de las divisas en el margen del 2S [33]. El mercado castigó la acción un 11,0 % en la sesión: el BPA (21,32 EUR) quedó por debajo de lo esperado (21,56) y Asia-Pacífico sin Japón creció un 2,5 % en el 2T frente al 4,0 % esperado, aunque el margen (41,0 %) superó el 40,6 % del consenso [23, 34].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Toma de control (enero de 2024) de la distribución minorista en los Emiratos Árabes Unidos junto a su socio local: la zona «Otros (Oriente Medio)» pasa de 299 M a 627 M de ventas (+110 %); efecto no significativo en las cuentas según la empresa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una caja: la caja neta reexpresada pasó de 4.904 M en 2020 a 12.926 M en jun-2026 tras pagar 8.719 M en dividendos en 2020-2025 [1, 2, 6]. El circulante comercial oscila entre el 11,9 % y el 17,1 % de las ventas: subió al 16,1 % en 2024 por existencias (2.797 M) y bajó al 13,8 % en 2025, y en el 1S26 se mantuvo estable [1, 2]. Los activos financieros no corrientes (1.230 M) incluyen 616 M de colocaciones de tesorería a más de tres meses y participaciones en proveedores y curtidurías [2, 11].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17.901</w:t>
      </w:r>
      <w:r>
        <w:t xml:space="preserve">, conversión </w:t>
      </w:r>
      <w:r>
        <w:rPr>
          <w:b/>
          <w:bCs/>
        </w:rPr>
        <w:t xml:space="preserve">87 %</w:t>
      </w:r>
      <w:r>
        <w:t xml:space="preserve"> del beneficio neto; adquisiciones 650, dividendos 8.719, recompras 578.</w:t>
      </w:r>
    </w:p>
    <w:p>
      <w:pPr>
        <w:spacing w:after="100"/>
      </w:pPr>
      <w:r>
        <w:t xml:space="preserve">Hermès convierte en caja libre entre el 74 % y el 109 % de su beneficio neto: 3.881 M en 2025 (86 %) y 17.901 M acumulados en 2020-2025 [1]. Los años bajos son los de inversión en existencias (2023: −794 M de circulante) [5]. Las inversiones operativas subieron del 4,5 % de las ventas en 2022 al 7,3 % en 2025 (1.161 M): talleres de marroquinería, la nueva sede de rue d'Anjou y tiendas en propiedad, con 449 M en Américas y 359 M en Francia [1]. Estimación propia: el mantenimiento está cerca de la amortización del inmovilizado (448 M, 2,8 % de las ventas) y el resto es crecimiento [1]. Sumando los arrendamientos (332 M), la inversión total fue del 9,3 % de las ventas en 2025.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 y Grant Thornton Audit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Opinión limpia de PwC (desde 2011) y Grant Thornton (desde 1999, 27 años seguidos) sobre 2025, con dos asuntos clave: la valoración de las existencias y la contabilización de las coberturas de divisa [1]. Las existencias son el juicio más relevante: 1.429 M de deterioro sobre 4.004 M brutos a dic-2025 (36 %) [1]. La remuneración en acciones (gratuitas para empleados) costó 199 M en 2025, el 3,0 % del resultado operativo [1]. No hay capitalización de gastos de desarrollo ni fondo de comercio relevante (180 M). Los tres indicadores del motor son impecables: Altman Z de 18,02 (zona segura, por la caja y la ausencia de deuda), Piotroski F de 8 sobre 9 y Beneish M de −2,71, lejos de la zona de manipulación. La conversión del beneficio en caja (86 % en 2025) confirma que el beneficio es real.</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Antigüedad del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Grant Thornton lleva 27 años seguidos; PwC, 15. En Francia la coauditoría obligatoria mitiga el riesgo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existencias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36 % del bruto; criterio estable y asunto clave del auditor [1,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Contribución excepcional francesa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Infla el tipo impositivo de 2025-2026; no es una partida recurrente pero puede prolongarse [1,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79,4 % · </w:t>
      </w:r>
      <w:r>
        <w:rPr>
          <w:b/>
          <w:bCs/>
        </w:rPr>
        <w:t xml:space="preserve">WACC</w:t>
      </w:r>
      <w:r>
        <w:t xml:space="preserve">: 10,0 %.</w:t>
      </w:r>
    </w:p>
    <w:p>
      <w:pPr>
        <w:spacing w:after="100"/>
      </w:pPr>
      <w:r>
        <w:t xml:space="preserve">Hermès crea valor por un margen enorme: el ROIC fue del 55,1 % en 2025, más de cinco veces el WACC del 9,99 %, y no ha bajado del 33 % ni en 2020 [1]. Lo mueve el margen (EBIT del 41,1 %), no la rotación: el capital invertido creció con talleres, tiendas y existencias, y por eso el ROIC baja del 76,8 % de 2022 al 55,1 % aunque el margen se mantenga. El ROIC incremental histórico (79,4 %) dice que cada euro invertido en capacidad ha rendido mucho, pero el de 2025 es menor: las ventas crecieron un 5,5 % con un capital invertido que siguió subiendo. El ROE (25 %) queda por debajo del ROIC por la caja ociosa: 12.926 M que rinden lo que paguen los depósitos [2]. Ningún comparable se acerca: LVMH tiene un ROIC del 12,7 % [35].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-10.509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12.310 M y colocaciones a más de tres meses 616 M a 30-jun-2026 (caja neta reexpresada 12.926 M); deuda financiera de 5 M [2,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financiera relevante ni covenants: 34 M de préstamos a dic-2025 y 5 M a jun-2026 [1, 2]. Los pasivos por arrendamiento suman 2.279 M a jun-2026 (tiendas y oficinas), que van en la deuda del puente [2]. Pensiones y prestaciones a largo plazo: 179 M de provisión a jun-2026 (133 M después de impuestos) [11]. Provisiones de 151 M y pasivos fiscales corrientes de 787 M (la contribución excepcional) [2]. Las existencias brutas (4.240 M) llevan un deterioro de 1.536 M, el 36 %: es el juicio contable más relevante y un asunto clave del auditor [1, 11].</w:t>
      </w:r>
    </w:p>
    <w:p>
      <w:pPr>
        <w:pStyle w:val="Heading1"/>
      </w:pPr>
      <w:r>
        <w:t xml:space="preserve">12. Asignación de capital</w:t>
      </w:r>
    </w:p>
    <w:p>
      <w:pPr>
        <w:pStyle w:val="Confianza"/>
        <w:spacing w:after="100"/>
      </w:pPr>
      <w:r>
        <w:t xml:space="preserve">Confianza: Media</w:t>
      </w:r>
    </w:p>
    <w:p>
      <w:pPr>
        <w:spacing w:after="100"/>
      </w:pPr>
      <w:r>
        <w:t xml:space="preserve">La política es estable: dividendo ordinario creciente (18 EUR por 2025, 42 % del beneficio) y, cuando sobra caja, un dividendo extraordinario (5 EUR en 2012, 2015 y 2018; 10 EUR en 2024 y 2025) [1]. Las recompras son pequeñas y sirven para cubrir las acciones gratuitas de los empleados: 160 M en el 1S26 [2]. Las prioridades son la inversión en capacidad (talleres y tiendas, 1.161 M en 2025) y la integración vertical (curtidurías, proveedores) [1]. No hay objetivo de endeudamiento: la empresa no usa deuda.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la distribución minorista en Emiratos Árabes Unidos (con su socio local)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Oriente Medio pasa de 299 a 627 M de ventas en 2024; efecto no significativo según la empresa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sociedades consolidadas (perímetro de producción y distribución)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Aparece fondo de comercio de 72 M en 2023 [5].</w:t>
            </w:r>
          </w:p>
        </w:tc>
      </w:tr>
    </w:tbl>
    <w:p>
      <w:pPr>
        <w:spacing w:after="160" w:before="0"/>
      </w:pPr>
    </w:p>
    <w:p>
      <w:pPr>
        <w:spacing w:after="100"/>
      </w:pPr>
      <w:r>
        <w:t xml:space="preserve">La dirección asigna bien el capital del negocio y mal el de la caja. En 2020-2025 generó 17.901 M de flujo libre, pagó 8.719 M en dividendos, gastó 650 M en compras pequeñas y 578 M en recompras, y acumuló el resto [1]. Las inversiones en capacidad rinden (ROIC incremental histórico del 79,4 %) y las compras han sido de proveedores y distribuidores, sin deterioros relevantes [1, 4]. Pero 12.926 M de caja (10 % de la capitalización) rinden un 2-3 % [2]: un dividendo extraordinario o una recompra mayor, con la acción un 44 % por debajo de su máximo, crearían más valor. La familia compra a título personal (40,7 M EUR en 12 meses), no a través de la empresa [27].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Axel Dumas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Gerente (Executive Chairman)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Sexta generación de la familia; BNP Paribas en China y EE. UU. (1995-2003); en Hermès desde 2003 (ventas en Francia, joyería 2006-2008, marroquinería 2008-2011, director general de operaciones en 2011). Gerente desde el 5-jun-2013. Posee 11.638 acciones a título personal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Émile Hermès SAS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colectivo (associé commandité) y segundo gerente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 los descendientes de Émile Hermès, responsable ilimitada de las deudas de la SCA; nombra y cesa a los gerentes y fija su política de remuneración. Presidida por Henri-Louis Bauer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Éric du Halgouët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adjunto de Finanzas (Executive Vice-President Finance)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Ejecutivo desde el 1-jun-2015, responsable de Finanzas del grupo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Éric de Seynes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Vigilancia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familia Hermès, presidente del Consejo de Vigilancia; consejero desde 2010 (y antes en otro mandato); trayectoria en Yamaha Motor Europe, de la que fue presidente y consejero delegado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Pierre-Alexis Dumas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artístico general (Artistic Executive Vice-President)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 Jean-Louis Dumas; responsable de la creación de los 16 oficios desde 2005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Agnès de Villers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adjunta de Marroquinería-Guarnicionería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del oficio que hace el 44 % de las ventas y de la apertura de los talleres (24.º en 2025 y 25.º en 2026) [1, 10].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de las ventas a tipos constantes (sin cifra)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+42 % a tipos constantes; margen operativo recurrente 39,3 %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a tipos constantes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 margen 40,5 %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a tipos constantes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 margen 42,1 %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a tipos constantes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 (con Emiratos); margen 40,5 %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ambicioso a tipos constantes; Marroquinería en línea con su objetivo anual de capacidad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+8,9 %; Marroquinería +13 %; margen 41,0 %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a medio plazo de crecimiento ambicioso a tipos constantes, confirmado el 29-jul-2026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+6,1 % a tipos constantes, margen 41,0 %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alineado con el capital familiar: Axel Dumas dirige desde 2013 y el Comité Ejecutivo mezcla miembros de la familia (Pierre-Alexis Dumas, Guillaume de Seynes, Wilfried Guerrand) con directivos de carrera (Éric du Halgouët en Finanzas desde 2015) [1]. La guía es cualitativa («crecimiento ambicioso a tipos constantes») y se ha cumplido todos los años de 2021 a 2025, con crecimientos del 9 % al 42 % [1]. La sucesión no está publicada: la decide Émile Hermès SAS, el socio colectivo, que nombra al gerente sin voto de la junta [1]. No hubo cambios en la cúpula en 24 meses.</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Éric de Seynes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Lucia Sinapi-Thomas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(desde la junta del 17-abr-2026, en sustitución de Monique Cohen)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Estelle Brachlianoff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CAG-RSC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Jean-Laurent Bonnafé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CAG-RSC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Cécile Béliot-Zind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Bernard Émié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Dorothée Altmayer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Charles-Éric Bauer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(hasta abr-2025)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Matthieu Dumas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CAG-RSC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Blaise Guerrand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Julie Guerrand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Olympia Guerrand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Renaud Momméja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Prescience Assoh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Laurence Dunand-Chatellet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40,74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H51 (holding de la familia Hermès)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57.375.794 acciones a dic-2025 (+13.000 en el año); 64,2 % de los votos ejercitables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H2 (holding familiar)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(7.012.602 acciones); 7,9 % de los votos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miembros de la familia Hermès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6.049.368 acciones; 6,5 % de los votos. Compras de 40,7 M EUR de sociedades familiares y consejeros entre dic-2025 y sep-2026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21,4 % de los votos ejercitables; unos 296.000 accionistas (214.000 en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733.097 acciones a dic-2025; 94.846 compradas en el 1S26 por 160 M EUR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Frédéric Dumas (gerencia de Émile Hermès SAS)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Henri-Louis y Charles-Éric Bauer (presidente de Émile Hermès SAS;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Capucine Harth y sociedad vinculada (gerencia de Émile Hermès SAS), mar y 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Laurent Momméja (gerencia de Émile Hermès SAS)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Dorothée Dumas (Consejo de Vigilancia), mayo y julio de 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Edouard Dumas (gerencia de Émile Hermès SAS), junio de 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Alice Dumas (gerencia de Émile Hermès SAS)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Matthieu Dumas (Consejo de Vigilancia), mar y 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Bernard Émié (Consejo de Vigilancia)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gerentes cobran un fijo que sube con las ventas (con un tope del 5 % anual) y un variable que sube con el beneficio antes de impuestos; el 10 % del variable depende de criterios de RSC [1, 26]. No hay variable a largo plazo, ni acciones, ni opciones: premia crecer, sin medir la rentabilidad del capital ni la del accionista. Axel Dumas devengó 7,83 M EUR en 2025 (30 veces el coste medio por empleado) y cobrará 5,31 M de variable por 2025 (+5,4 %) [1, 26]. La junta de 2025 aprobó su política con el 91,12 %; como la familia vota con el 78,6 % de los derechos, eso equivale (estimación propia, cota inferior) a que al menos el 41,5 % de los votos del flotante votaron en contra [1, 25].</w:t>
      </w:r>
    </w:p>
    <w:p>
      <w:pPr>
        <w:pStyle w:val="Heading2"/>
      </w:pPr>
      <w:r>
        <w:t xml:space="preserve">Operaciones vinculadas, estructura de control y defensas</w:t>
      </w:r>
    </w:p>
    <w:p>
      <w:pPr>
        <w:spacing w:after="100"/>
      </w:pPr>
      <w:r>
        <w:t xml:space="preserve">Hermès es una sociedad comanditaria por acciones: Émile Hermès SAS, de los descendientes de Émile Hermès, es el socio colectivo con responsabilidad ilimitada, nombra y cesa a los gerentes y decide por estatutos, a propuesta del Consejo de Vigilancia, las opciones estratégicas, los presupuestos de explotación e inversión y las propuestas a la junta sobre reservas [1]. La familia tiene además el 66,7 % del capital y el 78,6 % de los votos ejercitables (H51 el 54,3 % del capital) gracias a los derechos de voto dobles [1]. Es imposible una opa hostil. Operaciones vinculadas: el socio colectivo recibe el 0,67 % del beneficio distribuible por estatutos, y hay contratos con sociedades de miembros de la gerencia de Émile Hermès SAS (estudio de arquitectura RDAI, 20 M EUR en 2025; Studio des Fleurs, 4 M) y alquileres de la sede con SIFAH [1].</w:t>
      </w:r>
    </w:p>
    <w:p>
      <w:pPr>
        <w:pStyle w:val="Heading2"/>
      </w:pPr>
      <w:r>
        <w:t xml:space="preserve">Señales de alerta</w:t>
      </w:r>
    </w:p>
    <w:p>
      <w:pPr>
        <w:pStyle w:val="ListParagraph"/>
        <w:numPr>
          <w:ilvl w:val="0"/>
          <w:numId w:val="2"/>
        </w:numPr>
        <w:spacing w:after="60"/>
      </w:pPr>
      <w:r>
        <w:t xml:space="preserve">La remuneración de los gerentes no tiene componente a largo plazo ni métricas de retorno, y al menos el 41,5 % de los votos del flotante la rechazó en 2025 (estimación propia) [1].</w:t>
      </w:r>
    </w:p>
    <w:p>
      <w:pPr>
        <w:pStyle w:val="ListParagraph"/>
        <w:numPr>
          <w:ilvl w:val="0"/>
          <w:numId w:val="2"/>
        </w:numPr>
        <w:spacing w:after="60"/>
      </w:pPr>
      <w:r>
        <w:t xml:space="preserve">Contratos con sociedades de miembros de la gerencia del socio colectivo (RDAI, 20 M EUR; Studio des Fleurs, 4 M) [1].</w:t>
      </w:r>
    </w:p>
    <w:p>
      <w:pPr>
        <w:pStyle w:val="ListParagraph"/>
        <w:numPr>
          <w:ilvl w:val="0"/>
          <w:numId w:val="2"/>
        </w:numPr>
        <w:spacing w:after="60"/>
      </w:pPr>
      <w:r>
        <w:t xml:space="preserve">Grant Thornton lleva 27 años como coauditor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Hermès no da cifras: el 29-jul-2026 confirmó un «objetivo ambicioso de crecimiento de las ventas a tipos constantes» a medio plazo, «pese a las incertidumbres económicas, geopolíticas y monetarias», la misma frase de octubre de 2025, febrero y abril de 2026 [2, 3, 7, 10]. Sobre el margen, solo el dato publicado (41,0 % en el 1S26 con divisas en contra) [2]. La capacidad está fijada: talleres de marroquinería en 2027 (Charleville-Mézières), 2028 (Colombelles) y 2030 (Les Andelys)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 analistas, 9-oct-2026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 analistas, 9-oct-2026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23 analistas, 9-oct-2026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11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1.657,61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1.168,00 – 2.075,00</w:t>
            </w:r>
          </w:p>
        </w:tc>
      </w:tr>
    </w:tbl>
    <w:p>
      <w:pPr>
        <w:spacing w:after="160" w:before="0"/>
      </w:pPr>
    </w:p>
    <w:p>
      <w:pPr>
        <w:pStyle w:val="Heading2"/>
      </w:pPr>
      <w:r>
        <w:t xml:space="preserve">Revisiones de estimaciones</w:t>
      </w:r>
    </w:p>
    <w:p>
      <w:pPr>
        <w:spacing w:after="100"/>
      </w:pPr>
      <w:r>
        <w:t xml:space="preserve">Las estimaciones van a la baja desde agosto: RBC rebajó en agosto, Bernstein recortó sus previsiones en septiembre por una demanda china «más moderada» y espera que Hermès modere las subidas de precio de la marroquinería en 2027; Citi y HSBC bajaron su objetivo, y UBS empezó con Vender y un objetivo de 1.168 EUR el 5-oct, mientras Goldman Sachs mantiene Vender [29, 33]. Hoy hay 10 recomendaciones de compra, 11 de mantener y 2 de venta, con un objetivo medio de 1.657,61 EUR [29, 30]. Las cifras de los últimos tres y doce meses no se publican gratis: solo la dirección de los cambios. El consenso de 2026e (16.709 M de ventas, +4,4 %) exige un 2S26 un 7,3 % mayor que el de 2025 [3, 28].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Hermès ha perdido un 38,9 % en 2026 con dividendos, frente al −1,8 % del CAC 40 y el −11,1 % del ETF de lujo mundial: la peor caída de su historia bursátil (−54,6 % desde el máximo de febrero de 2025) [23, 33]. Las caídas se concentran en sus publicaciones: −8,2 % con las ventas del 1T26 (15-abr) y −11,0 % con los resultados del 1S26 (29-jul), por Asia y un BPA algo inferior al esperado [23, 34]. En septiembre y octubre se sumaron los recortes de objetivo de varios bancos y la entrada de UBS en Vender [33]. La caída es de múltiplo, no de beneficio: el BPA de los últimos doce meses (43,00 EUR) es casi el de 2024 [2]. La beta mensual a cinco años es 1,44 frente al CAC 40 y 1,42 frente al Stoxx 600 [23]. No consta posición corta neta publicada en la AMF (no se pudo comprobar).</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Hermès cotiza a 16,6 veces el EBITDA de los últimos doce meses y 29,8 veces el beneficio, frente a una media de 30,2 y 49,3 veces al cierre de 2021-2025 (2020 queda fuera por la pandemia): un descuento del 45 % y del 40 %, y por debajo del mínimo de esos cinco años (26,8 y 45,0 veces) [23]. Lo que ha cambiado es el crecimiento: los múltiplos de 2021-2024 pagaban un 13-41 % anual de ventas; hoy crece un 6 % a tipos constantes. También subieron los tipos: el Bund pasó de negativo en 2021 al 3,53 % [31]. El múltiplo actual sigue siendo el doble que el de la mediana del lujo (8,5 veces el EBITDA de los próximos 12 meses) [35, 36, 37, 38, 39, 40, 41].</w:t>
      </w:r>
    </w:p>
    <w:p>
      <w:pPr>
        <w:pStyle w:val="Heading1"/>
      </w:pPr>
      <w:r>
        <w:t xml:space="preserve">18. Comparables cotizados</w:t>
      </w:r>
    </w:p>
    <w:p>
      <w:pPr>
        <w:pStyle w:val="Confianza"/>
        <w:spacing w:after="100"/>
      </w:pPr>
      <w:r>
        <w:t xml:space="preserve">Confianza: Media</w:t>
      </w:r>
    </w:p>
    <w:p>
      <w:pPr>
        <w:spacing w:after="100"/>
      </w:pPr>
      <w:r>
        <w:t xml:space="preserve">Siete grupos europeos de lujo y belleza en NIIF: LVMH, Richemont, Kering, Moncler, Prada, Brunello Cucinelli y L'Oréal, con cifras de MarketScreener a 8-oct-2026 [35, 36, 37, 38, 39, 40, 41]. Chanel no cotiza; Ferrari, el otro negocio de escasez, quedó fuera por falta de datos gratuitos completos. Ninguno es comparable de verdad: Hermès tiene un margen EBITDA del 46 % frente a la mediana del 29,6 % y un ROIC cuatro veces mayor.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 / 8,5x / 12,8x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9,3x / 15,7x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 / 22,4x / 26,5x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3,3x / 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794,58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8,1 + 0,30 × crecimiento; R² = 0,15. El crecimiento explica poco los múltiplos de estos comparables (R² &lt; 0,3): la regresión no se usa en la valoración.</w:t>
      </w:r>
    </w:p>
    <w:p>
      <w:pPr>
        <w:spacing w:after="100"/>
      </w:pPr>
      <w:r>
        <w:t xml:space="preserve">Hermès cotiza a 15,7 veces el EBITDA de los próximos 12 meses y 27,1 veces el beneficio, frente a una mediana de 8,5 y 22,4 veces: una prima del 85 % en EV/EBITDA y del 21 % en PER. La prima se justifica por el margen (46,0 % frente al 29,6 %), la caja neta (−1,4 veces el EBITDA) y un crecimiento previsto parecido al de la mediana (6,6 %), pero no por crecer más: hoy Hermès crece como el sector. La mediana daría 743,77 EUR por EV/EBITDA y 1.061,08 EUR por PER; el percentil 75 del PER, 1.255,30 EUR, sigue por debajo del precio. El crecimiento no explica los múltiplos (R² de 0,15), así que no usamos la regresión. Pesan solo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100 % a 131,50 USD por acción; precio de las acciones 13.574 M EUR más deuda neta y arrendamientos asumidos. EV/ventas sobre las ventas de 2021, primer año en el grupo (4.321 M EUR); EV/EBIT ≈ 21,3 veces, estimación propia [42].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3.200 M USD (2.836 M EUR a 1,1285); EBITDA ajustado de 140 M USD en los 12 meses a sep-2018. Hoteles y trenes de lujo [43, 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1.150 M EUR por el 100 %, mitad en caja y mitad en acciones; 13,5 veces el EBITDA de 2021e según Moncler y 17,1 veces el de 2020 (estimación propia)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57 USD; 9 veces el EBITDA ajustado. Excluida: no llegó a cerrarse y era moda accesible [46, 47].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1.250 M EUR; Versace perdía dinero: compra de recuperación [47, 48].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de belleza de Gucci, Bottega Veneta y Balenciaga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EUR en caja; sin ventas ni EBITDA publicados del perímetro [49].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TOM FORD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2.800 M USD por la marca (2.691 M EUR); sin múltiplo publicado [50].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770,75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613,98 – 875,27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Siete operaciones de lujo de 2018-2025, con EV/ventas de 1,7 a 5,6 veces y EV/EBITDA de 17,1 a 22,9 veces en las que lo publicaron [42, 43, 44, 45, 46, 47, 48, 49, 50]. Darían 770,75 EUR por acción, muy por debajo del precio, porque Hermès cotiza a 7,6 veces las ventas: ninguna operación se ha pagado así. No tienen peso: la familia controla el 78,6 % de los votos y el socio colectivo bloquea cualquier opa; el intento de LVMH de 2010-2014 terminó con su salida [1, 22].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+4,0 % publicado: el 1S26 creció un 1,6 % publicado y un 6,1 % a tipos constantes, y el consenso pide un +4,4 % para el año [2, 28]. 2027e-2030e +7,5 %, el consenso de 2027e-2028e (+7,5 % y +7,3 %) y el ritmo a tipos constantes de 2025-2026 (6-9 %) [1, 28]. Luego baja medio punto al año hasta el 5,0 % de 2035e. La media del caso base (6,7 % en 2027e-2035e) está muy por debajo del 15,1 % anual de 2019-2025 y del 20,2 % de 2020-2025, pero casi dobla el 3,5 % que esperamos para el mercado [13].</w:t>
      </w:r>
    </w:p>
    <w:p>
      <w:pPr>
        <w:keepNext/>
        <w:spacing w:after="100"/>
      </w:pPr>
      <w:r>
        <w:rPr>
          <w:b/>
          <w:bCs/>
        </w:rPr>
        <w:t xml:space="preserve">Márgenes.</w:t>
      </w:r>
    </w:p>
    <w:p>
      <w:pPr>
        <w:spacing w:after="100"/>
      </w:pPr>
      <w:r>
        <w:t xml:space="preserve">Margen EBITDA del 45,3 % en 2026e (el 1S26 fue del 46,2 % con un segundo semestre siempre algo más flojo y las divisas en contra) y del 45,5-46,0 % después, la banda de 2021-2025 (45,6-47,3 %) [1, 2]. El consenso, sin los deterioros que suma MarketScreener, da un 44,5 % en 2026e y un 44,3 % en 2027e: nuestro margen es algo más alto [28]. No suponemos expansión: la capacidad nueva y los salarios de los artesanos absorben el apalancamiento operativo.</w:t>
      </w:r>
    </w:p>
    <w:p>
      <w:pPr>
        <w:keepNext/>
        <w:spacing w:after="100"/>
      </w:pPr>
      <w:r>
        <w:rPr>
          <w:b/>
          <w:bCs/>
        </w:rPr>
        <w:t xml:space="preserve">Inversión y circulante.</w:t>
      </w:r>
    </w:p>
    <w:p>
      <w:pPr>
        <w:spacing w:after="100"/>
      </w:pPr>
      <w:r>
        <w:t xml:space="preserve">Capex del 8,5 % de las ventas en 2026e-2027e (inversiones operativas del 7,3 % en 2025 más las altas de derechos de uso, que aproximamos con los pagos de arrendamientos, 2,1 %) que baja al 5,6 % en 2035e, cuando se acaban los talleres anunciados; la amortización (inmovilizado más derechos de uso) sube del 5,1 % al 5,5 % [1]. Circulante comercial del 14,0 % de las ventas (13,8 % en 2025) [1]. Tipo impositivo del 34,0 % en 2026e con la contribución excepcional y del 28,5 % desde 2027e, el de 2024 (28,7 %) [1].</w:t>
      </w:r>
    </w:p>
    <w:p>
      <w:pPr>
        <w:keepNext/>
        <w:spacing w:after="100"/>
      </w:pPr>
      <w:r>
        <w:rPr>
          <w:b/>
          <w:bCs/>
        </w:rPr>
        <w:t xml:space="preserve">Coste del capital.</w:t>
      </w:r>
    </w:p>
    <w:p>
      <w:pPr>
        <w:spacing w:after="100"/>
      </w:pPr>
      <w:r>
        <w:t xml:space="preserve">Tasa libre del 3,53 %, el Bund a 10 años del 9-oct-2026 [31]. Beta de 1,20, la ajustada semanal a cinco años frente al CAC 40; las demás medidas dan 1,25-1,44, también frente al Stoxx 600 y al MSCI Europe [23]. Prima de mercado del 5,5 % y sin prima adicional. Sin deuda financiera: el peso de la deuda (1,7 %) son los arrendamientos, a un coste del 2,4 % [1]. WACC del 9,99 %; con la prima implícita del mercado (4,20 %), el 8,45 % [32].</w:t>
      </w:r>
    </w:p>
    <w:p>
      <w:pPr>
        <w:keepNext/>
        <w:spacing w:after="100"/>
      </w:pPr>
      <w:r>
        <w:rPr>
          <w:b/>
          <w:bCs/>
        </w:rPr>
        <w:t xml:space="preserve">Valor terminal.</w:t>
      </w:r>
    </w:p>
    <w:p>
      <w:pPr>
        <w:spacing w:after="100"/>
      </w:pPr>
      <w:r>
        <w:t xml:space="preserve">Crecimiento a perpetuidad del 3,0 %: inflación en euros de unos 2 % y un punto real, justo por debajo de la tasa libre menos medio punto (3,03 %). El múltiplo implícito es de 9,0 veces el EBITDA, la mitad del actual (16,6 veces) y del mínimo de 2021-2025 (26,8 veces) [23]. Es el supuesto que más separa nuestro valor del precio: el mercado supone que Hermès seguirá creciendo por encima de la economía mucho después de 2035.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896,19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1.107,60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5.785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 (hoy: 4,5 %)</w:t>
            </w:r>
          </w:p>
        </w:tc>
      </w:tr>
    </w:tbl>
    <w:p>
      <w:pPr>
        <w:spacing w:after="160" w:before="0"/>
      </w:pPr>
    </w:p>
    <w:p>
      <w:pPr>
        <w:spacing w:after="100"/>
      </w:pPr>
      <w:r>
        <w:t xml:space="preserve">La proyección apenas necesita inversión neta de la amortización (reinversión acumulada de 5.785 M, el 9 % del NOPAT, con un capex bruto medio del 7,2 % de las ventas). En un negocio de activos ligeros, el crecimiento medio del 6,4 % tiene que salir de subir precios y de ganar volumen sin capital nuevo, y la prueba es el poder de precios y la cuota (5,9 % del mercado en 2035e, frente al 4,5 %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crecimiento del 6,1 % a tipos constantes en el 1S26 que reparten un precio de en torno al 4-5 % y volumen; las divisas restan unos 2 puntos (−360 M en el 1S26)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taller de Charleville-Mézières y madurez de Loupes. Precio más moderado, como espera Bernstein [2, 33].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Taller de Colombelles (2028) y joyería y casa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en línea con su historia; volumen limitado por artesanos formados [1].</w:t>
            </w:r>
          </w:p>
        </w:tc>
      </w:tr>
    </w:tbl>
    <w:p>
      <w:pPr>
        <w:spacing w:after="160" w:before="0"/>
      </w:pPr>
    </w:p>
    <w:p>
      <w:pPr>
        <w:spacing w:after="100"/>
      </w:pPr>
      <w:r>
        <w:t xml:space="preserve">Sí, para nuestro caso base. El 6,7 % anual de 2027e-2035e lo financia de sobra un ROIC del 55,1 % con una reinversión mínima, y se apoya en un poder de precios demostrado (margen del 31,0 % al 41,1 % en cinco años con costes y divisas en contra) y en una capacidad que crece con un taller al año [1, 2]. La cuota implícita pasa del 4,5 % al 5,9 % del mercado en 2035e, 1,3 veces la actual, cuando Hermès ha ganado cuota todos los años desde 2019 [13]. Lo que la calidad no sostiene es el 12,0 % anual que pide el precio: eso exigiría volver a crecer como en 2019-2025 (15,1 % anual) con un mercado que crece un 3,5 %.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 (base: 6,7 %)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61,6 % (base: 46,0 %)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(WACC: 10,0 %)</w:t>
            </w:r>
          </w:p>
        </w:tc>
      </w:tr>
    </w:tbl>
    <w:p>
      <w:pPr>
        <w:spacing w:after="160" w:before="0"/>
      </w:pPr>
    </w:p>
    <w:p>
      <w:pPr>
        <w:spacing w:after="100"/>
      </w:pPr>
      <w:r>
        <w:t xml:space="preserve">El DCF da 944,86 EUR por acción, un 26,4 % por debajo del precio, con un 59 % del valor en el terminal. El DCF inverso es la clave: para justificar 1.283 EUR con nuestro WACC del 9,99 %, Hermès tendría que crecer un 12,0 % anual en 2027e-2035e con nuestros márgenes, frente al 6,7 % de nuestro caso base y el 7,5 % del consenso para 2027e-2028e; la rentabilidad implícita en el precio es del 8,0 % anual. Ese 12 % se parece a su historia (15,1 % anual en 2019-2025) en un mercado que crecía al 4 %; hoy el mercado crece entre un 2 % y un 4 % y Hermès un 6 % a tipos constantes [1, 2, 13]. Con la prima implícita del mercado (WACC del 8,45 %) el DCF sube a 1.192,26 EUR, todavía un 7 % por debajo del precio. El supuesto que más pesa es el terminal: un 3 % a perpetuidad supone 9,0 veces el EBITDA en 2035, la mitad de lo que el mercado ha pagado nunca por Hermès. Si se cree que la marca valdrá en 2035 lo que hoy, el precio es razonable; si se cree que Hermès converge hacia un gran grupo de lujo, sobra un 25 %.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frenazo de 2025-2026 se vuelve permanente: China no se recupera, los clientes rechazan nuevas subidas de precio en marroquinería y Hermès crece un 3-4 % con el margen tres puntos menor por las divisas y la capacidad infrautilizada, como les pasó a Gucci y a la moda de LVMH en 2024-2025.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crece un 7,5 % hasta 2030 con su capacidad nueva y subidas de precio moderadas, y converge al 5 % en 2035 con el margen en la banda del 46 %.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1.146,87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vuelve y el cliente de muy alto patrimonio sigue gastando: Hermès recupera un ritmo del 10-11 % a tipos constantes con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283,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934,94 EUR (-27,1 %).</w:t>
      </w:r>
    </w:p>
    <w:p>
      <w:pPr>
        <w:spacing w:after="100"/>
      </w:pPr>
      <w:r>
        <w:t xml:space="preserve">La asimetría es mala con nuestro WACC: incluso el alcista (1.146,87 EUR) queda un 10,6 % por debajo del precio, mientras el bajista (703,16 EUR) pierde un 45,2 %. Con la prima del mercado el alcista gana un 14,3 % y el bajista pierde un 33,2% (asimetría de 0,43 veces). El bajista es verosímil: ya le pasó a Gucci (Kering perdió un 13 % de ventas en 2025) y a la moda de LVMH, cuyo margen bajó dos puntos en un año [16, 19]. Para que comprar compense hay que creer en el alcista con una probabilidad mucho mayor que el 25 %.</w:t>
      </w:r>
    </w:p>
    <w:p>
      <w:pPr>
        <w:pStyle w:val="Heading1"/>
      </w:pPr>
      <w:r>
        <w:t xml:space="preserve">22. Suma de partes</w:t>
      </w:r>
    </w:p>
    <w:p>
      <w:pPr>
        <w:pStyle w:val="Confianza"/>
        <w:spacing w:after="100"/>
      </w:pPr>
      <w:r>
        <w:t xml:space="preserve">Confianza: Alta</w:t>
      </w:r>
    </w:p>
    <w:p>
      <w:pPr>
        <w:spacing w:after="100"/>
      </w:pPr>
      <w:r>
        <w:t xml:space="preserve">No aplica: Hermès es una sola marca con 16 oficios que comparten tiendas, talleres y clientes, y solo publica resultado por zonas geográficas, no por oficios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283,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937,64 EUR (-26,9 % sobre 1.283,00).</w:t>
      </w:r>
    </w:p>
    <w:p>
      <w:pPr>
        <w:spacing w:after="100"/>
      </w:pPr>
      <w:r>
        <w:t xml:space="preserve">Pesos: DCF 60 %, escenarios 30 % y comparables 10 %. El DCF es el método más fiable para un negocio sin deuda, con márgenes estables y una caja que se puede proyectar; los escenarios recogen la incertidumbre sobre el crecimiento, que es la variable que decide. Los comparables pesan poco porque Hermès no tiene comparables: su margen y su ROIC son el doble y el cuádruple de la mediana, y la mediana daría entre 743,77 y 1.061,08 EUR. Las transacciones no pesan (la familia hace imposible una opa). La dispersión es grande: de 700 EUR (comparables y bajista) a 1.192,26 EUR (DCF con la prima del mercado); solo el precio objetivo de los analistas (1.657,61 EUR) y la cotización de 52 semanas quedan por encima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(25.6x) × 1.1 (tope: la mediana de 5 años, 43.7x,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1.525,62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2.223,00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+74,7 %</w:t>
            </w:r>
          </w:p>
        </w:tc>
      </w:tr>
    </w:tbl>
    <w:p>
      <w:pPr>
        <w:spacing w:after="160" w:before="0"/>
      </w:pPr>
    </w:p>
    <w:p>
      <w:pPr>
        <w:spacing w:after="100"/>
      </w:pPr>
      <w:r>
        <w:rPr>
          <w:b/>
          <w:bCs/>
        </w:rPr>
        <w:t xml:space="preserve">Objetivo a 12 meses (ponderado):</w:t>
      </w:r>
      <w:r>
        <w:t xml:space="preserve"> 1.580,69 EUR · rentabilidad +24,6 % (base +20,3 %) · señal Mantener.</w:t>
      </w:r>
    </w:p>
    <w:p>
      <w:pPr>
        <w:spacing w:after="100"/>
      </w:pPr>
      <w:r>
        <w:t xml:space="preserve">Para comparar, con la regla v2 (historia al cierre, mismo precio): 21,8x / 25,6x / 33,3x, 13,1 % Mantener; con el tope anterior del base (×1,3, 14-oct mediodía): 45,6 % Mantener. Decide la regla vigente (v3 con tope ×1,1; METODO-VIGENTE.md).</w:t>
      </w:r>
    </w:p>
    <w:p>
      <w:pPr>
        <w:keepNext/>
        <w:spacing w:after="100"/>
      </w:pPr>
      <w:r>
        <w:rPr>
          <w:b/>
          <w:bCs/>
        </w:rPr>
        <w:t xml:space="preserve">Frente al consenso (solo contraste).</w:t>
      </w:r>
    </w:p>
    <w:p>
      <w:pPr>
        <w:spacing w:after="100"/>
      </w:pPr>
      <w:r>
        <w:t xml:space="preserve">Nuestro BPA base de 2028e (54,10) se separa un +2,2 % del consenso (52,92) y nuestro precio base (1384,96) un -16,4 % del objetivo medio de los analistas (1657,61).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937,64 (-26,9 %) frente al objetivo a 12 meses ponderado 1433,46 (+13,1 % con dividendo; base +9,3 %).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crecimiento por encima del 7 % a tipos constantes y la vuelta de Asia sostendrían el consenso del 2S26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francés de 2027: fin o prórroga de la contribución excepcional sobre los beneficios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325 M EUR anuales de beneficio neto (2 puntos de margen neto)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anuales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Bernstein espera que se moderen en marroquinería; una subida baja frenaría el crecimiento a corto plazo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(¿extraordinario?)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2S y uso de 12.926 M de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efecto de los precios de 2027 y de China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Apertura del taller de Charleville-Mézières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de marroquinería para 2027-2028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mercado sigue pagando la historia de crecimiento y la acción rebota (riesgo de la recomendación de venta)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+29 % hasta el objetivo medio de los analistas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objetivo medio cae desde agosto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tipos constantes por encima del 9 %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no se recupera (42 % de las ventas en Asia-Pacífico sin Japón)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(escenario bajista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 Américas y Europa crecen un 8-15 %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sin Japón por debajo del 0 %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 en marroquinería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−10 % (estimación con el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superior a la oferta en los modelos icónicos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Marroquinería por debajo del 8 % a tipos constantes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(producción en euros, ventas en dólares, yenes y yuanes)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−2,5 % por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 de casi el 100 % del año siguiente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semestral por debajo del 40 %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Prórroga de la contribución excepcional francesa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−3 EUR por acción (−0,3 %) por año adicional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Temporal por ley</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 de presupuesto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remuneración sin componente a largo plazo y caja ociosa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 (12.926 M rinden un 2-3 %)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extraordinarios en 2024-2025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Ausencia de dividendo extraordinario con caja creciente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Restricciones a la piel exótica o escándalo en la cadena de suministro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vertical y certificaciones LWG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CITES o investigaciones a proveedores</w:t>
            </w:r>
          </w:p>
        </w:tc>
      </w:tr>
    </w:tbl>
    <w:p>
      <w:pPr>
        <w:spacing w:after="160" w:before="0"/>
      </w:pPr>
    </w:p>
    <w:p>
      <w:pPr>
        <w:pStyle w:val="Heading2"/>
      </w:pPr>
      <w:r>
        <w:t xml:space="preserve">Pre-mortem</w:t>
      </w:r>
    </w:p>
    <w:p>
      <w:pPr>
        <w:spacing w:after="100"/>
      </w:pPr>
      <w:r>
        <w:t xml:space="preserve">Octubre de 2029: hemos recomendado vender y la acción ha subido un 40 %. La historia más probable: China vuelve a crecer en 2027 con el estímulo fiscal, el cliente de muy alto patrimonio estadounidense sigue gastando con las bolsas en máximos y Hermès, con los talleres de 2027 y 2028 en marcha, recupera un 10-12 % de crecimiento a tipos constantes sin bajar el margen del 41 %. El mercado vuelve a pagar más de 45 veces el beneficio, como al cierre de 2021-2025. La señal que lo habría anticipado: Asia-Pacífico sin Japón por encima del 6 % y la Marroquinería por encima del 12 % durante dos trimestres. La otra cara: si la recomendación acierta, la acción pierde un 25-30 % hasta los 900-950 EUR cuando el crecimiento se estabiliza en el 6-7 % y el mercado deja de pagar un múltiplo de escasez.</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(AA en 2022-2024)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 agua, bosques)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 A- / 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11,2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Tres asuntos mueven las cifras. </w:t>
      </w:r>
      <w:r>
        <w:rPr>
          <w:b/>
        </w:rPr>
        <w:t xml:space="preserve">Las pieles y el bienestar animal</w:t>
      </w:r>
      <w:r>
        <w:t xml:space="preserve">: el 90 % de los proveedores directos de piel tiene certificado LWG y la piel exótica depende de pocos criaderos; una restricción a la piel de cocodrilo afectaría a los bolsos más caros [1]. </w:t>
      </w:r>
      <w:r>
        <w:rPr>
          <w:b/>
        </w:rPr>
        <w:t xml:space="preserve">El empleo artesanal en Francia</w:t>
      </w:r>
      <w:r>
        <w:t xml:space="preserve">: 16.656 empleados en Francia, prima de 3.000 EUR a todos los empleados y escuelas propias; es la base de la capacidad y de la licencia social [1, 2]. </w:t>
      </w:r>
      <w:r>
        <w:rPr>
          <w:b/>
        </w:rPr>
        <w:t xml:space="preserve">El clima</w:t>
      </w:r>
      <w:r>
        <w:t xml:space="preserve">: emisiones de alcance 1 y 2 un 69 % por debajo de 2018 y 77 % de energía renovable [1]. MSCI bajó la nota de AA a A en 2025; CDP la mantiene en A en clima y bosques [1].</w:t>
      </w:r>
    </w:p>
    <w:p>
      <w:pPr>
        <w:pStyle w:val="Heading2"/>
      </w:pPr>
      <w:r>
        <w:t xml:space="preserve">Controversias</w:t>
      </w:r>
    </w:p>
    <w:p>
      <w:pPr>
        <w:spacing w:after="100"/>
      </w:pPr>
      <w:r>
        <w:t xml:space="preserve">La demanda colectiva de 2024 en California, que acusaba a Hermès de condicionar la venta del Birkin a otras compras, se desestimó definitivamente en septiembre de 2025 [15]. Nicolas Puech, heredero que decía tener unos 6 millones de acciones, denunció su desaparición; un tribunal suizo desestimó su demanda contra su antiguo gestor [24]. No hay sanciones de reguladores en los últimos tres años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medio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significa hoy «crecimiento ambicioso»? ¿Es compatible con un 6-7 % a tipos constantes o la dirección sigue pensando en dos cifras?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valor (944,86 EUR) y lo que descuenta el precio (12 % anual).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subirán los precios de la marroquinería en 2027 y qué parte del crecimiento de 2025-2026 fue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separa precio y volumen; el puente de ingresos es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evolucionan las ventas a clientes chinos dentro y fuera de China y la tasa de recompra?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sin Japón es el 42 % de las ventas y crece un 2,4 %.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artesanos de marroquinería se forman al año y cuál es la capacidad de cada taller nuevo?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volumen máximo y la reinversión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12.926 M de caja neta sin una recompra mayor, con la acción un 44 % por debajo de su máximo?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(10 % de la capitalización) rinde un 2-3 %.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y divisas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de cambio cubre ya 2027 y qué margen implica?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en torno a un 2,5 % del valor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un plan de sucesión de Axel Dumas dentro de la familia y cómo lo decidirá Émile Hermès SAS?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gerencia no la vota la junta.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Hermès (página 1: hilos de septiembre-octubre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Domina el análisis técnico con objetivos a la baja (1.270, 1.000 e incluso 900 EUR), ironía sobre el «PER justo» y mucha conversación sobre la rebaja de UBS a Vender con objetivo de 1.168 EUR; una minoría ve la acción «barata» y compra [51].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Hermès (página 2: hilos de julio-septiembre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Desencanto tras los resultados del 1S26 («−30 % desde el 1 de enero», «los entusiastas de hace año y medio están más callados»); hilos que siguen viendo la valoración «delirante» y otros que comentan compras de la familia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(comunidad de inversores), resumen de resultados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día por el BPA por debajo de lo esperado y Asia débil, pero el único comentario, con mucho apoyo, anima a comprar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MarketScreener y Zonebourse: titulares y notas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Bancos divididos: Bernstein, Jefferies, Berenberg y AlphaValue a Comprar; UBS y Goldman Sachs a Vender; RBC y Barclays neutrales. Titulares de «mayor corrección bursátil de su historia» y de la presión fiscal china sobre el lujo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(¿cuánto PER merece Hermès?)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a medias: el PER ha bajado a 29,8 veces desde una media de 49,3, pero el DCF inverso dice que el precio aún pide un 12,0 % anual de crecimiento [23].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Rebajas de los analistas (UBS y Goldman a Vender)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2 ventas de 23; el objetivo medio (1.657,61 EUR) sigue un 29 % por encima del precio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Asia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 Asia-Pacífico sin Japón crece un 2,4 % en el 1S26 y es el 42 % de las ventas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 en la caída / calidad a largo plazo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familia compra (40,7 M EUR en doce meses) y el margen se mantiene en el 41 %, pero la calidad no garantiza que el precio sea bajo [2, 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Análisis técnico y soportes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contenido fundamental; refleja el impulso de la caída (−38,9 % en el año) [23].</w:t>
            </w:r>
          </w:p>
        </w:tc>
      </w:tr>
    </w:tbl>
    <w:p>
      <w:pPr>
        <w:spacing w:after="160" w:before="0"/>
      </w:pPr>
    </w:p>
    <w:p>
      <w:pPr>
        <w:spacing w:after="100"/>
      </w:pPr>
      <w:r>
        <w:t xml:space="preserve">El tono de los particulares franceses es negativo y empeora: en Boursorama dominan los objetivos técnicos a la baja (1.000 y hasta 900 EUR) y la ironía sobre el PER, con poca discusión del negocio [51, 52]. Es un sentimiento de capitulación en el precio, no en las cifras: el BPA de los últimos doce meses es casi el de 2024 y la familia compró 40,7 M EUR de acciones en doce meses [2, 27]. No contradice a los analistas, que también se han partido (UBS y Goldman en Vender) [29]. Para la decisión aporta una señal contraria: la venta ya es mayoritaria entre los particulares y el riesgo de que la acción siga cayendo por impulso es real a corto plazo, pero no cambia el valor.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2 explicados. Fuentes: 52 (28 primarias); citas distintas en el texto: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5,9 % en 2035e frente al 4,5 %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13,8 % real: genera una variación de circulante de 129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0,15: el crecimiento no explica los múltiplos de estos comparables; no uses el valor de la regresión. Explicación: Con siete grupos de lujo de márgenes muy distintos (24-41 %) el crecimiento no explica el múltiplo;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8,4x a 10,7x según qué comparable se quite (736,29 a 904,51 por acción): la muestra es frágil; explícalo y no le des mucho peso. Explicación: Richemont y L'Oréal mueven la mediana: por eso los comparables pesan solo un 10 % y Hermès cotiza con una prima estructural que ningún comparable replica.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-8,0 %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fuentes (28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2022 y 2023 (desglose sin deterioros)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anuales 2023 y 2024: solo la línea de flujos con deterioros incluidos; 2) URD 2023 y 2024: la web de inversores no lista los PDF anteriores (carga dinámica) y las búsquedas no dan la URL; 3) estimación a partir de la línea de flujos menos un deterioro del orden del de 2021 y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2016-2019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2019 y anteriores en finance.hermes.com: no accesibles sin carga dinámica; 2) comunicados en MFN: solo desde 2024; 3) comunicado anual 2021 en la AMF: solo las cifras clave de 2019 (ventas 6.883 M, resultado operativo 2.339 M, beneficio neto 1.528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 geográfico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nota 4: solo 2025 y 2024; 2) comunicados anuales 2021 y 2023: solo ventas por zona; 3) URD 2023: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segmento de clientes de muy alto patrimonio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Bain dic-2025: solo da clientes totales (330 millones); 2) Bain jun-2026: sin cifra de gasto por segmento; 3) informes de LVMH y Hermès: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del 17-abr-2026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finance.hermes.com, sección de juntas: la página no carga los documentos sin JavaScript; 2) búsqueda del comunicado de resultados de votación en la AMF y en la prensa: sin resultado; 3) URD 2025 §2.8.5: solo la junta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asistencia del flotante a la junta (para el voto sobre el capital libre)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 da el quórum; 2) web de inversores: actas no accesibles; 3) cálculo con todo el flotante presente como cota inferior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AMF, registro de posiciones cortas netas: no consultado por presupuesto; 2) data.gouv.fr: no descargado; 3) prensa: sin menciones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y EV/EBITDA 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2026e-2027e; 2) Stock Analysis: histórico de pago; 3) Zonebourse: gráficos sin valores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Ferrari como comparable de lujo de escasez</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finanzas de Ferrari): la URL devolvió la portada; 2) Stock Analysis: sin estimaciones gratuitas a 3 años; 3) sin presupuesto para el 20-F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anglosajones)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 Alpha: 403; 2) Investing.com (comentarios): 404; 3) ABC Bourse (foro): 404. Reddit no se intentó (bloqueado según lecciones)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Documento de Registro Universal 2025 (incluye el informe financiero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https://assets-finance.hermes.com/s3fs-public/node/pdf_file/2026-04/1777391712/260320_hermes_urd2025_en.pdf?VersionId=jE9NgndClrtsqa.kJW0uyG8NRg4SFCVU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International: 2026 Half-year Results (nota de prensa con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https://mfn.se/all/a/hermes/hermes-international-2026-half-year-results-be9f20c4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2025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https://mfn.se/one/a/hermes/hermes-international-2025-full-year-results-a01f2a5e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2024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https://mfn.se/one/a/hermes/hermes-international-2024-full-year-results-13ea7f3a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2023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https://www.nasdaq.com/press-release/hermes-international:-2023-full-year-results-2024-02-09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Results (comunicado depositado en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https://echanges.dila.gouv.fr/OPENDATA/AMF/MKW/2022/02/FCMKW115592_20220218.pdf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Third Quarter 2025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https://mfn.se/one/a/hermes/hermes-international-third-quarter-2025-revenue-b22889db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Third Quarter 2024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https://mfn.se/one/a/hermes/hermes-international-third-quarter-2024-revenue-ad10cd63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2025 Half-year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https://mfn.se/one/a/hermes/hermes-international-2025-half-year-results-b0918fd8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First Quarter 2026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https://mfn.se/one/a/hermes/hermes-international-first-quarter-2026-revenue-51ea2512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financier semestriel / Half-year financial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https://assets-finance.hermes.com/s3fs-public/node/pdf_file/2026-09/1789652378/hermes_20260729_rfs_en_eaccessible.pdf?VersionId=98ozcRL7c.SmH2v9g3kzjeyG_QlE3yY1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in 2025: Finding a New Longevity for Luxury (Bain-Altagamma Luxury Study, 24.ª edición)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https://www.bain.com/insights/finding-a-new-longevity-for-luxury/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Altagamma-Bain Luxury Goods Worldwide Market Study, Spring 2026: Rhapsody in luxury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https://brand-news.it/wp-content/uploads/2026/06/ALTAGAMMA-BAIN-LUXURY-GOODS-WORLDWIDE-MARKET-MONITOR-UPDATE_.pdf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a new era begins, revenues of 19 billion (+2 %)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https://en.ilsole24ore.com/art/rebound-chanel-2025-new-era-begins-revenues-19-billion-2percent-AIupgDAD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Hermes defeats class action again over hard-to-get Birkin bags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Korea JoongAng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https://www.koreajoongangdaily.com/business/hermes-defeats-class-action-again-over-hardtoget-birkin-bags/12310777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2025 (Universal Registration Document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https://lvmh-com.cdn.prismic.io/lvmh-com/aczo-pGXnQHGZKQ5_UniversalRegistrationDocument2025.pdf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Richemont delivers strong sales growth and solid results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https://www.richemont.com/news-media/press-releases-news/richemont-delivers-strong-sales-growth-and-solid-results-for-the-year-ended-31-march-2026/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(cifras de ingresos y resultado operativo, convertidas a 1,175 USD/EUR del BCE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 / BCE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2025 results: Sequential improvement, unlocking the next phase of sustainable &amp; profitable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https://mfn.se/all/a/kering/kering-2025-results-sequential-improvement-unlocking-the-next-phase-of-sustainable-and-profitable-growth-df4cbf96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FY25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https://www.pradagroup.com/content/dam/pradagroup/documents/investors/FY-2025/Prada-Group-FY25-PR.pdf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FY 2025 Factsheet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https://www.monclergroup.com/v3/assets/blt61bda6b71f29a239/blt76518eab05423ac2/699777e8a36b21223513e373/Moncler-Group-FY-2025-Factsheet.pdf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vs. LVMH: The Timeline Behind a Takeover Attempt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Fashion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2014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https://www.thefashionlaw.com/hermes-vs-lvmh-a-timeline-of-the-drama/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RMS.PA, CAC.PA y GLUX.PA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https://finance.yahoo.com/quote/RMS.PA/history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Disappearing Act: Hermès Heir's $13 Billion Vanishes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Impression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https://theimpression.com/?p=11395177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relating to the total number of voting rights and shares (31 de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https://assets-finance.hermes.com/s3fs-public/node/pdf_file/2026-09/1789401714/hermes_20260914_releasetotalnumberofvotingrightsandshares_2026-08-31-en.pdf?VersionId=0uopQsR7_v1QgDXgLXVs9f5oTOCfXE5J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Release on compensation of Executive Chairmen as of 16 February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https://mfn.se/one/a/hermes/hermes-international-release-on-compensation-of-executive-chairmen-as-of-16-february-2026-9d991acf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dirigentes sobre Hermès International (2025DD1074981 a 2026DD1140617)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base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https://bdif.amf-france.org/back/api/v1/informations?RechercheTexte=HERMES%20INTERNATIONAL&amp;TypesInformation=DD&amp;From=0&amp;Size=40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Hermes (EPA:RMS)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https://stockanalysis.com/quote/epa/RMS/forecast/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a 10 años (BBSIS 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noticias y cambios de recomendación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el BPA del primer semestre decepciona pese al resultado operativo (resumen con 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https://app.getquin.com/en/post/DSAvHHyNvq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https://www.marketscreener.com/quote/stock/COMPAGNIE-FINANCIERE-RICH-14354614/valuation/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https://www.marketscreener.com/quote/stock/KERING-4683/valuation/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https://www.marketscreener.com/quote/stock/MONCLER-S-P-A-15098901/valuation/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https://www.marketscreener.com/quote/stock/PRADA-S-P-A-8235601/valuation/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Brunello Cucinelli: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https://www.marketscreener.com/quote/stock/BRUNELLO-CUCINELLI-S-P-A-10446678/valuation/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https://www.marketscreener.com/quote/stock/L-OREAL-4666/finances/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2023 (cuentas 2023, 2022 y 2021; nota 2.3 sobre Tiffany)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https://lvmh-com.cdn.prismic.io/lvmh-com/ZnKrfZm069VX138m_urd-2023-va_vdef.pdf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to acquire Belmond (anexo 99.1 al 8-K de Belmond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Belmond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https://www.sec.gov/Archives/edgar/data/1115836/000114036118045193/ex99_1.htm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diaria EXR.D.USD.EUR.SP00.A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acquisisce Stone Island. Mercato e analisti contenti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https://www.trend-online.com/prp/moncler-ftse-mib-stone-island/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Inc. Announces Definitive Agreement to Acquire Capri Holdings Limited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resultados del 4T y del ejercicio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https://www.sec.gov/Archives/edgar/data/1530721/000153072125000046/cpri8-k03292025exhibit991.htm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Press Release - Acquisition of Versace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https://www.pradagroup.com/content/dam/pradagroup/documents/2025/Aprile/inglese/Prada%20Group%20Press%20Release%20-%20Acquisition%20of%20Versace.pdf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alliance in beauty and wellness (nota de prensa, 19-oct-25)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HERMES INTL (RMS), página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HERMES INTL (RMS), página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https://www.boursorama.com/bourse/forum/1rPRMS/page-2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91,1 %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 Hermès International en Euronext París (RMS), en euros; precio de cierre del viernes 9-oct-2026 (1.283,00 EUR), porque la fecha de corte cae en domingo [23]. Acciones: 104,95 M diluidas (emitidas menos la autocartera de agosto de 2026 más el efecto de los planes de acciones gratuitas) [11, 25]. Cuentas NIIF-UE por función; los arrendamientos van en la deuda (NIIF 16) y el capex del DCF incluye las altas de derechos de uso. La cuenta va de 2020 a 2025 con los comunicados anuales y el URD 2025: las amortizaciones de 2022 y 2023 son estimación propia (los URD anteriores no se pudieron descargar) [5, 6]. Los segmentos son las zonas geográficas; el resultado por zona solo se publica para 2024-2025 [1]. Hermès publica ventas trimestrales y resultados semestrales: los trimestres solo llevan ventas. El EBITDA del consenso (MarketScreener) suma los deterioros (0,8 % de las ventas), que el motor resta [28]. Los comparables son de MarketScreener a 8-oct-2026, una sesión antes del corte [35, 36, 37, 38, 39, 40, 41]. Los impuestos de 2025 y 2026 incluyen la contribución excepcional francesa sobre los beneficios de las grandes empresas; el DCF la quita desde 2027e [1, 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Hermès International SCA (RMS)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1.283,00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(1.255,00 – 2.300,00)</c:v>
                </c:pt>
                <c:pt idx="1">
                  <c:v>Precio objetivo de los analistas (1.168,00 – 2.075,00)</c:v>
                </c:pt>
                <c:pt idx="2">
                  <c:v>Comparables: EV/EBITDA NTM (691,44 – 1.065,24)</c:v>
                </c:pt>
                <c:pt idx="3">
                  <c:v>Comparables: PER NTM (781,60 – 1.255,30)</c:v>
                </c:pt>
                <c:pt idx="4">
                  <c:v>Transacciones precedentes (EV/ventas) (613,98 – 875,27)</c:v>
                </c:pt>
                <c:pt idx="5">
                  <c:v>DCF (WACC y g ± 0,5) (857,00 – 1.061,30)</c:v>
                </c:pt>
                <c:pt idx="6">
                  <c:v>Escenarios (bajista – alcista) (703,16 – 1.146,87)</c:v>
                </c:pt>
                <c:pt idx="7">
                  <c:v>DCF con la prima implícita del mercado (4,2 %)</c:v>
                </c:pt>
                <c:pt idx="8">
                  <c:v>Precio actual (1.283,00)</c:v>
                </c:pt>
              </c:strCache>
            </c:strRef>
          </c:cat>
          <c:val>
            <c:numRef>
              <c:f>Hoja1!$B$2:$B$10</c:f>
              <c:numCache>
                <c:formatCode>#,##0</c:formatCode>
                <c:ptCount val="9"/>
                <c:pt idx="0">
                  <c:v>1255</c:v>
                </c:pt>
                <c:pt idx="1">
                  <c:v>1168</c:v>
                </c:pt>
                <c:pt idx="2">
                  <c:v>691.44</c:v>
                </c:pt>
                <c:pt idx="3">
                  <c:v>781.6</c:v>
                </c:pt>
                <c:pt idx="4">
                  <c:v>613.98</c:v>
                </c:pt>
                <c:pt idx="5">
                  <c:v>857</c:v>
                </c:pt>
                <c:pt idx="6">
                  <c:v>703.16</c:v>
                </c:pt>
                <c:pt idx="7">
                  <c:v>1097.38</c:v>
                </c:pt>
                <c:pt idx="8">
                  <c:v>1276.59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(1.255,00 – 2.300,00)</c:v>
                </c:pt>
                <c:pt idx="1">
                  <c:v>Precio objetivo de los analistas (1.168,00 – 2.075,00)</c:v>
                </c:pt>
                <c:pt idx="2">
                  <c:v>Comparables: EV/EBITDA NTM (691,44 – 1.065,24)</c:v>
                </c:pt>
                <c:pt idx="3">
                  <c:v>Comparables: PER NTM (781,60 – 1.255,30)</c:v>
                </c:pt>
                <c:pt idx="4">
                  <c:v>Transacciones precedentes (EV/ventas) (613,98 – 875,27)</c:v>
                </c:pt>
                <c:pt idx="5">
                  <c:v>DCF (WACC y g ± 0,5) (857,00 – 1.061,30)</c:v>
                </c:pt>
                <c:pt idx="6">
                  <c:v>Escenarios (bajista – alcista) (703,16 – 1.146,87)</c:v>
                </c:pt>
                <c:pt idx="7">
                  <c:v>DCF con la prima implícita del mercado (4,2 %)</c:v>
                </c:pt>
                <c:pt idx="8">
                  <c:v>Precio actual (1.283,00)</c:v>
                </c:pt>
              </c:strCache>
            </c:strRef>
          </c:cat>
          <c:val>
            <c:numRef>
              <c:f>Hoja1!$C$2:$C$10</c:f>
              <c:numCache>
                <c:formatCode>#,##0</c:formatCode>
                <c:ptCount val="9"/>
                <c:pt idx="0">
                  <c:v>1045</c:v>
                </c:pt>
                <c:pt idx="1">
                  <c:v>907</c:v>
                </c:pt>
                <c:pt idx="2">
                  <c:v>373.79999999999995</c:v>
                </c:pt>
                <c:pt idx="3">
                  <c:v>473.69999999999993</c:v>
                </c:pt>
                <c:pt idx="4">
                  <c:v>261.28999999999996</c:v>
                </c:pt>
                <c:pt idx="5">
                  <c:v>204.29999999999995</c:v>
                </c:pt>
                <c:pt idx="6">
                  <c:v>443.7099999999999</c:v>
                </c:pt>
                <c:pt idx="7">
                  <c:v>209.17999999999984</c:v>
                </c:pt>
                <c:pt idx="8">
                  <c:v>12.830000000000155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Francia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838</c:v>
                </c:pt>
                <c:pt idx="1">
                  <c:v>1064</c:v>
                </c:pt>
                <c:pt idx="2">
                  <c:v>1274</c:v>
                </c:pt>
                <c:pt idx="3">
                  <c:v>1447</c:v>
                </c:pt>
                <c:pt idx="4">
                  <c:v>1575</c:v>
                </c:pt>
              </c:numCache>
            </c:numRef>
          </c:val>
        </c:ser>
        <c:ser>
          <c:idx val="1"/>
          <c:order val="1"/>
          <c:tx>
            <c:strRef>
              <c:f>Hoja1!$C$1</c:f>
              <c:strCache>
                <c:ptCount val="1"/>
                <c:pt idx="0">
                  <c:v>Europa (sin Francia)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1303</c:v>
                </c:pt>
                <c:pt idx="1">
                  <c:v>1536</c:v>
                </c:pt>
                <c:pt idx="2">
                  <c:v>1818</c:v>
                </c:pt>
                <c:pt idx="3">
                  <c:v>2147</c:v>
                </c:pt>
                <c:pt idx="4">
                  <c:v>2362</c:v>
                </c:pt>
              </c:numCache>
            </c:numRef>
          </c:val>
        </c:ser>
        <c:ser>
          <c:idx val="2"/>
          <c:order val="2"/>
          <c:tx>
            <c:strRef>
              <c:f>Hoja1!$D$1</c:f>
              <c:strCache>
                <c:ptCount val="1"/>
                <c:pt idx="0">
                  <c:v>Japón</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977</c:v>
                </c:pt>
                <c:pt idx="1">
                  <c:v>1101</c:v>
                </c:pt>
                <c:pt idx="2">
                  <c:v>1260</c:v>
                </c:pt>
                <c:pt idx="3">
                  <c:v>1437</c:v>
                </c:pt>
                <c:pt idx="4">
                  <c:v>1591</c:v>
                </c:pt>
              </c:numCache>
            </c:numRef>
          </c:val>
        </c:ser>
        <c:ser>
          <c:idx val="3"/>
          <c:order val="3"/>
          <c:tx>
            <c:strRef>
              <c:f>Hoja1!$E$1</c:f>
              <c:strCache>
                <c:ptCount val="1"/>
                <c:pt idx="0">
                  <c:v>Asia-Pacífico (sin Japón)</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4251</c:v>
                </c:pt>
                <c:pt idx="1">
                  <c:v>5556</c:v>
                </c:pt>
                <c:pt idx="2">
                  <c:v>6273</c:v>
                </c:pt>
                <c:pt idx="3">
                  <c:v>6648</c:v>
                </c:pt>
                <c:pt idx="4">
                  <c:v>6702</c:v>
                </c:pt>
              </c:numCache>
            </c:numRef>
          </c:val>
        </c:ser>
        <c:ser>
          <c:idx val="4"/>
          <c:order val="4"/>
          <c:tx>
            <c:strRef>
              <c:f>Hoja1!$F$1</c:f>
              <c:strCache>
                <c:ptCount val="1"/>
                <c:pt idx="0">
                  <c:v>Américas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1458</c:v>
                </c:pt>
                <c:pt idx="1">
                  <c:v>2138</c:v>
                </c:pt>
                <c:pt idx="2">
                  <c:v>2502</c:v>
                </c:pt>
                <c:pt idx="3">
                  <c:v>2865</c:v>
                </c:pt>
                <c:pt idx="4">
                  <c:v>3075</c:v>
                </c:pt>
              </c:numCache>
            </c:numRef>
          </c:val>
        </c:ser>
        <c:ser>
          <c:idx val="5"/>
          <c:order val="5"/>
          <c:tx>
            <c:strRef>
              <c:f>Hoja1!$G$1</c:f>
              <c:strCache>
                <c:ptCount val="1"/>
                <c:pt idx="0">
                  <c:v>Otros (Oriente Medio)</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155</c:v>
                </c:pt>
                <c:pt idx="1">
                  <c:v>207</c:v>
                </c:pt>
                <c:pt idx="2">
                  <c:v>299</c:v>
                </c:pt>
                <c:pt idx="3">
                  <c:v>627</c:v>
                </c:pt>
                <c:pt idx="4">
                  <c:v>697</c:v>
                </c:pt>
              </c:numCache>
            </c:numRef>
          </c:val>
        </c:ser>
        <c:ser>
          <c:idx val="6"/>
          <c:order val="6"/>
          <c:tx>
            <c:strRef>
              <c:f>Hoja1!$H$1</c:f>
              <c:strCache>
                <c:ptCount val="1"/>
                <c:pt idx="0">
                  <c:v>No asignado</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Francia</c:v>
                </c:pt>
                <c:pt idx="1">
                  <c:v>Europa (sin Francia)</c:v>
                </c:pt>
                <c:pt idx="2">
                  <c:v>Japón</c:v>
                </c:pt>
                <c:pt idx="3">
                  <c:v>Asia-Pacífico (sin Japón)</c:v>
                </c:pt>
                <c:pt idx="4">
                  <c:v>Américas</c:v>
                </c:pt>
                <c:pt idx="5">
                  <c:v>Otros (Oriente Medio)</c:v>
                </c:pt>
                <c:pt idx="6">
                  <c:v>No asignado</c:v>
                </c:pt>
              </c:strCache>
            </c:strRef>
          </c:cat>
          <c:val>
            <c:numRef>
              <c:f>Hoja1!$B$2:$B$8</c:f>
              <c:numCache>
                <c:formatCode>General</c:formatCode>
                <c:ptCount val="7"/>
                <c:pt idx="0">
                  <c:v>9.8</c:v>
                </c:pt>
                <c:pt idx="1">
                  <c:v>14.8</c:v>
                </c:pt>
                <c:pt idx="2">
                  <c:v>9.9</c:v>
                </c:pt>
                <c:pt idx="3">
                  <c:v>41.9</c:v>
                </c:pt>
                <c:pt idx="4">
                  <c:v>19.2</c:v>
                </c:pt>
                <c:pt idx="5">
                  <c:v>4.4</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Asia-Pacífico (sin Japón)</c:v>
                </c:pt>
                <c:pt idx="1">
                  <c:v>Américas</c:v>
                </c:pt>
                <c:pt idx="2">
                  <c:v>Europa (sin Francia)</c:v>
                </c:pt>
                <c:pt idx="3">
                  <c:v>Japón</c:v>
                </c:pt>
                <c:pt idx="4">
                  <c:v>Francia</c:v>
                </c:pt>
                <c:pt idx="5">
                  <c:v>Otros (Oriente Medio)</c:v>
                </c:pt>
              </c:strCache>
            </c:strRef>
          </c:cat>
          <c:val>
            <c:numRef>
              <c:f>Hoja1!$B$2:$B$7</c:f>
              <c:numCache>
                <c:formatCode>0"%"</c:formatCode>
                <c:ptCount val="6"/>
                <c:pt idx="0">
                  <c:v>41.9</c:v>
                </c:pt>
                <c:pt idx="1">
                  <c:v>19.2</c:v>
                </c:pt>
                <c:pt idx="2">
                  <c:v>14.8</c:v>
                </c:pt>
                <c:pt idx="3">
                  <c:v>9.9</c:v>
                </c:pt>
                <c:pt idx="4">
                  <c:v>9.8</c:v>
                </c:pt>
                <c:pt idx="5">
                  <c:v>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284000</c:v>
                </c:pt>
                <c:pt idx="1">
                  <c:v>223000</c:v>
                </c:pt>
                <c:pt idx="2">
                  <c:v>293000</c:v>
                </c:pt>
                <c:pt idx="3">
                  <c:v>354000</c:v>
                </c:pt>
                <c:pt idx="4">
                  <c:v>369000</c:v>
                </c:pt>
                <c:pt idx="5">
                  <c:v>364000</c:v>
                </c:pt>
                <c:pt idx="6">
                  <c:v>358000</c:v>
                </c:pt>
                <c:pt idx="7">
                  <c:v>369000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1</c:v>
                </c:pt>
                <c:pt idx="2">
                  <c:v>2</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Hermès</c:v>
                </c:pt>
                <c:pt idx="1">
                  <c:v>LVMH (Moda y Marroquinería)</c:v>
                </c:pt>
                <c:pt idx="2">
                  <c:v>Compagnie Financière Richemont</c:v>
                </c:pt>
                <c:pt idx="3">
                  <c:v>Chanel</c:v>
                </c:pt>
                <c:pt idx="4">
                  <c:v>Kering</c:v>
                </c:pt>
                <c:pt idx="5">
                  <c:v>Prada</c:v>
                </c:pt>
                <c:pt idx="6">
                  <c:v>Moncler</c:v>
                </c:pt>
              </c:strCache>
            </c:strRef>
          </c:cat>
          <c:val>
            <c:numRef>
              <c:f>Hoja1!$B$2:$B$8</c:f>
              <c:numCache>
                <c:formatCode>0.0"%"</c:formatCode>
                <c:ptCount val="7"/>
                <c:pt idx="0">
                  <c:v>41.1</c:v>
                </c:pt>
                <c:pt idx="1">
                  <c:v>35</c:v>
                </c:pt>
                <c:pt idx="2">
                  <c:v>20</c:v>
                </c:pt>
                <c:pt idx="3">
                  <c:v>24.4</c:v>
                </c:pt>
                <c:pt idx="4">
                  <c:v>11.1</c:v>
                </c:pt>
                <c:pt idx="5">
                  <c:v>22.7</c:v>
                </c:pt>
                <c:pt idx="6">
                  <c:v>29.2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6389</c:v>
                </c:pt>
                <c:pt idx="1">
                  <c:v>8982</c:v>
                </c:pt>
                <c:pt idx="2">
                  <c:v>11602</c:v>
                </c:pt>
                <c:pt idx="3">
                  <c:v>13427</c:v>
                </c:pt>
                <c:pt idx="4">
                  <c:v>15170</c:v>
                </c:pt>
                <c:pt idx="5">
                  <c:v>16002</c:v>
                </c:pt>
                <c:pt idx="6">
                  <c:v>16642</c:v>
                </c:pt>
                <c:pt idx="7">
                  <c:v>17890</c:v>
                </c:pt>
                <c:pt idx="8">
                  <c:v>19232</c:v>
                </c:pt>
                <c:pt idx="9">
                  <c:v>20674</c:v>
                </c:pt>
                <c:pt idx="10">
                  <c:v>22225</c:v>
                </c:pt>
                <c:pt idx="11">
                  <c:v>23781</c:v>
                </c:pt>
                <c:pt idx="12">
                  <c:v>25326</c:v>
                </c:pt>
                <c:pt idx="13">
                  <c:v>26846</c:v>
                </c:pt>
                <c:pt idx="14">
                  <c:v>28323</c:v>
                </c:pt>
                <c:pt idx="15">
                  <c:v>29739</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2496</c:v>
                </c:pt>
                <c:pt idx="1">
                  <c:v>4093</c:v>
                </c:pt>
                <c:pt idx="2">
                  <c:v>5357</c:v>
                </c:pt>
                <c:pt idx="3">
                  <c:v>6350</c:v>
                </c:pt>
                <c:pt idx="4">
                  <c:v>6910</c:v>
                </c:pt>
                <c:pt idx="5">
                  <c:v>7368</c:v>
                </c:pt>
                <c:pt idx="6">
                  <c:v>7539</c:v>
                </c:pt>
                <c:pt idx="7">
                  <c:v>8140</c:v>
                </c:pt>
                <c:pt idx="8">
                  <c:v>8808</c:v>
                </c:pt>
                <c:pt idx="9">
                  <c:v>9510</c:v>
                </c:pt>
                <c:pt idx="10">
                  <c:v>10223</c:v>
                </c:pt>
                <c:pt idx="11">
                  <c:v>10939</c:v>
                </c:pt>
                <c:pt idx="12">
                  <c:v>11650</c:v>
                </c:pt>
                <c:pt idx="13">
                  <c:v>12349</c:v>
                </c:pt>
                <c:pt idx="14">
                  <c:v>13028</c:v>
                </c:pt>
                <c:pt idx="15">
                  <c:v>13680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68.5</c:v>
                </c:pt>
                <c:pt idx="1">
                  <c:v>71.3</c:v>
                </c:pt>
                <c:pt idx="2">
                  <c:v>70.8</c:v>
                </c:pt>
                <c:pt idx="3">
                  <c:v>72.3</c:v>
                </c:pt>
                <c:pt idx="4">
                  <c:v>70.3</c:v>
                </c:pt>
                <c:pt idx="5">
                  <c:v>71.1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39.1</c:v>
                </c:pt>
                <c:pt idx="1">
                  <c:v>45.6</c:v>
                </c:pt>
                <c:pt idx="2">
                  <c:v>46.2</c:v>
                </c:pt>
                <c:pt idx="3">
                  <c:v>47.3</c:v>
                </c:pt>
                <c:pt idx="4">
                  <c:v>45.6</c:v>
                </c:pt>
                <c:pt idx="5">
                  <c:v>46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31</c:v>
                </c:pt>
                <c:pt idx="1">
                  <c:v>39.3</c:v>
                </c:pt>
                <c:pt idx="2">
                  <c:v>40.5</c:v>
                </c:pt>
                <c:pt idx="3">
                  <c:v>42.1</c:v>
                </c:pt>
                <c:pt idx="4">
                  <c:v>40.5</c:v>
                </c:pt>
                <c:pt idx="5">
                  <c:v>41.1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21.7</c:v>
                </c:pt>
                <c:pt idx="1">
                  <c:v>27.2</c:v>
                </c:pt>
                <c:pt idx="2">
                  <c:v>29</c:v>
                </c:pt>
                <c:pt idx="3">
                  <c:v>32.1</c:v>
                </c:pt>
                <c:pt idx="4">
                  <c:v>30.3</c:v>
                </c:pt>
                <c:pt idx="5">
                  <c:v>28.3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10.1</c:v>
                </c:pt>
                <c:pt idx="1">
                  <c:v>17.7</c:v>
                </c:pt>
                <c:pt idx="2">
                  <c:v>8.5</c:v>
                </c:pt>
                <c:pt idx="3">
                  <c:v>5.6</c:v>
                </c:pt>
                <c:pt idx="4">
                  <c:v>4.8</c:v>
                </c:pt>
                <c:pt idx="5">
                  <c:v>3.1</c:v>
                </c:pt>
                <c:pt idx="6">
                  <c:v>-1.4</c:v>
                </c:pt>
                <c:pt idx="7">
                  <c:v>4.8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11.3</c:v>
                </c:pt>
                <c:pt idx="1">
                  <c:v>17.6</c:v>
                </c:pt>
                <c:pt idx="2">
                  <c:v>7.2</c:v>
                </c:pt>
                <c:pt idx="3">
                  <c:v>9</c:v>
                </c:pt>
                <c:pt idx="4">
                  <c:v>9.6</c:v>
                </c:pt>
                <c:pt idx="5">
                  <c:v>9.8</c:v>
                </c:pt>
                <c:pt idx="6">
                  <c:v>5.6</c:v>
                </c:pt>
                <c:pt idx="7">
                  <c:v>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c:v>
                </c:pt>
                <c:pt idx="1">
                  <c:v>14</c:v>
                </c:pt>
                <c:pt idx="2">
                  <c:v>12</c:v>
                </c:pt>
                <c:pt idx="3">
                  <c:v>12</c:v>
                </c:pt>
                <c:pt idx="4">
                  <c:v>12</c:v>
                </c:pt>
                <c:pt idx="5">
                  <c:v>10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234</c:v>
                </c:pt>
                <c:pt idx="1">
                  <c:v>205</c:v>
                </c:pt>
                <c:pt idx="2">
                  <c:v>192</c:v>
                </c:pt>
                <c:pt idx="3">
                  <c:v>237</c:v>
                </c:pt>
                <c:pt idx="4">
                  <c:v>226</c:v>
                </c:pt>
                <c:pt idx="5">
                  <c:v>203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81</c:v>
                </c:pt>
                <c:pt idx="1">
                  <c:v>76</c:v>
                </c:pt>
                <c:pt idx="2">
                  <c:v>84</c:v>
                </c:pt>
                <c:pt idx="3">
                  <c:v>86</c:v>
                </c:pt>
                <c:pt idx="4">
                  <c:v>67</c:v>
                </c:pt>
                <c:pt idx="5">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995</c:v>
                </c:pt>
                <c:pt idx="1">
                  <c:v>2661</c:v>
                </c:pt>
                <c:pt idx="2">
                  <c:v>3405</c:v>
                </c:pt>
                <c:pt idx="3">
                  <c:v>3192</c:v>
                </c:pt>
                <c:pt idx="4">
                  <c:v>3767</c:v>
                </c:pt>
                <c:pt idx="5">
                  <c:v>3881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1385</c:v>
                </c:pt>
                <c:pt idx="1">
                  <c:v>2445</c:v>
                </c:pt>
                <c:pt idx="2">
                  <c:v>3367</c:v>
                </c:pt>
                <c:pt idx="3">
                  <c:v>4311</c:v>
                </c:pt>
                <c:pt idx="4">
                  <c:v>4603</c:v>
                </c:pt>
                <c:pt idx="5">
                  <c:v>4524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c:v>
                </c:pt>
                <c:pt idx="1">
                  <c:v>59.9</c:v>
                </c:pt>
                <c:pt idx="2">
                  <c:v>76.8</c:v>
                </c:pt>
                <c:pt idx="3">
                  <c:v>75.9</c:v>
                </c:pt>
                <c:pt idx="4">
                  <c:v>64.7</c:v>
                </c:pt>
                <c:pt idx="5">
                  <c:v>55.1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c:v>
                </c:pt>
                <c:pt idx="1">
                  <c:v>10</c:v>
                </c:pt>
                <c:pt idx="2">
                  <c:v>10</c:v>
                </c:pt>
                <c:pt idx="3">
                  <c:v>10</c:v>
                </c:pt>
                <c:pt idx="4">
                  <c:v>10</c:v>
                </c:pt>
                <c:pt idx="5">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18.8</c:v>
                </c:pt>
                <c:pt idx="1">
                  <c:v>29.1</c:v>
                </c:pt>
                <c:pt idx="2">
                  <c:v>30.8</c:v>
                </c:pt>
                <c:pt idx="3">
                  <c:v>31.2</c:v>
                </c:pt>
                <c:pt idx="4">
                  <c:v>28.3</c:v>
                </c:pt>
                <c:pt idx="5">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-1.3</c:v>
                </c:pt>
                <c:pt idx="1">
                  <c:v>-1.29</c:v>
                </c:pt>
                <c:pt idx="2">
                  <c:v>-1.46</c:v>
                </c:pt>
                <c:pt idx="3">
                  <c:v>-1.43</c:v>
                </c:pt>
                <c:pt idx="4">
                  <c:v>-1.43</c:v>
                </c:pt>
                <c:pt idx="5">
                  <c:v>-1.42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c:v>
                </c:pt>
                <c:pt idx="1">
                  <c:v>0</c:v>
                </c:pt>
                <c:pt idx="2">
                  <c:v>1</c:v>
                </c:pt>
                <c:pt idx="3">
                  <c:v>288</c:v>
                </c:pt>
                <c:pt idx="4">
                  <c:v>229</c:v>
                </c:pt>
                <c:pt idx="5">
                  <c:v>60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490</c:v>
                </c:pt>
                <c:pt idx="1">
                  <c:v>490</c:v>
                </c:pt>
                <c:pt idx="2">
                  <c:v>852</c:v>
                </c:pt>
                <c:pt idx="3">
                  <c:v>1386</c:v>
                </c:pt>
                <c:pt idx="4">
                  <c:v>2705</c:v>
                </c:pt>
                <c:pt idx="5">
                  <c:v>2796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122</c:v>
                </c:pt>
                <c:pt idx="1">
                  <c:v>158</c:v>
                </c:pt>
                <c:pt idx="2">
                  <c:v>123</c:v>
                </c:pt>
                <c:pt idx="3">
                  <c:v>130</c:v>
                </c:pt>
                <c:pt idx="4">
                  <c:v>37</c:v>
                </c:pt>
                <c:pt idx="5">
                  <c:v>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Otro externo</c:v>
                </c:pt>
              </c:strCache>
            </c:strRef>
          </c:cat>
          <c:val>
            <c:numRef>
              <c:f>Hoja1!$B$2:$B$4</c:f>
              <c:numCache>
                <c:formatCode>0</c:formatCode>
                <c:ptCount val="3"/>
                <c:pt idx="0">
                  <c:v>8</c:v>
                </c:pt>
                <c:pt idx="1">
                  <c:v>5</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H51 (holding de la familia Hermès)</c:v>
                </c:pt>
                <c:pt idx="1">
                  <c:v>H2 (holding familiar)</c:v>
                </c:pt>
                <c:pt idx="2">
                  <c:v>Otros miembros de la familia Hermès</c:v>
                </c:pt>
                <c:pt idx="3">
                  <c:v>Capital flotante</c:v>
                </c:pt>
                <c:pt idx="4">
                  <c:v>Autocartera</c:v>
                </c:pt>
              </c:strCache>
            </c:strRef>
          </c:cat>
          <c:val>
            <c:numRef>
              <c:f>Hoja1!$B$2:$B$6</c:f>
              <c:numCache>
                <c:formatCode>0.0"%"</c:formatCode>
                <c:ptCount val="5"/>
                <c:pt idx="0">
                  <c:v>54.3</c:v>
                </c:pt>
                <c:pt idx="1">
                  <c:v>6.6</c:v>
                </c:pt>
                <c:pt idx="2">
                  <c:v>5.7</c:v>
                </c:pt>
                <c:pt idx="3">
                  <c:v>32.6</c:v>
                </c:pt>
                <c:pt idx="4">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25.3</c:v>
                </c:pt>
                <c:pt idx="1">
                  <c:v>15.4</c:v>
                </c:pt>
                <c:pt idx="2">
                  <c:v>10.4</c:v>
                </c:pt>
                <c:pt idx="3">
                  <c:v>38.5</c:v>
                </c:pt>
                <c:pt idx="4">
                  <c:v>32.9</c:v>
                </c:pt>
                <c:pt idx="5">
                  <c:v>75.4</c:v>
                </c:pt>
                <c:pt idx="6">
                  <c:v>-5.3</c:v>
                </c:pt>
                <c:pt idx="7">
                  <c:v>33.7</c:v>
                </c:pt>
                <c:pt idx="8">
                  <c:v>22.4</c:v>
                </c:pt>
                <c:pt idx="9">
                  <c:v>-7.7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7.4</c:v>
                </c:pt>
                <c:pt idx="1">
                  <c:v>12.7</c:v>
                </c:pt>
                <c:pt idx="2">
                  <c:v>-8.1</c:v>
                </c:pt>
                <c:pt idx="3">
                  <c:v>29.9</c:v>
                </c:pt>
                <c:pt idx="4">
                  <c:v>-4.9</c:v>
                </c:pt>
                <c:pt idx="5">
                  <c:v>31.5</c:v>
                </c:pt>
                <c:pt idx="6">
                  <c:v>-6.6</c:v>
                </c:pt>
                <c:pt idx="7">
                  <c:v>19.7</c:v>
                </c:pt>
                <c:pt idx="8">
                  <c:v>0.8</c:v>
                </c:pt>
                <c:pt idx="9">
                  <c:v>13.8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35.7</c:v>
                </c:pt>
                <c:pt idx="1">
                  <c:v>38.1</c:v>
                </c:pt>
                <c:pt idx="2">
                  <c:v>26.8</c:v>
                </c:pt>
                <c:pt idx="3">
                  <c:v>30.2</c:v>
                </c:pt>
                <c:pt idx="4">
                  <c:v>33.8</c:v>
                </c:pt>
                <c:pt idx="5">
                  <c:v>28.8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30.2</c:v>
                </c:pt>
                <c:pt idx="1">
                  <c:v>30.2</c:v>
                </c:pt>
                <c:pt idx="2">
                  <c:v>30.2</c:v>
                </c:pt>
                <c:pt idx="3">
                  <c:v>30.2</c:v>
                </c:pt>
                <c:pt idx="4">
                  <c:v>30.2</c:v>
                </c:pt>
                <c:pt idx="5">
                  <c:v>30.2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Hermès</c:v>
                </c:pt>
                <c:pt idx="1">
                  <c:v>LVMH</c:v>
                </c:pt>
                <c:pt idx="2">
                  <c:v>Richemont</c:v>
                </c:pt>
                <c:pt idx="3">
                  <c:v>Kering</c:v>
                </c:pt>
                <c:pt idx="4">
                  <c:v>Moncler</c:v>
                </c:pt>
                <c:pt idx="5">
                  <c:v>Prada</c:v>
                </c:pt>
                <c:pt idx="6">
                  <c:v>Brunello Cucinelli</c:v>
                </c:pt>
                <c:pt idx="7">
                  <c:v>L'Oréal</c:v>
                </c:pt>
              </c:strCache>
            </c:strRef>
          </c:cat>
          <c:val>
            <c:numRef>
              <c:f>Hoja1!$B$2:$B$9</c:f>
              <c:numCache>
                <c:formatCode>0.0"x"</c:formatCode>
                <c:ptCount val="8"/>
                <c:pt idx="0">
                  <c:v>15.7</c:v>
                </c:pt>
                <c:pt idx="1">
                  <c:v>8.5</c:v>
                </c:pt>
                <c:pt idx="2">
                  <c:v>12.8</c:v>
                </c:pt>
                <c:pt idx="3">
                  <c:v>8.3</c:v>
                </c:pt>
                <c:pt idx="4">
                  <c:v>7.3</c:v>
                </c:pt>
                <c:pt idx="5">
                  <c:v>6.4</c:v>
                </c:pt>
                <c:pt idx="6">
                  <c:v>12.8</c:v>
                </c:pt>
                <c:pt idx="7">
                  <c:v>16.7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Hermès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7.5</c:v>
                </c:pt>
              </c:numCache>
            </c:numRef>
          </c:xVal>
          <c:yVal>
            <c:numRef>
              <c:f>Hoja1!$C$2</c:f>
              <c:numCache>
                <c:formatCode>0.0"x"</c:formatCode>
                <c:ptCount val="1"/>
                <c:pt idx="0">
                  <c:v>15.7</c:v>
                </c:pt>
              </c:numCache>
            </c:numRef>
          </c:yVal>
          <c:smooth val="0"/>
        </c:ser>
        <c:ser>
          <c:idx val="1"/>
          <c:order val="1"/>
          <c:tx>
            <c:strRef>
              <c:f>Hoja1!$A$3</c:f>
              <c:strCache>
                <c:ptCount val="1"/>
                <c:pt idx="0">
                  <c:v>LVMH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3.7</c:v>
                </c:pt>
              </c:numCache>
            </c:numRef>
          </c:xVal>
          <c:yVal>
            <c:numRef>
              <c:f>Hoja1!$C$3</c:f>
              <c:numCache>
                <c:formatCode>0.0"x"</c:formatCode>
                <c:ptCount val="1"/>
                <c:pt idx="0">
                  <c:v>8.5</c:v>
                </c:pt>
              </c:numCache>
            </c:numRef>
          </c:yVal>
          <c:smooth val="0"/>
        </c:ser>
        <c:ser>
          <c:idx val="2"/>
          <c:order val="2"/>
          <c:tx>
            <c:strRef>
              <c:f>Hoja1!$A$4</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16.7</c:v>
                </c:pt>
              </c:numCache>
            </c:numRef>
          </c:xVal>
          <c:yVal>
            <c:numRef>
              <c:f>Hoja1!$C$4</c:f>
              <c:numCache>
                <c:formatCode>0.0"x"</c:formatCode>
                <c:ptCount val="1"/>
                <c:pt idx="0">
                  <c:v>12.8</c:v>
                </c:pt>
              </c:numCache>
            </c:numRef>
          </c:yVal>
          <c:smooth val="0"/>
        </c:ser>
        <c:ser>
          <c:idx val="3"/>
          <c:order val="3"/>
          <c:tx>
            <c:strRef>
              <c:f>Hoja1!$A$5</c:f>
              <c:strCache>
                <c:ptCount val="1"/>
                <c:pt idx="0">
                  <c:v>Kering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2.4</c:v>
                </c:pt>
              </c:numCache>
            </c:numRef>
          </c:xVal>
          <c:yVal>
            <c:numRef>
              <c:f>Hoja1!$C$5</c:f>
              <c:numCache>
                <c:formatCode>0.0"x"</c:formatCode>
                <c:ptCount val="1"/>
                <c:pt idx="0">
                  <c:v>8.3</c:v>
                </c:pt>
              </c:numCache>
            </c:numRef>
          </c:yVal>
          <c:smooth val="0"/>
        </c:ser>
        <c:ser>
          <c:idx val="4"/>
          <c:order val="4"/>
          <c:tx>
            <c:strRef>
              <c:f>Hoja1!$A$6</c:f>
              <c:strCache>
                <c:ptCount val="1"/>
                <c:pt idx="0">
                  <c:v>Moncler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c:v>
                </c:pt>
              </c:numCache>
            </c:numRef>
          </c:xVal>
          <c:yVal>
            <c:numRef>
              <c:f>Hoja1!$C$6</c:f>
              <c:numCache>
                <c:formatCode>0.0"x"</c:formatCode>
                <c:ptCount val="1"/>
                <c:pt idx="0">
                  <c:v>7.3</c:v>
                </c:pt>
              </c:numCache>
            </c:numRef>
          </c:yVal>
          <c:smooth val="0"/>
        </c:ser>
        <c:ser>
          <c:idx val="5"/>
          <c:order val="5"/>
          <c:tx>
            <c:strRef>
              <c:f>Hoja1!$A$7</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c:v>
                </c:pt>
              </c:numCache>
            </c:numRef>
          </c:xVal>
          <c:yVal>
            <c:numRef>
              <c:f>Hoja1!$C$7</c:f>
              <c:numCache>
                <c:formatCode>0.0"x"</c:formatCode>
                <c:ptCount val="1"/>
                <c:pt idx="0">
                  <c:v>6.4</c:v>
                </c:pt>
              </c:numCache>
            </c:numRef>
          </c:yVal>
          <c:smooth val="0"/>
        </c:ser>
        <c:ser>
          <c:idx val="6"/>
          <c:order val="6"/>
          <c:tx>
            <c:strRef>
              <c:f>Hoja1!$A$8</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10.2</c:v>
                </c:pt>
              </c:numCache>
            </c:numRef>
          </c:xVal>
          <c:yVal>
            <c:numRef>
              <c:f>Hoja1!$C$8</c:f>
              <c:numCache>
                <c:formatCode>0.0"x"</c:formatCode>
                <c:ptCount val="1"/>
                <c:pt idx="0">
                  <c:v>12.8</c:v>
                </c:pt>
              </c:numCache>
            </c:numRef>
          </c:yVal>
          <c:smooth val="0"/>
        </c:ser>
        <c:ser>
          <c:idx val="7"/>
          <c:order val="7"/>
          <c:tx>
            <c:strRef>
              <c:f>Hoja1!$A$9</c:f>
              <c:strCache>
                <c:ptCount val="1"/>
                <c:pt idx="0">
                  <c:v>L'Oréal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6.6</c:v>
                </c:pt>
              </c:numCache>
            </c:numRef>
          </c:xVal>
          <c:yVal>
            <c:numRef>
              <c:f>Hoja1!$C$9</c:f>
              <c:numCache>
                <c:formatCode>0.0"x"</c:formatCode>
                <c:ptCount val="1"/>
                <c:pt idx="0">
                  <c:v>16.7</c:v>
                </c:pt>
              </c:numCache>
            </c:numRef>
          </c:yVal>
          <c:smooth val="0"/>
        </c:ser>
        <c:axId val="10"/>
        <c:axId val="20"/>
      </c:scatterChart>
      <c:valAx>
        <c:axId val="10"/>
        <c:scaling>
          <c:orientation val="minMax"/>
          <c:max val="2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Tiffany &amp; Co.</c:v>
                </c:pt>
                <c:pt idx="1">
                  <c:v>Belmond</c:v>
                </c:pt>
                <c:pt idx="2">
                  <c:v>Stone Island</c:v>
                </c:pt>
                <c:pt idx="3">
                  <c:v>Capri Holdings</c:v>
                </c:pt>
                <c:pt idx="4">
                  <c:v>Versace</c:v>
                </c:pt>
                <c:pt idx="5">
                  <c:v>Kering Beauté (Creed) y licencias de belleza de Gucci, Bottega Veneta y Balenciaga</c:v>
                </c:pt>
                <c:pt idx="6">
                  <c:v>Marca TOM FORD</c:v>
                </c:pt>
              </c:strCache>
            </c:strRef>
          </c:cat>
          <c:val>
            <c:numRef>
              <c:f>Hoja1!$B$2:$B$8</c:f>
              <c:numCache>
                <c:formatCode>0.0"x"</c:formatCode>
                <c:ptCount val="7"/>
                <c:pt idx="1">
                  <c:v>22.9</c:v>
                </c:pt>
                <c:pt idx="2">
                  <c:v>17.1</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3721</c:v>
                </c:pt>
                <c:pt idx="1">
                  <c:v>4385</c:v>
                </c:pt>
                <c:pt idx="2">
                  <c:v>4818</c:v>
                </c:pt>
                <c:pt idx="3">
                  <c:v>5292</c:v>
                </c:pt>
                <c:pt idx="4">
                  <c:v>5784</c:v>
                </c:pt>
                <c:pt idx="5">
                  <c:v>6298</c:v>
                </c:pt>
                <c:pt idx="6">
                  <c:v>6832</c:v>
                </c:pt>
                <c:pt idx="7">
                  <c:v>7366</c:v>
                </c:pt>
                <c:pt idx="8">
                  <c:v>7882</c:v>
                </c:pt>
                <c:pt idx="9">
                  <c:v>8384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36420</c:v>
                </c:pt>
                <c:pt idx="1">
                  <c:v>51377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1.283,00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703.16</c:v>
                </c:pt>
                <c:pt idx="1">
                  <c:v>944.86</c:v>
                </c:pt>
                <c:pt idx="2">
                  <c:v>1146.87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1.283,00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(1.255,00 – 2.300,00)</c:v>
                </c:pt>
                <c:pt idx="1">
                  <c:v>Precio objetivo de los analistas (1.168,00 – 2.075,00)</c:v>
                </c:pt>
                <c:pt idx="2">
                  <c:v>Comparables: EV/EBITDA NTM (691,44 – 1.065,24)</c:v>
                </c:pt>
                <c:pt idx="3">
                  <c:v>Comparables: PER NTM (781,60 – 1.255,30)</c:v>
                </c:pt>
                <c:pt idx="4">
                  <c:v>Transacciones precedentes (EV/ventas) (613,98 – 875,27)</c:v>
                </c:pt>
                <c:pt idx="5">
                  <c:v>DCF (WACC y g ± 0,5) (857,00 – 1.061,30)</c:v>
                </c:pt>
                <c:pt idx="6">
                  <c:v>Escenarios (bajista – alcista) (703,16 – 1.146,87)</c:v>
                </c:pt>
                <c:pt idx="7">
                  <c:v>DCF con la prima implícita del mercado (4,2 %)</c:v>
                </c:pt>
                <c:pt idx="8">
                  <c:v>Precio actual (1.283,00)</c:v>
                </c:pt>
              </c:strCache>
            </c:strRef>
          </c:cat>
          <c:val>
            <c:numRef>
              <c:f>Hoja1!$B$2:$B$10</c:f>
              <c:numCache>
                <c:formatCode>#,##0</c:formatCode>
                <c:ptCount val="9"/>
                <c:pt idx="0">
                  <c:v>1255</c:v>
                </c:pt>
                <c:pt idx="1">
                  <c:v>1168</c:v>
                </c:pt>
                <c:pt idx="2">
                  <c:v>691.44</c:v>
                </c:pt>
                <c:pt idx="3">
                  <c:v>781.6</c:v>
                </c:pt>
                <c:pt idx="4">
                  <c:v>613.98</c:v>
                </c:pt>
                <c:pt idx="5">
                  <c:v>857</c:v>
                </c:pt>
                <c:pt idx="6">
                  <c:v>703.16</c:v>
                </c:pt>
                <c:pt idx="7">
                  <c:v>1097.38</c:v>
                </c:pt>
                <c:pt idx="8">
                  <c:v>1276.59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(1.255,00 – 2.300,00)</c:v>
                </c:pt>
                <c:pt idx="1">
                  <c:v>Precio objetivo de los analistas (1.168,00 – 2.075,00)</c:v>
                </c:pt>
                <c:pt idx="2">
                  <c:v>Comparables: EV/EBITDA NTM (691,44 – 1.065,24)</c:v>
                </c:pt>
                <c:pt idx="3">
                  <c:v>Comparables: PER NTM (781,60 – 1.255,30)</c:v>
                </c:pt>
                <c:pt idx="4">
                  <c:v>Transacciones precedentes (EV/ventas) (613,98 – 875,27)</c:v>
                </c:pt>
                <c:pt idx="5">
                  <c:v>DCF (WACC y g ± 0,5) (857,00 – 1.061,30)</c:v>
                </c:pt>
                <c:pt idx="6">
                  <c:v>Escenarios (bajista – alcista) (703,16 – 1.146,87)</c:v>
                </c:pt>
                <c:pt idx="7">
                  <c:v>DCF con la prima implícita del mercado (4,2 %)</c:v>
                </c:pt>
                <c:pt idx="8">
                  <c:v>Precio actual (1.283,00)</c:v>
                </c:pt>
              </c:strCache>
            </c:strRef>
          </c:cat>
          <c:val>
            <c:numRef>
              <c:f>Hoja1!$C$2:$C$10</c:f>
              <c:numCache>
                <c:formatCode>#,##0</c:formatCode>
                <c:ptCount val="9"/>
                <c:pt idx="0">
                  <c:v>1045</c:v>
                </c:pt>
                <c:pt idx="1">
                  <c:v>907</c:v>
                </c:pt>
                <c:pt idx="2">
                  <c:v>373.79999999999995</c:v>
                </c:pt>
                <c:pt idx="3">
                  <c:v>473.69999999999993</c:v>
                </c:pt>
                <c:pt idx="4">
                  <c:v>261.28999999999996</c:v>
                </c:pt>
                <c:pt idx="5">
                  <c:v>204.29999999999995</c:v>
                </c:pt>
                <c:pt idx="6">
                  <c:v>443.7099999999999</c:v>
                </c:pt>
                <c:pt idx="7">
                  <c:v>209.17999999999984</c:v>
                </c:pt>
                <c:pt idx="8">
                  <c:v>12.830000000000155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