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Moncler S.p.A.</w:t>
      </w:r>
    </w:p>
    <w:p>
      <w:pPr>
        <w:spacing w:after="60"/>
        <w:rPr>
          <w:color w:val="52514E"/>
          <w:sz w:val="22"/>
          <w:szCs w:val="22"/>
        </w:rPr>
      </w:pPr>
      <w:r>
        <w:rPr>
          <w:color w:val="52514E"/>
          <w:sz w:val="22"/>
          <w:szCs w:val="22"/>
        </w:rPr>
        <w:t xml:space="preserve">MONC.MI · Euronext Milan (Borsa Italiana) · ISIN IT0004965148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43,44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52,25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+23,5 % (base +20,9 %)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45,00 EUR · mercado 52,21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11.816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Moncler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MONC.MI / IT0004965148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Milán · 1952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www.monclergroup.com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59,34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11.812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52,25 EUR</w:t>
      </w:r>
      <w:r>
        <w:t xml:space="preserve"> frente a 43,44 · Rentabilidad a 12 meses </w:t>
      </w:r>
      <w:r>
        <w:rPr>
          <w:b/>
          <w:bCs/>
        </w:rPr>
        <w:t xml:space="preserve">+23,5 % (base +20,9 %)</w:t>
      </w:r>
      <w:r>
        <w:t xml:space="preserve"> · Valor intrínseco 45,00 EUR · con la prima implícita del mercado: 52,21 (+20,2 %) · Alcista / bajista +10,5 % / -34,3 %</w:t>
      </w:r>
    </w:p>
    <w:p>
      <w:pPr>
        <w:spacing w:after="100"/>
      </w:pPr>
      <w:r>
        <w:rPr>
          <w:b/>
        </w:rPr>
        <w:t xml:space="preserve">La recomendación y por qué.</w:t>
      </w:r>
      <w:r>
        <w:t xml:space="preserve"> Mantener, con convicción baja. Con nuestro BPA y la regla común de múltiplos, el objetivo a 12 meses es de 48,21 EUR frente a 43,44 EUR (último cierre fechado, 8 de octubre): +14,2 % con el dividendo y +10,4 % en el caso base, a uno y dos puntos de los umbrales de compra (15 % y 12 %). El valor intrínseco es de 45,00 EUR (+3,6 %) y el objetivo medio de los analistas, 61,37 EUR, queda por encima de nuestro alcista ponderado y un 24,2 % sobre nuestro base. La asimetría a 12 meses es buena (2,28x: −20 % en el bajista, +56 % en el alcista) porque el precio ya paga solo 17,3 veces nuestro BPA de 2027e. La convicción es baja porque la rentabilidad está a menos de tres puntos del umbral y las reglas del valor intrínseco discrepan (Mantener con nuestro WACC, Comprar con la prima del mercado); subiría con unas ventas del 3T (21 de octubre) por encima del +5 % a tipos constantes o con un precio por debajo de 42,80 EUR.</w:t>
      </w:r>
    </w:p>
    <w:p>
      <w:pPr>
        <w:spacing w:after="100"/>
      </w:pPr>
      <w:r>
        <w:rPr>
          <w:b/>
        </w:rPr>
        <w:t xml:space="preserve">El negocio.</w:t>
      </w:r>
      <w:r>
        <w:t xml:space="preserve"> Moncler es una marca de lujo de nicho (abrigo de plumón) con un margen EBIT del 29-30 % estable de 2021 a 2025, sin deuda financiera y con un ROIC del 20,4 % frente a un WACC del 9,52 %: unos 11 puntos de diferencial [1]. Su debilidad es la concentración: una categoría, una estación (el 4T trae el 41 % de las ventas) y el cliente asiático. </w:t>
      </w:r>
      <w:r>
        <w:rPr>
          <w:b/>
        </w:rPr>
        <w:t xml:space="preserve">Sostenibilidad: Sí</w:t>
      </w:r>
      <w:r>
        <w:t xml:space="preserve">: proyectamos un 4,6 % anual, por debajo de su historia, sin ganar cuota (0,9 % a 1,0 % del lujo personal) y con una reinversión del 9 % del NOPAT; depende del poder de precio, que ha demostrado.</w:t>
      </w:r>
    </w:p>
    <w:p>
      <w:pPr>
        <w:spacing w:after="100"/>
      </w:pPr>
      <w:r>
        <w:rPr>
          <w:b/>
        </w:rPr>
        <w:t xml:space="preserve">Sector y ciclo.</w:t>
      </w:r>
      <w:r>
        <w:t xml:space="preserve"> El lujo personal cayó en 2024 y 2025 (358.000 M EUR) y Bain prevé un +2/4 % en 2026 [25, 26]. Moncler lo refleja: +12 % a tipos constantes en el 1T26 con Asia al +22 %, y frenazo en el 2T26 con EMEA al −8 % por el turismo [13, 20].</w:t>
      </w:r>
    </w:p>
    <w:p>
      <w:pPr>
        <w:spacing w:after="100"/>
      </w:pPr>
      <w:r>
        <w:rPr>
          <w:b/>
        </w:rPr>
        <w:t xml:space="preserve">Finanzas.</w:t>
      </w:r>
      <w:r>
        <w:t xml:space="preserve"> Ventas de 3.132 M en 2025 (+1 % publicado), flujo libre de ≈529 M y caja neta sin arrendamientos de 1.112 M a junio de 2026, el 9 % de la capitalización [2, 15]. Las existencias (+15 % en 2025) crecen más que las ventas: hay que vigilarlas.</w:t>
      </w:r>
    </w:p>
    <w:p>
      <w:pPr>
        <w:spacing w:after="100"/>
      </w:pPr>
      <w:r>
        <w:rPr>
          <w:b/>
        </w:rPr>
        <w:t xml:space="preserve">Equipo y gobierno.</w:t>
      </w:r>
      <w:r>
        <w:t xml:space="preserve"> Ruffini controla de hecho la junta con Double R (15,8 %), con LVMH como socio del 22 % del vehículo y un pacto de no superar el 20 % hasta 2027 [34]. La sucesión empezó en abril: Leo Rongone es consejero delegado y Ruffini presidente ejecutivo.</w:t>
      </w:r>
    </w:p>
    <w:p>
      <w:pPr>
        <w:spacing w:after="100"/>
      </w:pPr>
      <w:r>
        <w:rPr>
          <w:b/>
        </w:rPr>
        <w:t xml:space="preserve">Valoración.</w:t>
      </w:r>
      <w:r>
        <w:t xml:space="preserve"> El DCF da 40,11 EUR (−7,7 %): a 43,44 EUR el mercado descuenta un crecimiento del 6,0 % anual frente a nuestro 4,7 %, o una rentabilidad del 9,0 % frente a un WACC del 9,52 %. Con la prima del mercado (4,2 %) el valor sube a 52,21 EUR. Nos separamos de los analistas en el múltiplo, no en el beneficio (2,69 EUR de BPA en 2028e frente a 2,83).</w:t>
      </w:r>
    </w:p>
    <w:p>
      <w:pPr>
        <w:spacing w:after="100"/>
      </w:pPr>
      <w:r>
        <w:rPr>
          <w:b/>
        </w:rPr>
        <w:t xml:space="preserve">Riesgos y catalizadores.</w:t>
      </w:r>
      <w:r>
        <w:t xml:space="preserve"> El riesgo mayor es de moda: que el plumífero de lujo pierda atractivo (bajista del DCF: 28,56 EUR, −34,3 %). Le siguen Europa sin turistas y un frenazo chino (−10 a −20 %). Catalizadores: ventas del 3T26 el 21 de octubre, resultados de 2026 en febrero y el primer plan de Rongone, que podría usar la caja en recompras.</w:t>
      </w:r>
    </w:p>
    <w:p>
      <w:pPr>
        <w:spacing w:after="100"/>
      </w:pPr>
      <w:r>
        <w:rPr>
          <w:b/>
        </w:rPr>
        <w:t xml:space="preserve">Qué cambiaría la decisión.</w:t>
      </w:r>
      <w:r>
        <w:t xml:space="preserve"> Compraríamos por debajo de 42,80 EUR o con un 3T26 que confirme un crecimiento del 5 % o más; venderíamos por encima de 55,12 EUR, o si la venta directa comparable cae dos trimestres seguidos o el margen EBIT de 2026 baja del 27 %.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52,25 EUR</w:t>
      </w:r>
      <w:r>
        <w:t xml:space="preserve"> (rentabilidad +23,5 % (base +20,9 %)) · Valor intrínseco: 45,00 EUR (+3,6 % sobre 43,44) · con la prima implícita del mercado: 52,21 (+20,2 %)</w:t>
      </w:r>
    </w:p>
    <w:p>
      <w:pPr>
        <w:spacing w:after="100"/>
      </w:pPr>
      <w:r>
        <w:t xml:space="preserve">Moncler es la marca de lujo más rentable de Italia: margen EBIT del 29-30 % durante cinco años, ROIC del 20 % y 1.112 M de caja neta, en una categoría (el abrigo de plumón) que domina [1, 2]. Ha pasado dos años con las ventas planas (+4 % en 2024, +1 % en 2025) por el turismo y China, sin perder margen.</w:t>
      </w:r>
    </w:p>
    <w:p>
      <w:pPr>
        <w:spacing w:after="100"/>
      </w:pPr>
      <w:r>
        <w:t xml:space="preserve">A 43,44 EUR el mercado paga 17,0 veces el beneficio de los próximos 12 meses, el PER más bajo desde 2020 y un 25 % por debajo de su mediana de 2022-2025 (22,9x). El DCF inverso dice que el precio descuenta un 6,0 % anual de crecimiento con nuestro coste de capital: no es una ganga en valor intrínseco (45,00 EUR), pero el múltiplo ya recoge un frenazo prolongado.</w:t>
      </w:r>
    </w:p>
    <w:p>
      <w:pPr>
        <w:spacing w:after="100"/>
      </w:pPr>
      <w:r>
        <w:t xml:space="preserve">Para invertir hay que creer que el lujo vuelve a crecer al 3-5 % y que Moncler sigue siendo deseable con un nuevo consejero delegado. Si se cumple, el PER puede volver a 22 veces (66,38 EUR en el alcista). Si el plumífero pasa de moda, el bajista (33,37 EUR a 12 meses) es real. Hoy la balanza está a un punto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2,27 = 34,50 · 19,0x × 2,69 = 51,11 · 24,5x × 2,95 = 72,28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 / 20,9 %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61,37 (nuestro base -16,7 %)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 -34,3 %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9,5 %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45,00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45,00 y 59,61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59,61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42,80 EUR, pasaríamos a Comprar.</w:t>
      </w:r>
    </w:p>
    <w:p>
      <w:pPr>
        <w:pStyle w:val="ListParagraph"/>
        <w:numPr>
          <w:ilvl w:val="0"/>
          <w:numId w:val="2"/>
        </w:numPr>
        <w:spacing w:after="60"/>
      </w:pPr>
      <w:r>
        <w:t xml:space="preserve">Si las ventas del 3T26 (21-oct) crecen un 5 % o más a tipos constantes con EMEA estable, revisaríamos el crecimiento de 2027 al alza y probablemente a Comprar.</w:t>
      </w:r>
    </w:p>
    <w:p>
      <w:pPr>
        <w:pStyle w:val="ListParagraph"/>
        <w:numPr>
          <w:ilvl w:val="0"/>
          <w:numId w:val="2"/>
        </w:numPr>
        <w:spacing w:after="60"/>
      </w:pPr>
      <w:r>
        <w:t xml:space="preserve">Si la venta directa comparable cae dos trimestres seguidos, rebajaríamos el base hacia el bajista.</w:t>
      </w:r>
    </w:p>
    <w:p>
      <w:pPr>
        <w:pStyle w:val="ListParagraph"/>
        <w:numPr>
          <w:ilvl w:val="0"/>
          <w:numId w:val="2"/>
        </w:numPr>
        <w:spacing w:after="60"/>
      </w:pPr>
      <w:r>
        <w:t xml:space="preserve">Si el precio supera 55,12 EUR, pasaríamos a Vender.</w:t>
      </w:r>
    </w:p>
    <w:p>
      <w:pPr>
        <w:pStyle w:val="ListParagraph"/>
        <w:numPr>
          <w:ilvl w:val="0"/>
          <w:numId w:val="2"/>
        </w:numPr>
        <w:spacing w:after="60"/>
      </w:pPr>
      <w:r>
        <w:t xml:space="preserve">Si la nueva dirección anuncia una recompra relevante (más de 500 M), revisaríamos el BPA de 2028e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Moncler es una marca madura en una categoría estacional, con Europa sin turistas y una sucesión en marcha: le paga 17 veces beneficios, como a LVMH y no como a Hermès o Cucinelli.</w:t>
      </w:r>
    </w:p>
    <w:p>
      <w:pPr>
        <w:keepNext/>
        <w:spacing w:after="100"/>
      </w:pPr>
      <w:r>
        <w:rPr>
          <w:b/>
          <w:bCs/>
        </w:rPr>
        <w:t xml:space="preserve">Lo que creemos nosotros.</w:t>
      </w:r>
    </w:p>
    <w:p>
      <w:pPr>
        <w:spacing w:after="100"/>
      </w:pPr>
      <w:r>
        <w:t xml:space="preserve">Coincidimos en el beneficio (nuestro BPA de 2028e es un 5 % menor que el del consenso) y en que el valor intrínseco está cerca del precio. Creemos que el múltiplo ya descuenta lo peor y que la caja neta (9 % de la capitalización) es un colchón que el mercado no valora.</w:t>
      </w:r>
    </w:p>
    <w:p>
      <w:pPr>
        <w:keepNext/>
        <w:spacing w:after="100"/>
      </w:pPr>
      <w:r>
        <w:rPr>
          <w:b/>
          <w:bCs/>
        </w:rPr>
        <w:t xml:space="preserve">Por qué podemos tener razón.</w:t>
      </w:r>
    </w:p>
    <w:p>
      <w:pPr>
        <w:spacing w:after="100"/>
      </w:pPr>
      <w:r>
        <w:t xml:space="preserve">El margen aguantó dos años sin crecimiento; el 1T26 mostró que la demanda asiática vuelve; y la nueva dirección tiene caja para recomprar. No es una visión distinta del mercado, sino una cuestión de precio: por debajo de 42,80 EUR compraríamos.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sin daños</w:t>
      </w:r>
      <w:r>
        <w:t xml:space="preserve">: EBIT del 29,2 % en 2025 con ventas planas, y del 19,0 % en el 1S26 frente al 18,3 % [1, 2].</w:t>
      </w:r>
    </w:p>
    <w:p>
      <w:pPr>
        <w:pStyle w:val="ListParagraph"/>
        <w:numPr>
          <w:ilvl w:val="0"/>
          <w:numId w:val="2"/>
        </w:numPr>
        <w:spacing w:after="60"/>
      </w:pPr>
      <w:r>
        <w:rPr>
          <w:b/>
        </w:rPr>
        <w:t xml:space="preserve">Balance sin deuda</w:t>
      </w:r>
      <w:r>
        <w:t xml:space="preserve">: 1.112 M de caja neta sin arrendamientos a junio de 2026 [2].</w:t>
      </w:r>
    </w:p>
    <w:p>
      <w:pPr>
        <w:pStyle w:val="ListParagraph"/>
        <w:numPr>
          <w:ilvl w:val="0"/>
          <w:numId w:val="2"/>
        </w:numPr>
        <w:spacing w:after="60"/>
      </w:pPr>
      <w:r>
        <w:rPr>
          <w:b/>
        </w:rPr>
        <w:t xml:space="preserve">Múltiplo deprimido</w:t>
      </w:r>
      <w:r>
        <w:t xml:space="preserve">: PER de 17,3x sobre nuestro BPA de 2027e frente a una mediana de 22,9x en 2022-2025.</w:t>
      </w:r>
    </w:p>
    <w:p>
      <w:pPr>
        <w:pStyle w:val="ListParagraph"/>
        <w:numPr>
          <w:ilvl w:val="0"/>
          <w:numId w:val="2"/>
        </w:numPr>
        <w:spacing w:after="60"/>
      </w:pPr>
      <w:r>
        <w:rPr>
          <w:b/>
        </w:rPr>
        <w:t xml:space="preserve">Asia vuelve</w:t>
      </w:r>
      <w:r>
        <w:t xml:space="preserve">: +22 % en la región en el 1T26 [20].</w:t>
      </w:r>
    </w:p>
    <w:p>
      <w:pPr>
        <w:pStyle w:val="ListParagraph"/>
        <w:numPr>
          <w:ilvl w:val="0"/>
          <w:numId w:val="2"/>
        </w:numPr>
        <w:spacing w:after="60"/>
      </w:pPr>
      <w:r>
        <w:rPr>
          <w:b/>
        </w:rPr>
        <w:t xml:space="preserve">Dividendo del 3,2 %</w:t>
      </w:r>
      <w:r>
        <w:t xml:space="preserve">: 1,40 EUR por acción con cargo a 2025 [18].</w:t>
      </w:r>
    </w:p>
    <w:p>
      <w:pPr>
        <w:pStyle w:val="Heading2"/>
      </w:pPr>
      <w:r>
        <w:t xml:space="preserve">En contra</w:t>
      </w:r>
    </w:p>
    <w:p>
      <w:pPr>
        <w:pStyle w:val="ListParagraph"/>
        <w:numPr>
          <w:ilvl w:val="0"/>
          <w:numId w:val="2"/>
        </w:numPr>
        <w:spacing w:after="60"/>
      </w:pPr>
      <w:r>
        <w:rPr>
          <w:b/>
        </w:rPr>
        <w:t xml:space="preserve">Ventas planas</w:t>
      </w:r>
      <w:r>
        <w:t xml:space="preserve">: +1 % publicado en 2025 y el 2T26 se frenó al +5 % a tipos constantes [1, 14].</w:t>
      </w:r>
    </w:p>
    <w:p>
      <w:pPr>
        <w:pStyle w:val="ListParagraph"/>
        <w:numPr>
          <w:ilvl w:val="0"/>
          <w:numId w:val="2"/>
        </w:numPr>
        <w:spacing w:after="60"/>
      </w:pPr>
      <w:r>
        <w:rPr>
          <w:b/>
        </w:rPr>
        <w:t xml:space="preserve">Europa sin turistas</w:t>
      </w:r>
      <w:r>
        <w:t xml:space="preserve">: EMEA −8 % a tipos constantes en el 2T26 [13].</w:t>
      </w:r>
    </w:p>
    <w:p>
      <w:pPr>
        <w:pStyle w:val="ListParagraph"/>
        <w:numPr>
          <w:ilvl w:val="0"/>
          <w:numId w:val="2"/>
        </w:numPr>
        <w:spacing w:after="60"/>
      </w:pPr>
      <w:r>
        <w:rPr>
          <w:b/>
        </w:rPr>
        <w:t xml:space="preserve">Concentración</w:t>
      </w:r>
      <w:r>
        <w:t xml:space="preserve">: una categoría y una estación; el 4T trae el 41 % de las ventas.</w:t>
      </w:r>
    </w:p>
    <w:p>
      <w:pPr>
        <w:pStyle w:val="ListParagraph"/>
        <w:numPr>
          <w:ilvl w:val="0"/>
          <w:numId w:val="2"/>
        </w:numPr>
        <w:spacing w:after="60"/>
      </w:pPr>
      <w:r>
        <w:rPr>
          <w:b/>
        </w:rPr>
        <w:t xml:space="preserve">Existencias</w:t>
      </w:r>
      <w:r>
        <w:t xml:space="preserve">: +15 % en 2025 con ventas +1 % [7].</w:t>
      </w:r>
    </w:p>
    <w:p>
      <w:pPr>
        <w:pStyle w:val="ListParagraph"/>
        <w:numPr>
          <w:ilvl w:val="0"/>
          <w:numId w:val="2"/>
        </w:numPr>
        <w:spacing w:after="60"/>
      </w:pPr>
      <w:r>
        <w:rPr>
          <w:b/>
        </w:rPr>
        <w:t xml:space="preserve">DCF por debajo del precio</w:t>
      </w:r>
      <w:r>
        <w:t xml:space="preserve">: 40,11 EUR con un WACC del 9,52 %.</w:t>
      </w:r>
    </w:p>
    <w:p>
      <w:pPr>
        <w:pStyle w:val="Heading2"/>
      </w:pPr>
      <w:r>
        <w:t xml:space="preserve">Qué tiene que pasar para que la tesis funcione</w:t>
      </w:r>
    </w:p>
    <w:p>
      <w:pPr>
        <w:spacing w:after="100"/>
      </w:pPr>
      <w:r>
        <w:t xml:space="preserve">La tesis depende de que las ventas vuelvan a crecer al 5 % en 2027 sin sacrificar el margen del 29 %. La señal de que no se cumple sería un 3T26 y un 4T26 con la venta directa comparable negativa, Europa por debajo del −5 % y existencias creciendo más que las ventas: sería la pérdida de moda del bajista, no un problema de turismo.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tipos constantes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el base del 5-6 % es creíble.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EMEA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turismo y la salud de la marca en Europa.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rebajas y pérdida de deseo.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sin arrendamientos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Uso en una compra grande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asignación de capital de la nueva dirección.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Moncler nació en 1952 en Monestier-de-Clermont, cerca de Grenoble, como fabricante de sacos de dormir y plumíferos de montaña. Remo Ruffini la compró en 2003 y la convirtió en marca de lujo: abrigo de plumón a precio de alta gama, tiendas propias y colaboraciones (Genius). Salió a bolsa en Milán en diciembre de 2013. En 2021 compró Stone Island, su segunda marca, y en 2024 LVMH entró en el capital de Double R, la sociedad de Ruffini que es primer accionista. En abril de 2026 Ruffini pasó a presidente ejecutivo y Leo Rongone, que venía de Bottega Veneta, a consejero delegado [22, 23,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Monestier-de-Clermont (Francia) como fabricante de equipo de montaña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Remo Ruffini compra la marca e inicia el giro al lujo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Milán (diciembre)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Stone Island por 1.150 M EUR, consolidada desde el 31 de marzo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compra el 10 % de Double R, el vehículo de Ruffini (15,8 % de Moncler), con opción de llegar al 22 %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Rongone, consejero delegado desde el 1 de abril; Ruffini, presidente ejecutivo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Moncler vende ropa de lujo, sobre todo abrigo de plumón, con dos marcas: Moncler (84 % de las ventas del 1S26), de plumíferos de alta gama a 1.500-3.000 EUR la pieza, y Stone Island (16 %), ropa técnica de inspiración deportiva para hombre [2]. Vende sobre todo por su red propia: 295 tiendas de Moncler y 94 de Stone Island a marzo de 2026, más comercio electrónico y una distribución mayorista que pesa cada vez menos [11]. Fabrica a través de una red de proveedores externos en Europa del Este y compra directamente el plumón.</w:t>
      </w:r>
    </w:p>
    <w:p>
      <w:pPr>
        <w:pStyle w:val="Heading2"/>
      </w:pPr>
      <w:r>
        <w:t xml:space="preserve">Cómo gana dinero</w:t>
      </w:r>
    </w:p>
    <w:p>
      <w:pPr>
        <w:spacing w:after="100"/>
      </w:pPr>
      <w:r>
        <w:t xml:space="preserve">Precio alto sobre un coste de producto bajo: margen EBIT del 29 % en 2021-2025 sin deuda [1, 4]. El negocio es muy estacional: el cuarto trimestre trae el 41 % de las ventas del año y el primer semestre apenas cubre los costes fijos (margen EBIT del 19 % en el 1S26 frente al 29 % del año) [2]. La venta directa da más margen pero carga alquileres (arrendamientos de 1.109 M) y existencias: el apalancamiento operativo es alto en los años de crecimiento y protege poco cuando las ventas se paran. Nada es recurrente: depende del turismo de lujo (sobre todo asiático en Europa) y del cliente chino.</w:t>
      </w:r>
    </w:p>
    <w:p>
      <w:pPr>
        <w:pStyle w:val="Heading2"/>
      </w:pPr>
      <w:r>
        <w:t xml:space="preserve">Clientes, recurrencia y poder de precios</w:t>
      </w:r>
    </w:p>
    <w:p>
      <w:pPr>
        <w:spacing w:after="100"/>
      </w:pPr>
      <w:r>
        <w:t xml:space="preserve">Cliente final de renta alta, con mucho peso de China continental y del turista asiático en Europa y Japón: en el 2T26 EMEA cayó un 8 % a tipos constantes por el menor turismo asiático, mientras Asia subió un 22 % en el 1T26 [11, 13]. Sin concentración de clientes: la venta mayorista es menor y decreciente. Poder de precios demostrado: el margen EBIT se mantuvo en el 29-30 % de 2021 a 2025 y la empresa subió precios en 2025 para compensar los aranceles de EE. UU. [1, 30].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de la marca Moncler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el crecimiento sale de la productividad por tienda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de Stone Island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crece en venta directa (+17 % en el 1T26) sin abrir tiendas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marca Moncler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1.089,6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84 % del grupo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Stone Island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16 % del grupo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neta (capex)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volver al ≈6 % en 2026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circulante neto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existencias y compras estratégicas de materia prima (plumón) [13, 15].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(ropa, marroquinería, calzado, joyería, relojería y belleza de gama alta), medido por Bain y Altagamma a precio de venta al público: ≈358.000 M EUR en 2025 [25, 26]. Moncler compite dentro en ropa de lujo de abrigo, una categoría sin estadística pública propia; por eso la cuota se mide sobre el total. La serie es la de Bain de junio de 2026, contrastada con la edición de diciembre de 2025; el TCAC histórico va de 2019 a 2025 y el previsto (3,5 %) es estimación propia a partir del +2/4 % que Bain prevé para 2026 [25,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asiático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−8 % a tipos constantes en el 2T26 por el menor turismo asiático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del consumidor chino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+22 % en el 1T26, con China a la cabeza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tras las subidas de 2021-2024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cayó en 2024 y 2025 (364.000 y 358.000 M) [25,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(USD, JPY y CNY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puntos de efecto divisa negativo en el 1T26 y 4 en el 1S26 [2,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Riqueza de los clientes de alto patrimonio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prevé un crecimiento positivo del lujo hasta 2035 apoyado en el cliente de más gasto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Muchas casas de lujo amplían el abrigo de plumón (Prada, Dior, Canada Goose en la gama baja), pero Moncler mantiene el margen EBIT del 29 % [1,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final atomizado y venta directa del ≈80 %; la mayorista es pequeña y decreciente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y plumón comprado directamente; las compras estratégicas de 2025-26 reducen el riesgo de precio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una marca de abrigo de lujo con 295 tiendas propias lleva décadas; la marca es la barrera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plumífero de lujo es una categoría de moda: el gasto puede ir a experiencias (+2/6 % en 2026 según Bain) o a otras marcas [26].</w:t>
            </w:r>
          </w:p>
        </w:tc>
      </w:tr>
    </w:tbl>
    <w:p>
      <w:pPr>
        <w:spacing w:after="160" w:before="0"/>
      </w:pPr>
    </w:p>
    <w:p>
      <w:pPr>
        <w:pStyle w:val="Heading2"/>
      </w:pPr>
      <w:r>
        <w:t xml:space="preserve">Ciclo</w:t>
      </w:r>
    </w:p>
    <w:p>
      <w:pPr>
        <w:spacing w:after="100"/>
      </w:pPr>
      <w:r>
        <w:t xml:space="preserve">El lujo personal cayó dos años seguidos (364.000 M en 2024 y 358.000 M en 2025) y Bain prevé un +2 % a +4 % a tipos constantes en 2026 [25, 26]. Es una recuperación tibia y desigual: Asia vuelve a crecer y Europa sufre por el turismo [13]. En 2020 el mercado cayó un 21 % y Moncler un 12 % (1.440 M EUR); en 2022-23 Moncler creció a doble dígito con la reapertura china [5, 25].</w:t>
      </w:r>
    </w:p>
    <w:p>
      <w:pPr>
        <w:pStyle w:val="Heading2"/>
      </w:pPr>
      <w:r>
        <w:t xml:space="preserve">Regulación</w:t>
      </w:r>
    </w:p>
    <w:p>
      <w:pPr>
        <w:spacing w:after="100"/>
      </w:pPr>
      <w:r>
        <w:rPr>
          <w:b/>
        </w:rPr>
        <w:t xml:space="preserve">Aranceles de EE. UU.</w:t>
      </w:r>
      <w:r>
        <w:t xml:space="preserve">: Moncler subió precios en 2025 y dijo que podía retrasar aperturas si la demanda empeoraba [30]. </w:t>
      </w:r>
      <w:r>
        <w:rPr>
          <w:b/>
        </w:rPr>
        <w:t xml:space="preserve">Fiscalidad italiana</w:t>
      </w:r>
      <w:r>
        <w:t xml:space="preserve">: tipo efectivo del orden del 28 % (estimación propia: beneficio de 626,7 M sobre EBIT de 913,4 M en 2025) [1]. </w:t>
      </w:r>
      <w:r>
        <w:rPr>
          <w:b/>
        </w:rPr>
        <w:t xml:space="preserve">Bienestar animal</w:t>
      </w:r>
      <w:r>
        <w:t xml:space="preserve">: el plumón está sujeto a normas de trazabilidad (el protocolo DIST de la propia empresa) y a campañas de organizaciones animalistas; Moncler dejó de usar piel en 2022 [22].</w:t>
      </w:r>
    </w:p>
    <w:p>
      <w:pPr>
        <w:pStyle w:val="Heading2"/>
      </w:pPr>
      <w:r>
        <w:t xml:space="preserve">Tendencias y disrupción</w:t>
      </w:r>
    </w:p>
    <w:p>
      <w:pPr>
        <w:spacing w:after="100"/>
      </w:pPr>
      <w:r>
        <w:t xml:space="preserve">El gasto de lujo se desplaza a experiencias y a joyería (+4/6 % en 2025) y la ropa es una categoría intermedia [25, 26]. Moncler gana cuando el frío y la moda empujan al plumífero y pierde si el abrigo se vuelve una prenda de uso, más barata. La marca intenta romper la estacionalidad con punto, calzado y gafas y con colaboraciones (Genius); Stone Island aporta un cliente más joven. Las marcas chinas de abrigo (Bosideng) ganan terreno en la gama media del mercado local.</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abrigo de plumón de lujo; ≈0,9 % del mercado total de bienes personales de lujo (3.132 M sobre ≈358.000 M en 2025, estimación propia) [1,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en 2025 y margen del 37,1 % al 35,0 %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referencia de escasez y poder de precio del sector: 16.002 M EUR y 6.569 M de EBIT en 2025, creciendo mientras el mercado caía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lo que pasa cuando una marca pierde al cliente aspiracional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con Miu Miu; también vende plumíferos de lujo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Lujo discreto italiano, crecimiento de doble dígito; su comparable más cercano por origen y tamaño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marca de ropa.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puede cambiar de marca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29-30 % durante cinco años y subida de precios en 2025 sin perder ventas; por debajo de Hermès (≈40 %) pero muy por encima de Kering (11 %) [13,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directa de plumón y escala en la categoría; no hay coste unitario publicado.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Categoría de nicho, pero con rivales grandes que pueden entrar.</w:t>
            </w:r>
          </w:p>
        </w:tc>
      </w:tr>
    </w:tbl>
    <w:p>
      <w:pPr>
        <w:spacing w:after="160" w:before="0"/>
      </w:pPr>
    </w:p>
    <w:p>
      <w:pPr>
        <w:pStyle w:val="Heading2"/>
      </w:pPr>
      <w:r>
        <w:t xml:space="preserve">Amenazas</w:t>
      </w:r>
    </w:p>
    <w:p>
      <w:pPr>
        <w:spacing w:after="100"/>
      </w:pPr>
      <w:r>
        <w:t xml:space="preserve">La amenaza principal es de moda, no de competidor: que el plumífero de lujo deje de ser la prenda de invierno de referencia, como le pasó a Canada Goose desde 2022. Segunda, que las grandes casas (Prada, Dior, Louis Vuitton) ganen cuota en abrigo de lujo, donde ya venden. Tercera, la dependencia del cliente chino, dentro y fuera de China. Probabilidad media a cinco años; el margen estable del 29 % dice que aún no ocurre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r>
    </w:tbl>
    <w:p>
      <w:pPr>
        <w:spacing w:after="160" w:before="0"/>
      </w:pPr>
    </w:p>
    <w:p>
      <w:pPr>
        <w:spacing w:after="100"/>
      </w:pPr>
      <w:r>
        <w:t xml:space="preserve">Crecimiento anual compuesto 2021-2025: ingresos </w:t>
      </w:r>
      <w:r>
        <w:rPr>
          <w:b/>
          <w:bCs/>
        </w:rPr>
        <w:t xml:space="preserve">11,2 %</w:t>
      </w:r>
      <w:r>
        <w:t xml:space="preserve">, EBITDA </w:t>
      </w:r>
      <w:r>
        <w:rPr>
          <w:b/>
          <w:bCs/>
        </w:rPr>
        <w:t xml:space="preserve">10,9 %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Ventas de 2.046 M EUR en 2021 a 3.132 M en 2025 (TCAC del 11,2 %), pero casi todo antes de 2024: 2021 lleva Stone Island desde abril y 2022-23 la reapertura china. Desde 2024 el grupo está plano: +4 % en 2024 y +1 % publicado en 2025 (+3 % a tipos constantes) [1, 4, 5]. El margen EBIT se ha mantenido entre el 29,2 % y el 29,9 % de 2021 a 2025 aunque las ventas se frenaran, prueba del poder de precio de la marca [1, 4, 5]. En el 1S26 las ventas suben un 9 % a tipos constantes (+5 % publicadas) y el margen EBIT semestral pasa del 18,3 % al 19,0 %; el segundo trimestre se frenó (EMEA −8 % a tipos constantes por el turismo) [2, 14]. El EBITDA que usamos es el de los proveedores de datos (EBIT + amortizaciones incluidas las de derechos de uso de NIIF 16) [6, 10].</w:t>
      </w:r>
    </w:p>
    <w:p>
      <w:pPr>
        <w:pStyle w:val="Heading2"/>
      </w:pPr>
      <w:r>
        <w:t xml:space="preserve">Ajustes y partidas no recurrentes</w:t>
      </w:r>
    </w:p>
    <w:p>
      <w:pPr>
        <w:spacing w:after="100"/>
      </w:pPr>
      <w:r>
        <w:t xml:space="preserve">Moncler no publica EBITDA: el de 2021-2024 sale de TipRanks y el de 2025 de Stock Analysis, como EBIT publicado más todas las amortizaciones (incluidos los derechos de uso). No hay partidas no recurrentes relevantes en el EBIT de 2022-2025. El BPA diluido de 2022-2025 es el de Stock Analysis; el de 2021 es estimación propia (411,4 M ÷ ≈272 M acciones), porque el proveedor da un beneficio de 393,5 M que no cuadra con el publicado (411,4 M) [5, 6]. El coste de ventas, el resultado financiero y los impuestos no se pudieron leer (cuentas no accesibles desde este entorno).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1T26 la dirección habló de una Asia que se recupera con fuerza (+22 % en la región, China a la cabeza) y de la venta directa como motor (+14 % en Moncler, +17 % en Stone Island), con 6 puntos de efecto divisa en contra; las ventas (880,6 M EUR) superaron con holgura el consenso (≈827 M) [11, 20]. En el 1S26 el discurso cambió de tono: Remo Ruffini dijo que «el entorno sigue siendo complejo y difícil de prever», EMEA cayó un 8 % a tipos constantes en el segundo trimestre por el menor turismo asiático y un comercio electrónico débil, y la venta directa solo creció un 3 % en el trimestre [13, 14]. Los analistas preguntaron por la rentabilidad del año: la dirección no dio cifra y solo dijo que dependerá de las ventas del segundo semestre, manteniendo la aspiración de márgenes EBIT del 29 % o más a lo largo del tiempo [13]. Del 3T25 (−1 % a tipos constantes, por encima del consenso de 603,8 M) al 1S26 el mensaje pasa de «estabilidad» a «aceleración en Asia, Europa débil» [12]. Es también el primer semestre con Leo Rongone como consejero delegado (desde el 1-abr-2026) y Ruffini como presidente ejecutivo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Stone Island consolidada desde el 31-mar-2021: solo nueve meses en la cuenta de 2021.).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Balance sin deuda financiera: la caja neta pasó de 1.308,8 M en 2024 a 1.458,0 M en 2025, después de 353,2 M de dividendo [1, 4]. El circulante empeoró: 9,7 % de las ventas en 2025 frente al 8,2 % en 2024, y 10,0 % en jun-26, por más existencias (538,8 M frente a 470,1 M) y compras estratégicas de plumón [13, 15]. El patrimonio de 2025 (≈3.850 M) y el de 2023 (≈3.260 M) son estimaciones (proveedor sin fecha y saldo de 2024 con el beneficio y el dividendo de 2024), igual que proveedores y pasivo total, que salen por diferencia [16, 17]. Los años 2021-2022 no se pudieron leer.</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2.159</w:t>
      </w:r>
      <w:r>
        <w:t xml:space="preserve">, conversión </w:t>
      </w:r>
      <w:r>
        <w:rPr>
          <w:b/>
          <w:bCs/>
        </w:rPr>
        <w:t xml:space="preserve">75 %</w:t>
      </w:r>
      <w:r>
        <w:t xml:space="preserve"> del beneficio neto; adquisiciones 0, dividendos 1.249, recompras 48.</w:t>
      </w:r>
    </w:p>
    <w:p>
      <w:pPr>
        <w:spacing w:after="100"/>
      </w:pPr>
      <w:r>
        <w:t xml:space="preserve">El flujo de caja libre que publica Moncler (después de capex y de arrendamientos) fue de 549,4 M en 2023, 587,5 M en 2024 y ≈529 M en 2025, este último lastrado por la divisa y el mayor capex (215,6 M, 6,9 % de las ventas) [4, 15]. Es una conversión del 85-92 % del beneficio neto. Los pagos de arrendamiento de 2023-2024 se derivan del flujo operativo, el capex y el flujo libre publicados; el flujo operativo de 2025 y sus pagos de arrendamiento son estimación propia (flujo libre de 529 M + capex + arrendamientos al ritmo de su pasivo). El primer semestre es estacionalmente débil (34 M de flujo libre en el 1S26 frente a 15 M en el 1S25) porque el abrigo se vende en el 4T [13]. El capex es sobre todo de tiendas (renovaciones y traslados) y logística; la empresa no separa mantenimiento y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un solo negocio (ropa y accesorios de lujo bajo dos marcas), venta directa del 80 % y sin deuda financiera. No hay deterioros ni reestructuraciones en 2022-2025; el EBIT publicado coincide con el operativo. Los puntos a vigilar son las existencias (+15 % en 2025 con ventas +1 %), los pagos en acciones de los planes de performance shares y el peso creciente de los arrendamientos (1.109 M). Altman y Beneish no son concluyentes porque faltan líneas de la cuenta y del balance; el Piotroski del motor es parcial por la misma razón.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538,8 M en 2025 (+14,6 %) con ventas +0,7 %; la empresa lo atribuye a compras estratégicas de plumón [7,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Proveedor de datos con beneficio de 2021 distinto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 393,5 M frente a 411,4 M publicados: diferencia de perímetro o de atribución; usamos el publicado [5, 6].</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1,4 % · </w:t>
      </w:r>
      <w:r>
        <w:rPr>
          <w:b/>
          <w:bCs/>
        </w:rPr>
        <w:t xml:space="preserve">WACC</w:t>
      </w:r>
      <w:r>
        <w:t xml:space="preserve">: 9,5 %.</w:t>
      </w:r>
    </w:p>
    <w:p>
      <w:pPr>
        <w:spacing w:after="100"/>
      </w:pPr>
      <w:r>
        <w:t xml:space="preserve">Moncler crea valor con holgura: ROIC del 25,1 % en 2024 y del 20,4 % en 2025 frente a un WACC del 9,52 %, es decir, unos 11 puntos de diferencial. Lo mueve el margen (beneficio neto del 20 % de las ventas), no la rotación (0,55 veces), que baja porque el balance acumula caja (1.458 M en 2025) y arrendamientos (1.109 M) [1, 3]. La bajada de 2025 no es de negocio sino de capital: más arrendamientos y más existencias con las mismas ventas. El ROIC incremental de 2021-2025 (1,4 %) sale bajo por la misma razón. Está por encima de Kering y por debajo de Hermès, la referencia del sector [27, 28].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neta sin arrendamientos de 1.112,4 M EUR a 30-jun-2026, tras pagar 374,1 M de dividendo (1.458,0 M a 31-dic-2025) [2, 3]. Caja e inversiones a corto plazo de ≈1.477 M a dic-2025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único pasivo asimilable a deuda relevante son los arrendamientos de tiendas (NIIF 16): 1.109,1 M EUR a dic-2025, frente a 924,1 M un año antes, por renovaciones y ampliaciones de tiendas [3, 4]. Con ellos, la posición financiera neta total sigue siendo positiva (≈349 M a dic-2025, estimación propia). No constan covenants, pensiones relevantes ni pagos aplazados de adquisiciones: Stone Island se pagó en 2021 con caja y acciones [6].</w:t>
      </w:r>
    </w:p>
    <w:p>
      <w:pPr>
        <w:pStyle w:val="Heading1"/>
      </w:pPr>
      <w:r>
        <w:t xml:space="preserve">12. Asignación de capital</w:t>
      </w:r>
    </w:p>
    <w:p>
      <w:pPr>
        <w:pStyle w:val="Confianza"/>
        <w:spacing w:after="100"/>
      </w:pPr>
      <w:r>
        <w:t xml:space="preserve">Confianza: Media</w:t>
      </w:r>
    </w:p>
    <w:p>
      <w:pPr>
        <w:spacing w:after="100"/>
      </w:pPr>
      <w:r>
        <w:t xml:space="preserve">Dividendo creciente con reparto de en torno al 60 % del beneficio: 1,40 EUR por acción con cargo a 2025, pagado en mayo de 2026 (374,1 M) [2, 18]. No hay recompra en marcha; la única relevante fue en 2022 (48,4 M) [9]. La prioridad declarada es reinvertir en la red de tiendas y la logística (capex ≈6 % de las ventas en 2026) y mantener caja neta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 nuevas a la familia Rivetti</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Stone Island pasaron de ≈240 M en 2020 a ≈400 M y 200,3 M en el 1S26; sin deterioros conocidos del fondo de comercio [2, 21].</w:t>
            </w:r>
          </w:p>
        </w:tc>
      </w:tr>
    </w:tbl>
    <w:p>
      <w:pPr>
        <w:spacing w:after="160" w:before="0"/>
      </w:pPr>
    </w:p>
    <w:p>
      <w:pPr>
        <w:spacing w:after="100"/>
      </w:pPr>
      <w:r>
        <w:t xml:space="preserve">Buena asignación de capital: una sola compra grande en diez años (Stone Island, 1.150 M a 17x EBITDA), que ha crecido y no ha generado deterioros, y el resto, dividendo creciente y caja. El exceso de caja (1.458 M a dic-2025, el 12 % de la capitalización) sigue sin usarse: no hay recompra ni plan de compra anunciado [1,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 Ruffini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Moncler en 2003 y la llevó de marca de montaña a grupo de lujo de 3.132 M EUR con un margen EBIT del 29 % [1, 22]. Consejero delegado hasta el 31-mar-2026. Su participación es indirecta, a través de Double R (15,8 % en 2024, con LVMH como socio minoritario de la sociedad)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Bartolomeo (Leo) Rongone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Bottega Veneta, del grupo Kering, antes de llegar a Moncler; nombrado el 1-abr-2026 [24,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en torno al 6-7 % de las ventas; margen EBIT del entorno del 29 %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6,9 % y margen EBIT del 29,2 %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Mantener el margen EBIT del ≈30 % con ventas creciendo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del 29,5 % con ventas +4 %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durante veinte años bajo Ruffini, que ha cumplido sus objetivos de margen en un ciclo malo (29 % en 2024 y 2025). El cambio de 2026 es la primera sucesión: Rongone como consejero delegado, con Ruffini de presidente ejecutivo, una fórmula que deja el poder en el fundador. El riesgo es de transición y de una figura central cuya salida definitiva no tiene fecha [1, 24].</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 Ruffini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Bartolomeo (Leo) Rongone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Sidney Toledano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por LVMH, sustituye a Alexandre Arnault)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Double R S.r.l. (Remo Ruffini, con LVMH al ≈22 % de la sociedad)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subir hasta el 18,5 % (máximo del 20 % pactado por tres años) con dinero de LVMH, anunciado en sep-2024 [23,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remuneración de 2026 no introduce cambios relevantes en el reparto entre fijo y variable ni entre corto y largo plazo; se votó en la junta del 21 de abril de 2026 (vinculante la primera sección y consultiva la segunda) [32, 33]. El variable a largo plazo se paga con planes de performance shares. No se pudieron leer las tablas de importes ni el resultado de la votación de 2026.</w:t>
      </w:r>
    </w:p>
    <w:p>
      <w:pPr>
        <w:pStyle w:val="Heading2"/>
      </w:pPr>
      <w:r>
        <w:t xml:space="preserve">Operaciones vinculadas, estructura de control y defensas</w:t>
      </w:r>
    </w:p>
    <w:p>
      <w:pPr>
        <w:spacing w:after="100"/>
      </w:pPr>
      <w:r>
        <w:t xml:space="preserve">Ruffini controla de hecho la junta con Double R (15,8 % en 2024, objetivo del 18,5 %), en un capital muy disperso. LVMH tiene el ≈22 % de Double R y un pacto que le da dos consejeros en Double R y uno en Moncler; Ruffini y LVMH se comprometieron a no superar el 20 % de Moncler durante tres años, renovables [23, 34]. En julio de 2026 salieron Alexandre Arnault y Geoffroy van Raemdonck del consejo; entra Sidney Toledano, exdirectivo de Dior [31, 35]. Una acción, un voto; no hay blindajes estatutarios conocidos. La lectura: un socio estratégico que puede convertirse en comprador.</w:t>
      </w:r>
    </w:p>
    <w:p>
      <w:pPr>
        <w:pStyle w:val="Heading2"/>
      </w:pPr>
      <w:r>
        <w:t xml:space="preserve">Señales de alerta</w:t>
      </w:r>
    </w:p>
    <w:p>
      <w:pPr>
        <w:pStyle w:val="ListParagraph"/>
        <w:numPr>
          <w:ilvl w:val="0"/>
          <w:numId w:val="2"/>
        </w:numPr>
        <w:spacing w:after="60"/>
      </w:pPr>
      <w:r>
        <w:t xml:space="preserve">Sucesión del fundador en marcha: Rongone, consejero delegado desde abril de 2026, con Ruffini como presidente ejecutivo [24].</w:t>
      </w:r>
    </w:p>
    <w:p>
      <w:pPr>
        <w:pStyle w:val="ListParagraph"/>
        <w:numPr>
          <w:ilvl w:val="0"/>
          <w:numId w:val="2"/>
        </w:numPr>
        <w:spacing w:after="60"/>
      </w:pPr>
      <w:r>
        <w:t xml:space="preserve">Salida de dos consejeros en julio de 2026, uno de ellos el representante de LVMH (sustituido por Sidney Toledano)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Moncler no da guía cuantitativa de ventas ni de margen. En los resultados del 1S26 (22-jul-2026) la dirección dijo que la rentabilidad del año dependerá de las ventas del segundo semestre, mantuvo la aspiración de márgenes EBIT del 29 % o más a lo largo del tiempo y espera un capex de ≈6 % de las ventas en 2026 [13]. Ruffini: «el entorno sigue siendo complejo y difícil de prever»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de 650 M ÷ 272 M de acciones), ago-2026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de 707 M ÷ 272 M de acciones)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(beneficio neto de 770 M ÷ 272 M de acciones)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49,00 – 70,00</w:t>
            </w:r>
          </w:p>
        </w:tc>
      </w:tr>
    </w:tbl>
    <w:p>
      <w:pPr>
        <w:spacing w:after="160" w:before="0"/>
      </w:pPr>
    </w:p>
    <w:p>
      <w:pPr>
        <w:pStyle w:val="Heading2"/>
      </w:pPr>
      <w:r>
        <w:t xml:space="preserve">Revisiones de estimaciones</w:t>
      </w:r>
    </w:p>
    <w:p>
      <w:pPr>
        <w:spacing w:after="100"/>
      </w:pPr>
      <w:r>
        <w:t xml:space="preserve">Las estimaciones apenas se han movido en 2026: Websim registra revisiones del BPA 2026-2028 de −0,4 % a 0 % entre febrero y marzo [41]. Los precios objetivo se mueven con el precio: en octubre Goldman Sachs inició con Comprar y 62 EUR y UBS mantuvo Neutral con 46,60 EUR; Bernstein subió a Sobreponderar (57,50 EUR) y Jefferies bajó a Mantener [39, 40, 42]. Solo hay una fuente con BPA a tres años (MarketScreener), y su BPA es el beneficio neto dividido por nuestras acciones; el precio objetivo se contrasta con Investing y Traders Union (61,1 EUR) [37, 43].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Moncler cotizó en 2022-2025 a un PER de cierre de 21,6-24,6 veces (mediana de 22,9x) sobre el BPA del año; 2021 se excluye porque el precio de cierre (64,02 EUR) recogía la euforia de la reapertura y el BPA solo nueve meses de Stone Island (PER de 42x) [6, 36]. Hoy, a 43,44 EUR, cotiza a 18,5 veces el BPA de los últimos doce meses (2,35 EUR), un 20 % por debajo de su mediana: el mercado ya no paga crecimiento porque desde 2024 no lo hay. El precio de cierre de 2025 es el de principio de enero de 2026 (54,72 EUR) [44].</w:t>
      </w:r>
    </w:p>
    <w:p>
      <w:pPr>
        <w:pStyle w:val="Heading1"/>
      </w:pPr>
      <w:r>
        <w:t xml:space="preserve">18. Comparables cotizados</w:t>
      </w:r>
    </w:p>
    <w:p>
      <w:pPr>
        <w:pStyle w:val="Confianza"/>
        <w:spacing w:after="100"/>
      </w:pPr>
      <w:r>
        <w:t xml:space="preserve">Confianza: Media</w:t>
      </w:r>
    </w:p>
    <w:p>
      <w:pPr>
        <w:spacing w:after="100"/>
      </w:pPr>
      <w:r>
        <w:t xml:space="preserve">Seis grupos europeos de lujo en NIIF: LVMH, Hermès, Richemont, Kering, Prada y Brunello Cucinelli. Las cifras son las de MarketScreener a 8-9 de octubre de 2026 que se recogieron para los informes de LVMH y de Hermès de este repositorio (seis días antes del corte; el sector se movió poco) [45, 46]. Fuera L’Oréal (belleza) y Canada Goose (sin datos gratuitos y modelo mayorista). Ninguno es especialista en abrigo: Moncler es el más pequeño salvo Cucinelli.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10,7x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 / 24,5x / 26,9x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3,5x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Moncler cotiza a 8,9 veces el EBITDA de los próximos 12 meses y a 17,0 veces el beneficio, en la parte baja del grupo con LVMH (8,5x y 15,9x) y Prada (6,4x y 13,0x), y muy por debajo de Hermès (15,6x y 27,0x), Richemont (12,8x y 22,4x) y Brunello Cucinelli (12,8x y 31,7x) [45, 46]. El descuento no se justifica por calidad: su margen EBITDA (≈40 %) es el segundo del grupo tras Hermès y no tiene deuda. Se justifica por crecimiento y por concentración: una categoría (abrigo de plumón), una estación (el 4T) y un cliente (el asiático) [2]. Usamos la mediana del EV/EBITDA NTM con poco peso porque la muestra es frágil (la mediana va de 8,5x a 12,8x según qué comparable se quite); la mediana del PER NTM (24,5x) solo como techo del alcista a 12 meses.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renegociado a 131,5 USD por acción tras la pandemia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de lujo; múltiplo de activo inmobiliario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la propia Moncler: ropa de lujo de inspiración técnica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asequible; operación bloqueada por la FTC y cancelada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en pérdidas: múltiplo de ventas de reestructuración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(13,1x – 20,0x)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61,57 – 94,35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Las transacciones del lujo pagan 1,5-5,6 veces las ventas; la propia Moncler pagó 4,8 veces ventas y 17,1 veces EBITDA por Stone Island en 2020 [45]. Aplicadas a Moncler darían un valor muy por encima del precio, pero no pesan en la síntesis: una OPA no es probable a 12 meses. Double R (Ruffini) controla de hecho el 15,8 % y LVMH, socio del 22 % de Double R, pactó en 2024 no superar con Ruffini el 20 % de Moncler durante tres años, renovables [34]. Es la opción de compra más clara del sector, pero sin fecha.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(3.132,1 M EUR) [1]. 2026e (+3 % publicado) queda fijo: el 1S26 creció un 9 % a tipos constantes y un 5 % publicado, pero el 2T26 se frenó y la divisa resta unos 4 puntos [2, 13]. Después, +5 % en 2027e y +6 % en 2028-29e, bajando al 3 % en 2035e: por debajo del 11 % anual de 2021-2025 (con Stone Island y la reapertura china) y algo por encima del mercado de lujo (3,5 % previsto) [1, 25]. El consenso de beneficio (+9 % anual de 2026 a 2028) es más optimista [38].</w:t>
      </w:r>
    </w:p>
    <w:p>
      <w:pPr>
        <w:keepNext/>
        <w:spacing w:after="100"/>
      </w:pPr>
      <w:r>
        <w:rPr>
          <w:b/>
          <w:bCs/>
        </w:rPr>
        <w:t xml:space="preserve">Márgenes.</w:t>
      </w:r>
    </w:p>
    <w:p>
      <w:pPr>
        <w:spacing w:after="100"/>
      </w:pPr>
      <w:r>
        <w:t xml:space="preserve">Margen EBITDA del 39,8 % en 2026e y del 40,5 % desde 2029e, frente al 40,4 % de 2023, el 40,2 % de 2024 y el 39,9 % de 2025 [6, 10]. No suponemos mejora: el margen EBIT del 29 % que la dirección aspira a mantener ya es el de los últimos cinco años [13].</w:t>
      </w:r>
    </w:p>
    <w:p>
      <w:pPr>
        <w:keepNext/>
        <w:spacing w:after="100"/>
      </w:pPr>
      <w:r>
        <w:rPr>
          <w:b/>
          <w:bCs/>
        </w:rPr>
        <w:t xml:space="preserve">Inversión y circulante.</w:t>
      </w:r>
    </w:p>
    <w:p>
      <w:pPr>
        <w:spacing w:after="100"/>
      </w:pPr>
      <w:r>
        <w:t xml:space="preserve">Amortización del 10,8 % de las ventas (la de 2025, con derechos de uso) [6]. Capex del 13 % hasta 2028e y del 12 % al final: la inversión neta de 2025 fue del 6,9 % y la empresa espera ≈6 % en 2026, y a ella hay que sumar las altas de derechos de uso de tiendas (pagos de arrendamientos de ≈7 % de las ventas) [3, 13]. Circulante del 9,8 % de las ventas, el de 2025 [15].</w:t>
      </w:r>
    </w:p>
    <w:p>
      <w:pPr>
        <w:keepNext/>
        <w:spacing w:after="100"/>
      </w:pPr>
      <w:r>
        <w:rPr>
          <w:b/>
          <w:bCs/>
        </w:rPr>
        <w:t xml:space="preserve">Coste del capital.</w:t>
      </w:r>
    </w:p>
    <w:p>
      <w:pPr>
        <w:spacing w:after="100"/>
      </w:pPr>
      <w:r>
        <w:t xml:space="preserve">Bund a 10 años del 3,53 % (9-oct-2026) [47]; beta de 1,2, la sectorial del lujo que usamos en Hermès y LVMH (Moncler es más volátil que el sector, pero no tenemos su beta de 5 años); prima de mercado del 5,5 %. Sin prima país: Italia pesa poco en las ventas. Deuda = arrendamientos (8 % de la estructura) al 3,5 %. WACC del 9,52 %.</w:t>
      </w:r>
    </w:p>
    <w:p>
      <w:pPr>
        <w:keepNext/>
        <w:spacing w:after="100"/>
      </w:pPr>
      <w:r>
        <w:rPr>
          <w:b/>
          <w:bCs/>
        </w:rPr>
        <w:t xml:space="preserve">Valor terminal.</w:t>
      </w:r>
    </w:p>
    <w:p>
      <w:pPr>
        <w:spacing w:after="100"/>
      </w:pPr>
      <w:r>
        <w:t xml:space="preserve">Crecimiento a perpetuidad del 2,5 %: inflación del euro (2 %) más medio punto real, por debajo del Bund menos medio punto (3,03 %). Con un margen del 40,5 % y un capex del 12 %, el valor terminal es el 56 %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(hoy: 0,9 %)</w:t>
            </w:r>
          </w:p>
        </w:tc>
      </w:tr>
    </w:tbl>
    <w:p>
      <w:pPr>
        <w:spacing w:after="160" w:before="0"/>
      </w:pPr>
    </w:p>
    <w:p>
      <w:pPr>
        <w:spacing w:after="100"/>
      </w:pPr>
      <w:r>
        <w:t xml:space="preserve">La proyección apenas necesita inversión neta de la amortización (reinversión acumulada de 808 M, el 9 % del NOPAT, con un capex bruto medio del 12,4 % de las ventas). En un negocio de activos ligeros, el crecimiento medio del 4,5 % tiene que salir de subir precios y de ganar volumen sin capital nuevo, y la prueba es el poder de precios y la cuota (1,0 % del mercado en 2035e, frente al 0,9 %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al 3 % cada uno (el 1S26 creció un 9 % a tipos constantes) y −3 puntos de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3 % (subidas anuales habituales) y volumen del 2 % con la red de tiendas estable (295 Moncler)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turismo y de China: volumen del 3 %, precio del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crecimiento en línea con su historia antes de 2020.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baja al 2,5 %: madurez de la marca principal.</w:t>
            </w:r>
          </w:p>
        </w:tc>
      </w:tr>
    </w:tbl>
    <w:p>
      <w:pPr>
        <w:spacing w:after="160" w:before="0"/>
      </w:pPr>
    </w:p>
    <w:p>
      <w:pPr>
        <w:spacing w:after="100"/>
      </w:pPr>
      <w:r>
        <w:t xml:space="preserve">Sí. La proyección (4,6 % anual) pide menos de lo que Moncler ha hecho en cualquier periodo de cinco años desde su salida a bolsa y apenas mueve su cuota del lujo personal (del 0,9 % al 1,0 % en 2035e) [1, 25]. La reinversión es baja (9 % del NOPAT; el motor no hace la prueba con menos del 15 %): el crecimiento depende del poder de precio, demostrado con un margen EBIT del 29-30 % estable durante el frenazo de 2024-25 y la subida de precios por los aranceles en 2025 [1, 30]. El ROIC incremental de 2021-2025 (1,4 %) no sirve de referencia porque el capital creció por caja y arrendamientos con ventas planas desde 2024. La duda no es de calidad sino de demanda: por eso el bajista resta 3 puntos de crecimiento y de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9,5 %)</w:t>
            </w:r>
          </w:p>
        </w:tc>
      </w:tr>
    </w:tbl>
    <w:p>
      <w:pPr>
        <w:spacing w:after="160" w:before="0"/>
      </w:pPr>
    </w:p>
    <w:p>
      <w:pPr>
        <w:spacing w:after="100"/>
      </w:pPr>
      <w:r>
        <w:t xml:space="preserve">El DCF da 40,11 EUR por acción, un 7,7 % por debajo de 43,44 EUR, con un WACC del 9,52 % y un valor terminal del 56 %. El DCF inverso dice que a 43,44 EUR el mercado descuenta un crecimiento anual del 6,0 % en los años no fijos (nuestro base: 4,7 %), o una rentabilidad del 9,0 % con nuestras cifras: el precio no es barato con nuestro coste de capital, sino justo. Es exigente frente a 2024-25 (ventas planas) y conservador frente a la historia (11 % anual en 2021-25). Con la prima implícita del mercado (4,2 %) en vez del 5,5 %, el valor sube y el DCF queda por encima del precio: la conclusión depende de la tasa de descuento, no de las cifras.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plumífero de lujo pierde la moda y Europa sigue sin turistas: crecimiento 3 puntos menor cada año y margen EBITDA 3 puntos más bajo (EBIT del ≈26 %), como Canada Goose desde 2022 o Kering desde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del lujo: Moncler crece un 5-6 % en 2027-29 con precio y volumen, y mantiene el margen EBIT del 29 %.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y Stone Island aceleran y Europa recupera el turismo: 2 puntos más de crecimiento y 1,5 de margen, el 31 % de EBIT de 2022-23.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4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39,20 EUR (-9,8 %).</w:t>
      </w:r>
    </w:p>
    <w:p>
      <w:pPr>
        <w:spacing w:after="100"/>
      </w:pPr>
      <w:r>
        <w:t xml:space="preserve">El DCF da 28,56 EUR en el bajista (−34,3 %), 40,11 en el base (−7,7 %) y 48,00 en el alcista (+10,5 %): asimetría desfavorable (0,31x) con nuestro WACC del 9,52 %. A 12 meses, con el PER, el cuadro cambia: el bajista pierde un 20 % y el alcista gana un 56 % (asimetría de 2,28x), porque el precio ya descuenta un PER de 17,3x, el más bajo de la historia reciente. Las dos lecturas no se contradicen: la acción está barata frente a su historia y justa frente a un coste de capital del 9,5 %.</w:t>
      </w:r>
    </w:p>
    <w:p>
      <w:pPr>
        <w:pStyle w:val="Heading1"/>
      </w:pPr>
      <w:r>
        <w:t xml:space="preserve">22. Suma de partes</w:t>
      </w:r>
    </w:p>
    <w:p>
      <w:pPr>
        <w:pStyle w:val="Confianza"/>
        <w:spacing w:after="100"/>
      </w:pPr>
      <w:r>
        <w:t xml:space="preserve">Confianza: Baja</w:t>
      </w:r>
    </w:p>
    <w:p>
      <w:pPr>
        <w:spacing w:after="100"/>
      </w:pPr>
      <w:r>
        <w:t xml:space="preserve">No aplica: Moncler y Stone Island son el mismo negocio (ropa de lujo, venta directa) y la empresa no publica el resultado por marca en las fuentes disponibles.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4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45,00 EUR (+3,6 % sobre 43,44).</w:t>
      </w:r>
    </w:p>
    <w:p>
      <w:pPr>
        <w:spacing w:after="100"/>
      </w:pPr>
      <w:r>
        <w:t xml:space="preserve">El DCF pesa un 40 %: es un negocio estable en márgenes, aunque el valor depende mucho de la tasa de descuento. Los comparables pesan un 30 % pese a ser una muestra frágil, porque el lujo se valora por múltiplos; los escenarios, otro 30 %. Las transacciones (80,67 EUR de mediana) no pesan: llevan prima de control y la OPA está bloqueada por el pacto de LVMH y Ruffini hasta 2027. La dispersión es grande: de 40,11 EUR (DCF) a 62,60 (PER de comparables). El valor objetivo es de 45,00 EUR (+3,6 %). La decisión la toma el objetivo a 12 meses (PER propio × BPA propio): 48,21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(17.3x) × 1.1 (tope: la mediana de 5 años, 22.8x,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+69,6 %</w:t>
            </w:r>
          </w:p>
        </w:tc>
      </w:tr>
    </w:tbl>
    <w:p>
      <w:pPr>
        <w:spacing w:after="160" w:before="0"/>
      </w:pPr>
    </w:p>
    <w:p>
      <w:pPr>
        <w:spacing w:after="100"/>
      </w:pPr>
      <w:r>
        <w:rPr>
          <w:b/>
          <w:bCs/>
        </w:rPr>
        <w:t xml:space="preserve">Objetivo a 12 meses (ponderado):</w:t>
      </w:r>
      <w:r>
        <w:t xml:space="preserve"> 52,25 EUR · rentabilidad +23,5 % (base +20,9 %) · señal Mantener.</w:t>
      </w:r>
    </w:p>
    <w:p>
      <w:pPr>
        <w:spacing w:after="100"/>
      </w:pPr>
      <w:r>
        <w:t xml:space="preserve">Para comparar, con la regla v2 (historia al cierre, mismo precio): 14,7x / 17,3x / 22,5x, 14,2 % Mantener; con el tope anterior del base (×1,3, 14-oct mediodía): 27,2 % Mantener. Decide la regla vigente (v3 con tope ×1,1; METODO-VIGENTE.md).</w:t>
      </w:r>
    </w:p>
    <w:p>
      <w:pPr>
        <w:keepNext/>
        <w:spacing w:after="100"/>
      </w:pPr>
      <w:r>
        <w:rPr>
          <w:b/>
          <w:bCs/>
        </w:rPr>
        <w:t xml:space="preserve">Frente al consenso (solo contraste).</w:t>
      </w:r>
    </w:p>
    <w:p>
      <w:pPr>
        <w:spacing w:after="100"/>
      </w:pPr>
      <w:r>
        <w:t xml:space="preserve">Nuestro base (46,54 EUR) queda un 24,2 % por debajo del objetivo medio de los analistas (61,37 EUR; 49-70) [37]. El beneficio apenas explica la diferencia: nuestro BPA de 2028e (2,69 EUR) es un 5 % menor que el del consenso (2,83 EUR, 770 M de beneficio) porque suponemos menos crecimiento en 2027 [38]. La diferencia sale del múltiplo: la regla común usa el PER actual (17,3x sobre nuestro BPA de 2027e) porque es menor que la mediana de cinco años (22,9x), mientras los objetivos de los analistas implican 22-23 veces, el PER de 2022-2025. Si el mercado vuelve a pagar esa media, el alcista (66,38 EUR) la recoge.</w:t>
      </w:r>
    </w:p>
    <w:p>
      <w:pPr>
        <w:keepNext/>
        <w:spacing w:after="100"/>
      </w:pPr>
      <w:r>
        <w:rPr>
          <w:b/>
          <w:bCs/>
        </w:rPr>
        <w:t xml:space="preserve">Del valor intrínseco al objetivo a 12 meses.</w:t>
      </w:r>
    </w:p>
    <w:p>
      <w:pPr>
        <w:spacing w:after="100"/>
      </w:pPr>
      <w:r>
        <w:t xml:space="preserve">El objetivo a 12 meses (48,21 EUR) queda un 7 % por encima del valor intrínseco (45,00 EUR): no hay una distancia de valor que cerrar, sino un múltiplo deprimido. La rentabilidad ponderada (+14,2 % con el dividendo de 1,40 EUR) se queda a un punto del umbral de compra, y la del base (+10,4 %) a dos. Lo que la subiría: unas ventas del 3T (21-oct) y del 4T que confirmen la vuelta al crecimiento del 5 %, o una recompra con la caja. A 42,80 EUR o menos la acción pasaría 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(resoconto intermedio al 30-sep)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arranque de la temporada de abrigo y de Europa tras el −8 %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trae el 41 % de las ventas: decide el margen del año (≈29 %)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estratégico con Leo Rongone de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medio plazo y posible uso de la caja (1.112 M) en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compromiso de tres años de LVMH y Ruffini de no superar el 20 %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Reabre la opción de una operación corporativa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turismo asiático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EMEA es el 27 % de las ventas y cayó un 8 %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del plumífero de lujo (riesgo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(escenario bajista: 28,56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marca (Stone Island) y ampliación a punto y calzado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comparable negativa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turistas asiáticos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creció un 22 % en el 1T26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por debajo de −5 % a tipos constantes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consumidor chino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 poca saturación en China frente a las grandes casas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por debajo del +5 %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(USD, JPY y CNY frente al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−4 puntos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de la cúpula (Ruffini a presidente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Ruffini sigue de presidente ejecutivo y primer accionista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directivos o choque de estrategia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creciente en tiendas y existencias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de 1.112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Circulante por encima del 11 % de las ventas</w:t>
            </w:r>
          </w:p>
        </w:tc>
      </w:tr>
    </w:tbl>
    <w:p>
      <w:pPr>
        <w:spacing w:after="160" w:before="0"/>
      </w:pPr>
    </w:p>
    <w:p>
      <w:pPr>
        <w:pStyle w:val="Heading2"/>
      </w:pPr>
      <w:r>
        <w:t xml:space="preserve">Pre-mortem</w:t>
      </w:r>
    </w:p>
    <w:p>
      <w:pPr>
        <w:spacing w:after="100"/>
      </w:pPr>
      <w:r>
        <w:t xml:space="preserve">Octubre de 2029: la acción vale 26 EUR. Empezó con un invierno suave en Europa y en China en 2026-27 y con el turista asiático sin volver a Milán y París; el 4T26 creció un 1 % y el margen EBIT bajó al 27 %. La nueva dirección respondió con más tiendas y más marketing para recuperar tráfico, mientras las grandes casas (Prada, Louis Vuitton, Dior) llenaban sus escaparates de plumíferos. El plumífero de lujo dejó de ser la prenda de moda entre los jóvenes chinos, como le pasó a Canada Goose desde 2022. Las ventas quedaron planas tres años, el margen bajó al 25 % y el mercado, que ya pagaba solo 17 veces beneficios, pasó a 14 veces un beneficio un 15 % menor. La señal que lo habría anticipado: la venta directa comparable negativa en el 2T y el 3T de 2026 y las existencias creciendo más que las ventas (+15 % en 2025).</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Moncler es el bienestar animal y la trazabilidad del plumón (protocolo DIST propio, y fin del uso de piel en 2022), las condiciones laborales en la cadena de subcontratación de Europa del Este y Asia y la huella de carbono de la logística y las tiendas [22]. Ninguno tiene hoy coste cuantificado en las cuentas.</w:t>
      </w:r>
    </w:p>
    <w:p>
      <w:pPr>
        <w:pStyle w:val="Heading2"/>
      </w:pPr>
      <w:r>
        <w:t xml:space="preserve">Controversias</w:t>
      </w:r>
    </w:p>
    <w:p>
      <w:pPr>
        <w:spacing w:after="100"/>
      </w:pPr>
      <w:r>
        <w:t xml:space="preserve">Sin multas ni litigios relevantes encontrados en los últimos tres años en las búsquedas hechas; las campañas animalistas sobre el plumón son recurrentes y no han tenido efecto medible en las ventas.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la nueva dirección con 1.112 M de caja neta: recompras, dividendo extraordinario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9 % de la capitalización sin rendimiento; una recompra cambiaría el BPA del objetivo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aumento de existencias (+15 % en 2025) es plumón estratégico y cuánto producto sin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producto, habrá rebajas o depreciaciones en 2026-27.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EMEA es turista asiático y cuánto cayó la venta al cliente local?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cíclico (turismo) de uno de marca.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Leo Rongone frente a la etapa de Ruffini (tiendas, categorías, Stone Island)?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capex y el crecimiento de la proyección.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papel tiene LVMH tras la salida de Alexandre Arnault y la entrada de Sidney Toledano?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opción de una operación corporativa.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los arrendamientos subieron de 924 a 1.109 M en 2025 con la red de tiendas estable?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metros o alquileres más caros: afecta al margen futuro.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(comentarios sobre los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Ponen el foco en la caída del margen operativo reportado y en una venta directa comparable que no crece; la narrativa alcista «choca» con la rentabilidad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 de valor razonable)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usuarios mantienen un valor razonable de ≈61-62 EUR apoyado en Asia y en la venta digital, con ajustes a la baja pequeños tras el verano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Money.it y Orafinanza (prensa italiana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 record ma analisti freddi»: la conversación italiana duda de que el buen primer trimestre se repita y destaca el −17 % del año [39,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(«Moncler: Stay Cautious»)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prudente: ventas que se estancan y un PER que no da margen de seguridad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Il Sole 24 Ore (lectura del 1S26 y del 1T26)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y Stone Island tiran; Europa y el turismo frenan; el mercado castigó el tono prudente del segundo semestre [55].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y el turista asiático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EMEA cayó un 8 % a tipos constantes en el 2T26 y pesa el 27 % de las ventas del semestre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China y Asia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en el 1T26 (+22 % en Asia), pero el 2T26 desaceleró el grupo a +5 % a tipos constantes [14,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rentabilidad del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Exageran: el margen EBIT del 1S26 subió del 18,3 % al 19,0 %; la caída de la que hablan algunos foros no aparece en el comunicado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LVMH como posible comprador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Pacto de no superar el 20 % durante tres años desde 2024 y salida de Alexandre Arnault del consejo en julio de 2026: no hay catalizador de OPA a 12 meses [31, 34].</w:t>
            </w:r>
          </w:p>
        </w:tc>
      </w:tr>
    </w:tbl>
    <w:p>
      <w:pPr>
        <w:spacing w:after="160" w:before="0"/>
      </w:pPr>
    </w:p>
    <w:p>
      <w:pPr>
        <w:spacing w:after="100"/>
      </w:pPr>
      <w:r>
        <w:t xml:space="preserve">El inversor particular está más pesimista que los analistas (25 analistas, ninguno vende; objetivo medio de 61,37 EUR) y el precio le da la razón: −17 % en el año. El temor (Europa sin turistas, ventas que no crecen) es real, pero los foros ignoran que el margen aguanta y que la caja neta es el 12 % de la capitalización. No hay capitulación ni euforia: es desinterés, lo normal en la parte baja del ciclo del lujo. No cambia la decisión; refuerza que el catalizador son las ventas del 4T (abrigo) y la cifra del 3T del 21 de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1 explicados. Fuentes: 55 (15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1,0 % en 2035e frente al 0,9 %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9,8 % frente a 9,7 % real: genera una variación de circulante de 13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8,5x a 12,8x según qué comparable se quite (41,51 a 62,51 por acción): la muestra es frágil; explícalo y no le des mucho peso. Explicación: Solo seis grupos de lujo y muy distintos (Prada a 6,4x y Hermès a 15,6x de EV/EBITDA NTM). Por eso los comparables pesan un 30 % y la regla de 12 meses usa la mediana de su PER solo como techo del alcista.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2026-10-08, 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19, 49,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(marcas Moncler y Stone Island, 5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2025 y 2024 vía búsqueda: solo cabecera del grupo; 2) prensa de resultados: solo el 1S26 y los nueve meses de 2025 por marca; 3) proveedores de datos: no desglosan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cifras del 1S26 en los KPI)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 del último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FY2025: extracto sin tabla regional; 2) factsheet FY2025: sin desglose en el extracto; 3) prensa: solo EMEA del 1S26 (349,7 M, 27 %)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resultado financiero, BAI e impuestos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vía búsqueda: solo ventas, EBIT y beneficio; 2) Stock Analysis y TipRanks: extracto sin esas líneas; 3) informes anuales en monclergroup.com: páginas sin abrir (red limitada a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2021-2022 y partidas de 2023-2025 (activo y pasivo corriente, fondo de comercio, marcas)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accesibles; 2) Stock Analysis: solo activo total, existencias, caja y clientes; 3) TipRanks y Simply Wall St: solo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patrimonio de 2023 y 2025 y proveedores, calculados y marcados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de la junta 2026: sin el nombramiento;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no accesible; 2) búsqueda de MSCI y Sustainalytics: sin resultado fechado;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Brunello Cucinelli; cuota en abrigo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los competidores en el repositorio: Cucinelli sin cuentas leídas; 2) Bain: no publica la categoría de abrigo; 3) búsqueda: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y voto de remuneración de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Relación de gobierno 2026 y convocatoria de la junta: extractos sin la composición; 2) resultados de votación de la junta 2026: no encontrados (solo un 99,5 % a favor de una junta anterior sin fecha cierta); 3) prensa: solo los cambios de julio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los consejeros confirmados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primer ejecutivo e insiders (registro de internal dealing)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Relación de remuneración 2026: tablas no accesibles; 2) internal dealing en eMarket Storage: no localizado por búsqueda;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solo cotizaciones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en Milán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Borsa Italiana y Teleborsa por búsqueda: sin cotización de octubre; 2) Stock Analysis de Milán: no indexado; 3) Stock Analysis de Viena (VIE:MONC): cierre de 43,44 EUR del 8-oct-2026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 usa el cierre de Viena del 8-oct-2026 (misma acción, en euros)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52 semanas, volumen y capital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Borsa Italiana; 2) Simply Wall St (sin fecha); 3) Stock Analysis Viena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y foros italianos de FinanzaOnline e Investireoggi)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WebSearch de hilos de Reddit y Seeking Alpha sobre Moncler en 2026: sin resultados; 2) búsqueda en foros italianos (FinanzaOnline, Investireoggi) de septiembre de 2026: sin hilos fechados;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comentarios de plataformas y prensa con lectores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Group: risultati consolidati 2025 (comunicato stampa,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https://www.emarketstorage.it/sites/default/files/comunicati/2026-02/20260219_177665.pdf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Group: risultati del primo semestre 2026 (comunicato stampa, 22-jul-2026)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https://www.emarketstorage.it/sites/default/files/comunicati/2026-07/20260722_187106.pdf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risultati consolidati 2024 (comunicato stampa)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https://emarketstorage.it/sites/default/files/comunicati/2025-02/20250213_160658.pdf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FY22 turnover increases by 25 percent (cifras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https://fashionunited.uk/news/business/moncler-fy22-turnover-increases-by-25-percent/2023030168166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(BIT:MONC): cuenta de resultados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https://stockanalysis.com/quote/bit/MONC/financials/income-statement/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(BIT:MONC): balance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https://stockanalysis.com/quote/bit/MONC/financials/balance-sheet/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estado de flujos consolidado (p. 342)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https://www.monclergroup.com/sustainability/Annual-Report-2024/342-Moncler-Annual-Report-2024.html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estado de flujos consolidado (p. 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https://www.monclergroup.com/documents/annual-report/2023-annual-report/97-Moncler-Annual-Report-2023.html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(MONRY): income statement, EBITDA 2020-2024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https://www.tipranks.com/stocks/monry/financials/income-statement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closes Q1 2026 with revenues up 12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https://fashionunited.uk/news/business/moncler-group-closes-q1-2026-with-revenues-up-12-percent/2026042187603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closes first nine months with 1.8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https://fashionunited.uk/news/business/moncler-group-closes-first-nine-months-with-1-8-billion-euros/2025102889385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(MONC)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https://quartr.com/events/moncler-s-p-a-monc-h1-2026_oqeYI5wa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ricavi e margini in crescita nel primo semestre. Ruffini: contesto resta complesso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https://www.teleborsa.it/News/2026/07/22/moncler-ricavi-e-margini-in-crescita-nel-primo-semestre-ruffini-contesto-resta-complesso-173.html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resumen de resultados FY2025 (flujo libre y circulante)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https://quartr.com/companies/moncler-s-p-a_12069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balance (patrimonio a 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https://www.tipranks.com/stocks/de:mov/financials/balance-sheet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salud financiera (patrimonio)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https://simplywall.st/stocks/it/consumer-durables/bit-monc/moncler-shares/health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FY25 Revenues Rises, But Profit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https://www.nasdaq.com/articles/moncler-fy25-revenues-rises-profit-down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delivers 9 percent currency neutral growth in first half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https://sgbonline.com/moncler-s-p-a-delivers-9-percent-currency-neutral-growth-in-first-half/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growth beyond expectations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https://en.ilsole24ore.com/art/moncler-growth-beyond-expectations-we-build-community-AIkWtZdC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historia y sostenibilidad (Annual Report 2025, sección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https://www.monclergroup.com/v3/assets/blt61bda6b71f29a239/blte87f9e4fabfa4855/6a18387ccd325850993e4122/Moncler-Group-Annual-Report-2025_Sustainability.pdf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Remo Ruffini Teams With LVMH to Increase His Stake in Moncler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Impression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https://theimpression.com/remo-ruffini-and-lvmh-strengthen-ties-in-new-moncler-partnership/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appoints Leo Rongone as CEO in leadership shake-up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9colonne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https://www.9colonne.it/586456/moncler-appoints-leo-rongone-as-ceo-in-leadership-shake-up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 (segmento de Moda y Marroquinería) e informe de Hermès en este repositorio (informes/hermes-2026-10-11)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 Hermès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raises prices on tariffs, may postpone store openings if downturn worsens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vía NBC San Diego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https://www.nbcsandiego.com/news/business/money-report/moncler-raises-prices-on-tariffs-may-postpone-store-openings-if-downturn-worsens/3875312/?amp=1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Alexandre Arnault lascia il board Moncler, al suo posto arriva Sidney Toledano (ex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 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https://www.milanofinanza.it/fashion/alexandre-arnault-lascia-il-board-moncler-al-suo-posto-arriva-sidney-toledano-ex-dior-202607221858251175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Avviso di convocazione dell’Assemblea ordinaria del 21 aprile 2026 (estratto)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https://www.monclergroup.com/v3/assets/blt61bda6b71f29a239/bltd9a3552220a6c1d4/69b1be7c207551114ae97abd/Avviso_Convocazione_Assemblea_Estratto_Eng.pdf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sulla politica in materia di remunerazione e sui compensi corrisposti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https://www.emarketstorage.it/sites/default/files/comunicati/2026-03/20260320_179499.pdf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and Ruffini group won’t increase Moncler stake beyond 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FashionNetwork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https://il.fashionnetwork.com/news/Lvmh-and-ruffini-group-won-t-increase-moncler-stake-beyond-20-,1668576.html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reports higher revenue in H1 amid board changes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https://www.rttnews.com/3669425/moncler-reports-higher-revenue-in-h1-amid-board-changes.aspx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información para el accionista (precios de cierre anuales 2014-2024)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https://www.monclergroup.com/en/investor-relations/share-information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(MONC): consenso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https://uk.investing.com/equities/moncler-spa-consensus-estimates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datos financieros y estimaciones (beneficio neto 2026-2028, EBITDA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https://www.marketscreener.com/quote/stock/MONCLER-39435421/finances/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protagonista sulla spinta del giudizio degli analisti (Bernstein,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https://www.orafinanza.it/it/azioni-moncler-protagonista-sulla-spinta-del-giudizio-degli-analisti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downgraded to Hold from Buy at Jefferies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https://www.tipranks.com/news/the-fly/moncler-downgraded-to-hold-from-buy-at-jefferies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nota de Websim del 17-mar-2026 (revisiones de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 (Intermonte)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https://www.websim.it/static/upload/mon/moncler-17-03-26.pdf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(MONC): cambios de recomendación de octubre (Goldman Sachs,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https://www.investing.com/equities/moncler-spa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(MONC/EUR) Stock Forecast: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https://tradersunion.com/currencies/forecast/monc-eur/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(VIE:MONC): histórico de cotizaciones (cierre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https://stockanalysis.com/quote/vie/MONC/history/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Hermès de este repositorio: comparables y transacciones de MarketScreener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informes/hermes-2026-10-11)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LVMH de este repositorio: fila de Hermès en comparables (MarketScreener,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informes/lvmh-2026-10-08)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finanziario 2026 (resoconto intermedio al 30-sep,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https://www.monclergroup.com/wp-content/uploads/2025/10/moncler_ita_calendario-finanziario-2026.pdf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(MONC): PER y estimaciones de 2026-2028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https://www.marketscreener.com/quote/stock/MONCLER-39435421/valuation/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(BIT:MONC) Stock Faces Margin Pressure As Operating Profitability Challenges Bullish Narrative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https://www.webull.com/news/15278025094751232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analysts have nudged their Moncler fair value estimate slightly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https://simplywall.st/community/narratives/it/consumer-durables/bit-monc/moncler-shares/lh9vpe43-digital-and-retail-investments-will-expand-asia-pacific-luxury-appeal-ekqc/updates/12-analysts-have-nudged-their-moncler-fair-value-estimate-sligh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conti record (+12%) ma analisti freddi. Cosa può succedere ora al titolo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https://www.money.it/moncler-conti-record-12-ma-analisti-freddi-cosa-puo-succedere-ora-al-titolo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Stay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https://seekingalpha.com/article/4747015-moncler-stay-cautious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Moncler’s results slip as sales slow and the outlook remains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https://en.ilsole24ore.com/art/monclers-results-slip-as-sales-slow-and-the-outlook-remains-cautious-AJxFOET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78,4 %</w:t>
      </w:r>
      <w:r>
        <w:t xml:space="preserve"> · Secciones con menos del 60 % de campos cubiertos: </w:t>
      </w:r>
      <w:r>
        <w:rPr>
          <w:b/>
          <w:bCs/>
        </w:rPr>
        <w:t xml:space="preserve">gobierno, bolsa, calidad</w:t>
      </w:r>
      <w:r>
        <w:t xml:space="preserve"> · Generado el 14 oct 2026.</w:t>
      </w:r>
    </w:p>
    <w:p>
      <w:pPr>
        <w:pStyle w:val="Nota"/>
        <w:spacing w:after="100"/>
      </w:pPr>
      <w:r>
        <w:t xml:space="preserve">Análisis hecho desde la nube con la red limitada a la búsqueda web: la web de Moncler, eMarket Storage, Borsa Italiana y los proveedores de datos no se pudieron abrir, así que las cifras salen de los extractos de búsqueda de los comunicados de resultados, de los informes anuales y de la prensa financiera, cruzadas cuando fue posible; la confianza es menor que en un análisis normal y lo que no cuadró está en null y en los huecos. </w:t>
      </w:r>
      <w:r>
        <w:rPr>
          <w:b/>
        </w:rPr>
        <w:t xml:space="preserve">Precio</w:t>
      </w:r>
      <w:r>
        <w:t xml:space="preserve">: no se encontró el cierre de Milán del 13-oct-2026; se usa el último cierre fechado, 43,44 EUR del 8-oct-2026 en la bolsa de Viena (la misma acción, en euros) [44]. </w:t>
      </w:r>
      <w:r>
        <w:rPr>
          <w:b/>
        </w:rPr>
        <w:t xml:space="preserve">EBITDA</w:t>
      </w:r>
      <w:r>
        <w:t xml:space="preserve">: Moncler no lo publica; es el de los proveedores (EBIT + todas las amortizaciones, con NIIF 16) [6, 10]. </w:t>
      </w:r>
      <w:r>
        <w:rPr>
          <w:b/>
        </w:rPr>
        <w:t xml:space="preserve">Arrendamientos</w:t>
      </w:r>
      <w:r>
        <w:t xml:space="preserve"> (NIIF 16) en la deuda del puente (1.109,1 M de dic-25) y altas de derechos de uso dentro del capex del DCF. Los comparables y las transacciones se reutilizan de los informes de LVMH (8-oct) y Hermès (11-oct) de este repositorio, con cifras de MarketScreener a 8-oct-2026 [45, 46]. Sin sección de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Moncler S.p.A. (MONC.MI)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Hoja1!$B$2:$B$9</c:f>
              <c:numCache>
                <c:formatCode>#,##0.0</c:formatCode>
                <c:ptCount val="8"/>
                <c:pt idx="0">
                  <c:v>49</c:v>
                </c:pt>
                <c:pt idx="1">
                  <c:v>40.78</c:v>
                </c:pt>
                <c:pt idx="2">
                  <c:v>44.78</c:v>
                </c:pt>
                <c:pt idx="3">
                  <c:v>61.57</c:v>
                </c:pt>
                <c:pt idx="4">
                  <c:v>36.07</c:v>
                </c:pt>
                <c:pt idx="5">
                  <c:v>28.56</c:v>
                </c:pt>
                <c:pt idx="6">
                  <c:v>46.37</c:v>
                </c:pt>
                <c:pt idx="7">
                  <c:v>43.22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Hoja1!$C$2:$C$9</c:f>
              <c:numCache>
                <c:formatCode>#,##0.0</c:formatCode>
                <c:ptCount val="8"/>
                <c:pt idx="0">
                  <c:v>21</c:v>
                </c:pt>
                <c:pt idx="1">
                  <c:v>21.729999999999997</c:v>
                </c:pt>
                <c:pt idx="2">
                  <c:v>23.950000000000003</c:v>
                </c:pt>
                <c:pt idx="3">
                  <c:v>32.779999999999994</c:v>
                </c:pt>
                <c:pt idx="4">
                  <c:v>9.380000000000003</c:v>
                </c:pt>
                <c:pt idx="5">
                  <c:v>19.44</c:v>
                </c:pt>
                <c:pt idx="6">
                  <c:v>9.25</c:v>
                </c:pt>
                <c:pt idx="7">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Moncler</c:v>
                </c:pt>
                <c:pt idx="1">
                  <c:v>LVMH (Moda y Marroquinería)</c:v>
                </c:pt>
                <c:pt idx="2">
                  <c:v>Hermès</c:v>
                </c:pt>
                <c:pt idx="3">
                  <c:v>Kering</c:v>
                </c:pt>
                <c:pt idx="4">
                  <c:v>Prada</c:v>
                </c:pt>
                <c:pt idx="5">
                  <c:v>Brunello Cucinelli</c:v>
                </c:pt>
              </c:strCache>
            </c:strRef>
          </c:cat>
          <c:val>
            <c:numRef>
              <c:f>Hoja1!$B$2:$B$7</c:f>
              <c:numCache>
                <c:formatCode>0.0"%"</c:formatCode>
                <c:ptCount val="6"/>
                <c:pt idx="0">
                  <c:v>29.2</c:v>
                </c:pt>
                <c:pt idx="1">
                  <c:v>35</c:v>
                </c:pt>
                <c:pt idx="2">
                  <c:v>41.1</c:v>
                </c:pt>
                <c:pt idx="3">
                  <c:v>11.1</c:v>
                </c:pt>
                <c:pt idx="4">
                  <c:v>22.7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0</c:v>
                </c:pt>
                <c:pt idx="2">
                  <c:v>4</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2046.1</c:v>
                </c:pt>
                <c:pt idx="1">
                  <c:v>2602.9</c:v>
                </c:pt>
                <c:pt idx="2">
                  <c:v>2984.2</c:v>
                </c:pt>
                <c:pt idx="3">
                  <c:v>3108.9</c:v>
                </c:pt>
                <c:pt idx="4">
                  <c:v>3132.1</c:v>
                </c:pt>
                <c:pt idx="5">
                  <c:v>3226</c:v>
                </c:pt>
                <c:pt idx="6">
                  <c:v>3387</c:v>
                </c:pt>
                <c:pt idx="7">
                  <c:v>3591</c:v>
                </c:pt>
                <c:pt idx="8">
                  <c:v>3806</c:v>
                </c:pt>
                <c:pt idx="9">
                  <c:v>4015</c:v>
                </c:pt>
                <c:pt idx="10">
                  <c:v>4216</c:v>
                </c:pt>
                <c:pt idx="11">
                  <c:v>4406</c:v>
                </c:pt>
                <c:pt idx="12">
                  <c:v>4582</c:v>
                </c:pt>
                <c:pt idx="13">
                  <c:v>4742</c:v>
                </c:pt>
                <c:pt idx="14">
                  <c:v>4885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827</c:v>
                </c:pt>
                <c:pt idx="1">
                  <c:v>1040</c:v>
                </c:pt>
                <c:pt idx="2">
                  <c:v>1190</c:v>
                </c:pt>
                <c:pt idx="3">
                  <c:v>1250</c:v>
                </c:pt>
                <c:pt idx="4">
                  <c:v>1250.1</c:v>
                </c:pt>
                <c:pt idx="5">
                  <c:v>1284</c:v>
                </c:pt>
                <c:pt idx="6">
                  <c:v>1355</c:v>
                </c:pt>
                <c:pt idx="7">
                  <c:v>1447</c:v>
                </c:pt>
                <c:pt idx="8">
                  <c:v>1541</c:v>
                </c:pt>
                <c:pt idx="9">
                  <c:v>1626</c:v>
                </c:pt>
                <c:pt idx="10">
                  <c:v>1708</c:v>
                </c:pt>
                <c:pt idx="11">
                  <c:v>1784</c:v>
                </c:pt>
                <c:pt idx="12">
                  <c:v>1856</c:v>
                </c:pt>
                <c:pt idx="13">
                  <c:v>1921</c:v>
                </c:pt>
                <c:pt idx="14">
                  <c:v>1978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40.4</c:v>
                </c:pt>
                <c:pt idx="1">
                  <c:v>40</c:v>
                </c:pt>
                <c:pt idx="2">
                  <c:v>39.9</c:v>
                </c:pt>
                <c:pt idx="3">
                  <c:v>40.2</c:v>
                </c:pt>
                <c:pt idx="4">
                  <c:v>39.9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29.5</c:v>
                </c:pt>
                <c:pt idx="1">
                  <c:v>29.8</c:v>
                </c:pt>
                <c:pt idx="2">
                  <c:v>29.9</c:v>
                </c:pt>
                <c:pt idx="3">
                  <c:v>29.5</c:v>
                </c:pt>
                <c:pt idx="4">
                  <c:v>29.2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20.1</c:v>
                </c:pt>
                <c:pt idx="1">
                  <c:v>23.3</c:v>
                </c:pt>
                <c:pt idx="2">
                  <c:v>20.5</c:v>
                </c:pt>
                <c:pt idx="3">
                  <c:v>20.6</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1">
                  <c:v>3.1</c:v>
                </c:pt>
                <c:pt idx="2">
                  <c:v>6</c:v>
                </c:pt>
                <c:pt idx="3">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3T25</c:v>
                </c:pt>
                <c:pt idx="1">
                  <c:v>4T25</c:v>
                </c:pt>
                <c:pt idx="2">
                  <c:v>1T26</c:v>
                </c:pt>
                <c:pt idx="3">
                  <c:v>2T26</c:v>
                </c:pt>
              </c:strCache>
            </c:strRef>
          </c:cat>
          <c:val>
            <c:numRef>
              <c:f>Hoja1!$C$2:$C$5</c:f>
              <c:numCache>
                <c:formatCode>0.0"%"</c:formatCode>
                <c:ptCount val="4"/>
                <c:pt idx="0">
                  <c:v>-1</c:v>
                </c:pt>
                <c:pt idx="2">
                  <c:v>12</c:v>
                </c:pt>
                <c:pt idx="3">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1">
                  <c:v>40</c:v>
                </c:pt>
                <c:pt idx="2">
                  <c:v>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492.70000000000005</c:v>
                </c:pt>
                <c:pt idx="2">
                  <c:v>549.4</c:v>
                </c:pt>
                <c:pt idx="3">
                  <c:v>587.5</c:v>
                </c:pt>
                <c:pt idx="4">
                  <c:v>529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411.4</c:v>
                </c:pt>
                <c:pt idx="1">
                  <c:v>606.7</c:v>
                </c:pt>
                <c:pt idx="2">
                  <c:v>611.9</c:v>
                </c:pt>
                <c:pt idx="3">
                  <c:v>639.6</c:v>
                </c:pt>
                <c:pt idx="4">
                  <c:v>626.7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29.6</c:v>
                </c:pt>
                <c:pt idx="3">
                  <c:v>25.1</c:v>
                </c:pt>
                <c:pt idx="4">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18.8</c:v>
                </c:pt>
                <c:pt idx="3">
                  <c:v>18.7</c:v>
                </c:pt>
                <c:pt idx="4">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-0.84</c:v>
                </c:pt>
                <c:pt idx="1">
                  <c:v>-0.31</c:v>
                </c:pt>
                <c:pt idx="2">
                  <c:v>-0.28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120.7</c:v>
                </c:pt>
                <c:pt idx="1">
                  <c:v>161</c:v>
                </c:pt>
                <c:pt idx="2">
                  <c:v>303.4</c:v>
                </c:pt>
                <c:pt idx="3">
                  <c:v>311</c:v>
                </c:pt>
                <c:pt idx="4">
                  <c:v>353.2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48.4</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Dominical</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Double R S.r.l. (Remo Ruffini, con LVMH al ≈22 % de la sociedad)</c:v>
                </c:pt>
              </c:strCache>
            </c:strRef>
          </c:cat>
          <c:val>
            <c:numRef>
              <c:f>Hoja1!$B$2</c:f>
              <c:numCache>
                <c:formatCode>0.0"%"</c:formatCode>
                <c:ptCount val="1"/>
                <c:pt idx="0">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11.8</c:v>
                </c:pt>
                <c:pt idx="3">
                  <c:v>10.7</c:v>
                </c:pt>
                <c:pt idx="4">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11.6</c:v>
                </c:pt>
                <c:pt idx="1">
                  <c:v>11.6</c:v>
                </c:pt>
                <c:pt idx="2">
                  <c:v>11.6</c:v>
                </c:pt>
                <c:pt idx="3">
                  <c:v>11.6</c:v>
                </c:pt>
                <c:pt idx="4">
                  <c:v>11.6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Moncler</c:v>
                </c:pt>
                <c:pt idx="1">
                  <c:v>LVMH</c:v>
                </c:pt>
                <c:pt idx="2">
                  <c:v>Hermès</c:v>
                </c:pt>
                <c:pt idx="3">
                  <c:v>Richemont</c:v>
                </c:pt>
                <c:pt idx="4">
                  <c:v>Kering</c:v>
                </c:pt>
                <c:pt idx="5">
                  <c:v>Prada</c:v>
                </c:pt>
                <c:pt idx="6">
                  <c:v>Brunello Cucinelli</c:v>
                </c:pt>
              </c:strCache>
            </c:strRef>
          </c:cat>
          <c:val>
            <c:numRef>
              <c:f>Hoja1!$B$2:$B$8</c:f>
              <c:numCache>
                <c:formatCode>0.0"x"</c:formatCode>
                <c:ptCount val="7"/>
                <c:pt idx="0">
                  <c:v>8.9</c:v>
                </c:pt>
                <c:pt idx="1">
                  <c:v>8.5</c:v>
                </c:pt>
                <c:pt idx="2">
                  <c:v>15.6</c:v>
                </c:pt>
                <c:pt idx="3">
                  <c:v>12.8</c:v>
                </c:pt>
                <c:pt idx="4">
                  <c:v>8.3</c:v>
                </c:pt>
                <c:pt idx="5">
                  <c:v>6.4</c:v>
                </c:pt>
                <c:pt idx="6">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2.4</c:v>
                </c:pt>
              </c:numCache>
            </c:numRef>
          </c:xVal>
          <c:yVal>
            <c:numRef>
              <c:f>Hoja1!$C$5</c:f>
              <c:numCache>
                <c:formatCode>0.0"x"</c:formatCode>
                <c:ptCount val="1"/>
                <c:pt idx="0">
                  <c:v>8.3</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6.4</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10.2</c:v>
                </c:pt>
              </c:numCache>
            </c:numRef>
          </c:xVal>
          <c:yVal>
            <c:numRef>
              <c:f>Hoja1!$C$7</c:f>
              <c:numCache>
                <c:formatCode>0.0"x"</c:formatCode>
                <c:ptCount val="1"/>
                <c:pt idx="0">
                  <c:v>12.8</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Tiffany &amp; Co.</c:v>
                </c:pt>
                <c:pt idx="1">
                  <c:v>Belmond</c:v>
                </c:pt>
                <c:pt idx="2">
                  <c:v>Stone Island</c:v>
                </c:pt>
                <c:pt idx="3">
                  <c:v>Capri Holdings</c:v>
                </c:pt>
                <c:pt idx="4">
                  <c:v>Versace</c:v>
                </c:pt>
              </c:strCache>
            </c:strRef>
          </c:cat>
          <c:val>
            <c:numRef>
              <c:f>Hoja1!$B$2:$B$6</c:f>
              <c:numCache>
                <c:formatCode>0.0"x"</c:formatCode>
                <c:ptCount val="5"/>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585</c:v>
                </c:pt>
                <c:pt idx="1">
                  <c:v>617</c:v>
                </c:pt>
                <c:pt idx="2">
                  <c:v>658</c:v>
                </c:pt>
                <c:pt idx="3">
                  <c:v>722</c:v>
                </c:pt>
                <c:pt idx="4">
                  <c:v>764</c:v>
                </c:pt>
                <c:pt idx="5">
                  <c:v>825</c:v>
                </c:pt>
                <c:pt idx="6">
                  <c:v>864</c:v>
                </c:pt>
                <c:pt idx="7">
                  <c:v>901</c:v>
                </c:pt>
                <c:pt idx="8">
                  <c:v>934</c:v>
                </c:pt>
                <c:pt idx="9">
                  <c:v>965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4813</c:v>
                </c:pt>
                <c:pt idx="1">
                  <c:v>6095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43,44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28.56</c:v>
                </c:pt>
                <c:pt idx="1">
                  <c:v>40.11</c:v>
                </c:pt>
                <c:pt idx="2">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43,44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Hoja1!$B$2:$B$9</c:f>
              <c:numCache>
                <c:formatCode>#,##0.0</c:formatCode>
                <c:ptCount val="8"/>
                <c:pt idx="0">
                  <c:v>49</c:v>
                </c:pt>
                <c:pt idx="1">
                  <c:v>40.78</c:v>
                </c:pt>
                <c:pt idx="2">
                  <c:v>44.78</c:v>
                </c:pt>
                <c:pt idx="3">
                  <c:v>61.57</c:v>
                </c:pt>
                <c:pt idx="4">
                  <c:v>36.07</c:v>
                </c:pt>
                <c:pt idx="5">
                  <c:v>28.56</c:v>
                </c:pt>
                <c:pt idx="6">
                  <c:v>46.37</c:v>
                </c:pt>
                <c:pt idx="7">
                  <c:v>43.22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(49,00 – 70,00)</c:v>
                </c:pt>
                <c:pt idx="1">
                  <c:v>Comparables: EV/EBITDA NTM (40,78 – 62,51)</c:v>
                </c:pt>
                <c:pt idx="2">
                  <c:v>Comparables: PER NTM (44,78 – 68,73)</c:v>
                </c:pt>
                <c:pt idx="3">
                  <c:v>Transacciones precedentes (EV/EBITDA) (61,57 – 94,35)</c:v>
                </c:pt>
                <c:pt idx="4">
                  <c:v>DCF (WACC y g ± 0,5) (36,07 – 45,45)</c:v>
                </c:pt>
                <c:pt idx="5">
                  <c:v>Escenarios (bajista – alcista) (28,56 – 48,00)</c:v>
                </c:pt>
                <c:pt idx="6">
                  <c:v>DCF con la prima implícita del mercado (4,2 %)</c:v>
                </c:pt>
                <c:pt idx="7">
                  <c:v>Precio actual (43,44)</c:v>
                </c:pt>
              </c:strCache>
            </c:strRef>
          </c:cat>
          <c:val>
            <c:numRef>
              <c:f>Hoja1!$C$2:$C$9</c:f>
              <c:numCache>
                <c:formatCode>#,##0.0</c:formatCode>
                <c:ptCount val="8"/>
                <c:pt idx="0">
                  <c:v>21</c:v>
                </c:pt>
                <c:pt idx="1">
                  <c:v>21.729999999999997</c:v>
                </c:pt>
                <c:pt idx="2">
                  <c:v>23.950000000000003</c:v>
                </c:pt>
                <c:pt idx="3">
                  <c:v>32.779999999999994</c:v>
                </c:pt>
                <c:pt idx="4">
                  <c:v>9.380000000000003</c:v>
                </c:pt>
                <c:pt idx="5">
                  <c:v>19.44</c:v>
                </c:pt>
                <c:pt idx="6">
                  <c:v>9.25</c:v>
                </c:pt>
                <c:pt idx="7">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