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Puig Brands, S.A.</w:t>
      </w:r>
    </w:p>
    <w:p>
      <w:pPr>
        <w:spacing w:after="60"/>
        <w:rPr>
          <w:color w:val="52514E"/>
          <w:sz w:val="22"/>
          <w:szCs w:val="22"/>
        </w:rPr>
      </w:pPr>
      <w:r>
        <w:rPr>
          <w:color w:val="52514E"/>
          <w:sz w:val="22"/>
          <w:szCs w:val="22"/>
        </w:rPr>
        <w:t xml:space="preserve">PUIG · Bolsas de Madrid, Barcelona, Bilbao y Valencia (SIBE); cotizan solo las acciones de clase B · ISIN ES0105777017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18,08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19,41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+9,7 % (base +9,4 %)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21,46 EUR · mercado 24,72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10.184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Puig Brands,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PUIG / ES0105777017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Barcelona, Bilbao y Valencia (SIBE); cotizan solo las acciones de clase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de cuidado personal</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13,11 – 18,89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10.184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10.865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19,41 EUR</w:t>
      </w:r>
      <w:r>
        <w:t xml:space="preserve"> frente a 18,08 · Rentabilidad a 12 meses </w:t>
      </w:r>
      <w:r>
        <w:rPr>
          <w:b/>
          <w:bCs/>
        </w:rPr>
        <w:t xml:space="preserve">+9,7 % (base +9,4 %)</w:t>
      </w:r>
      <w:r>
        <w:t xml:space="preserve"> · Valor intrínseco 21,46 EUR · con la prima implícita del mercado: 24,72 (+36,7 %) · Alcista / bajista +30,1 % / -28,5 %</w:t>
      </w:r>
    </w:p>
    <w:p>
      <w:pPr>
        <w:spacing w:after="100"/>
      </w:pPr>
      <w:r>
        <w:rPr>
          <w:b/>
        </w:rPr>
        <w:t xml:space="preserve">La recomendación y por qué.</w:t>
      </w:r>
      <w:r>
        <w:t xml:space="preserve"> Comprar, con convicción media. El valor objetivo es de 21,46 EUR, un 18,7 % por encima del precio de 18,08 EUR, y con el dividendo la rentabilidad total esperada a 12 meses es del 21,0 %. Asimetría de 1,06 veces (+30,1 % frente a −28,5 %). Las dos reglas dan Comprar; con la prima de riesgo que hoy pide el mercado, el objetivo sube a 24,72 EUR (+36,7 %). La razón en una frase: el precio descuenta que Puig crece un 1,9 % anual cuando ha crecido un 7,8 % comparable en 2025 y gana cuota. La convicción es media, la que sugieren los criterios, porque el bajista pierde más de un 25 % y la asimetría apenas pasa de 1. Subiría si el día del inversor del 28 de octubre fija un margen por encima del 22 %; bajaría si las ventas de los nueve meses crecen menos de un 3 % comparable.</w:t>
      </w:r>
    </w:p>
    <w:p>
      <w:pPr>
        <w:spacing w:after="100"/>
      </w:pPr>
      <w:r>
        <w:rPr>
          <w:b/>
        </w:rPr>
        <w:t xml:space="preserve">El negocio.</w:t>
      </w:r>
      <w:r>
        <w:t xml:space="preserve"> Puig es perfumería de marca: el 72 % de sus 5.042 M de ventas y el 84 % del resultado de los segmentos salen de Rabanne, Carolina Herrera, Jean Paul Gaultier y Byredo, con un 11,1 % de la perfumería selectiva mundial [1, 3]. Su margen EBITDA (20,8 %) supera al de Estée Lauder y Coty, y su ROIC (13,1 %) al WACC del 8,1 %, aunque baja desde el 22 % de 2023 por las compras de minoritarios. El mercado de perfumería selectiva creció solo un 1 % en 2025 [11]. Su calidad sí sostiene el crecimiento que proyectamos (4,4 % anual, sin capital): ha crecido más que el mercado con precios al alza y margen bruto en máximos; el riesgo es el mercado, no la empresa.</w:t>
      </w:r>
    </w:p>
    <w:p>
      <w:pPr>
        <w:spacing w:after="100"/>
      </w:pPr>
      <w:r>
        <w:rPr>
          <w:b/>
        </w:rPr>
        <w:t xml:space="preserve">Equipo y gobierno.</w:t>
      </w:r>
      <w:r>
        <w:t xml:space="preserve"> Resta. La familia Puig tiene el 93,21 % de los votos con acciones de clase A de cinco votos [33]. En la junta de 2026, el 43,7 % del capital libre presente votó contra la política de remuneración, cuyo variable mide margen y ventas, no rentabilidad [27, 30]. La dirección, renovada en marzo con dos directivos de la casa, cumplió sus guías de 2024 y 2025 [12, 38]. Por eso añadimos un punto de prima de riesgo.</w:t>
      </w:r>
    </w:p>
    <w:p>
      <w:pPr>
        <w:spacing w:after="100"/>
      </w:pPr>
      <w:r>
        <w:rPr>
          <w:b/>
        </w:rPr>
        <w:t xml:space="preserve">Valoración.</w:t>
      </w:r>
      <w:r>
        <w:t xml:space="preserve"> El DCF da 20,14 EUR (+11,4 %). El DCF inverso dice que el precio supone un crecimiento de las ventas del 1,9 % anual hasta 2033e, frente al 4,4 % de nuestro caso base y al 5,0 % previsto para el mercado, o un margen EBITDA del 20,1 % en vez del 21,5 %: comprar hoy rinde un 8,7 % anual con nuestro caso base. Cotiza a 9,6 veces el EBITDA de los próximos 12 meses y 15,6 veces el beneficio, frente a medianas de 12,3 y 25,3 veces de sus comparables; los comparables (26,46 EUR) y las transacciones (33,17) quedan por encima, pero Puig no es opable. Nuestras cifras coinciden con el consenso; la discrepancia está en la tasa: pedimos un 8,1 % y el precio da un 8,7 %.</w:t>
      </w:r>
    </w:p>
    <w:p>
      <w:pPr>
        <w:spacing w:after="100"/>
      </w:pPr>
      <w:r>
        <w:rPr>
          <w:b/>
        </w:rPr>
        <w:t xml:space="preserve">Riesgos y catalizadores.</w:t>
      </w:r>
      <w:r>
        <w:t xml:space="preserve"> El mayor riesgo es que la perfumería se estanque y Puig acabe como Coty o Estée Lauder (bajista: 12,92 EUR). La compra del 50 % de ISDIN por 1.200 M, unas 3,7 veces las ventas, es cara y llevará la deuda hacia 2 veces el EBITDA [39, 64]; si ISDIN valiera su valor contable, el valor bajaría 1,83 EUR. Catalizadores: día del inversor el 28-oct-2026 y ventas de los nueve meses a finales de octubre. En los foros, el enfado con la familia tras la fusión fallida con Estée Lauder confirma el descuento por gobierno.</w:t>
      </w:r>
    </w:p>
    <w:p>
      <w:pPr>
        <w:spacing w:after="100"/>
      </w:pPr>
      <w:r>
        <w:rPr>
          <w:b/>
        </w:rPr>
        <w:t xml:space="preserve">Qué cambiaría la decisión.</w:t>
      </w:r>
      <w:r>
        <w:t xml:space="preserve"> Seguiría siendo Comprar por debajo de 20,84 EUR y pasaría a Vender por encima de 25,15 EUR. Bajaríamos a Mantener si el crecimiento comparable de 2026 queda por debajo del 3 % o si el día del inversor rebaja el margen objetivo por debajo del 20,5 %.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19,41 EUR</w:t>
      </w:r>
      <w:r>
        <w:t xml:space="preserve"> (rentabilidad +9,7 % (base +9,4 %)) · Valor intrínseco: 21,46 EUR (+18,7 % sobre 18,08) · con la prima implícita del mercado: 24,72 (+36,7 %)</w:t>
      </w:r>
    </w:p>
    <w:p>
      <w:pPr>
        <w:spacing w:after="100"/>
      </w:pPr>
      <w:r>
        <w:t xml:space="preserve">Puig es una de las tres grandes casas de perfumería de prestigio del mundo: tres de las diez primeras marcas de perfume (Rabanne, Carolina Herrera, Jean Paul Gaultier), un 11,1 % de cuota en perfumería selectiva y 5.042 M de ventas en 2025, con un margen EBITDA del 20,8 % y un margen bruto del 75,1 % [1, 3]. Ha triplicado sus ventas desde 2020 con compras (Charlotte Tilbury, Byredo) y creciendo más que el mercado [12].</w:t>
      </w:r>
    </w:p>
    <w:p>
      <w:pPr>
        <w:spacing w:after="100"/>
      </w:pPr>
      <w:r>
        <w:t xml:space="preserve">El precio de 18,08 EUR, un 26 % por debajo de la OPV de 2024, descuenta que las ventas crecen un 1,9 % anual hasta 2033, cuando el consenso espera un 5,8 % en los próximos 12 meses. Cotiza a 9,6 veces el EBITDA de los próximos 12 meses, frente a 12,3 veces de sus comparables [53, 58].</w:t>
      </w:r>
    </w:p>
    <w:p>
      <w:pPr>
        <w:spacing w:after="100"/>
      </w:pPr>
      <w:r>
        <w:t xml:space="preserve">El mercado acierta en dos cosas: la perfumería selectiva se ha frenado (+1 % en 2025) y el minoritario de una empresa con el 93 % de los votos en manos de una familia merece un descuento [11, 33]. Se equivoca, creemos, en el grado: Puig sigue ganando cuota con precios al alza, y su caja no depende de que el mercado vuelva al auge de 2021-2024. Para invertir hay que creer que Puig crecerá al menos un 4 % anual y mantendrá el margen.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0,91 = 12,92 · 16,0x × 1,21 = 19,36 · 20,8x × 1,33 = 27,66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 (nuestro base -1,1 %)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 / -28,5 %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8,1 %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21,0 % (&lt; 25 %); asimetría de 1,06 (&lt; 2); bajista del -28,5 % (pierde más del 25 %); el precio descuenta solo 2,5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17,24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17,24 y 22,04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22,04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comparable de 2026 queda por debajo del 3 %, pasaríamos a Mantener.</w:t>
      </w:r>
    </w:p>
    <w:p>
      <w:pPr>
        <w:pStyle w:val="ListParagraph"/>
        <w:numPr>
          <w:ilvl w:val="0"/>
          <w:numId w:val="2"/>
        </w:numPr>
        <w:spacing w:after="60"/>
      </w:pPr>
      <w:r>
        <w:t xml:space="preserve">Si el día del inversor fija un margen EBITDA ajustado a medio plazo por debajo del 20,5 %, pasaríamos a Mantener.</w:t>
      </w:r>
    </w:p>
    <w:p>
      <w:pPr>
        <w:pStyle w:val="ListParagraph"/>
        <w:numPr>
          <w:ilvl w:val="0"/>
          <w:numId w:val="2"/>
        </w:numPr>
        <w:spacing w:after="60"/>
      </w:pPr>
      <w:r>
        <w:t xml:space="preserve">Si la deuda neta supera 2,5 veces el EBITDA ajustado tras ISDIN, revisaríamos la recomendación.</w:t>
      </w:r>
    </w:p>
    <w:p>
      <w:pPr>
        <w:pStyle w:val="ListParagraph"/>
        <w:numPr>
          <w:ilvl w:val="0"/>
          <w:numId w:val="2"/>
        </w:numPr>
        <w:spacing w:after="60"/>
      </w:pPr>
      <w:r>
        <w:t xml:space="preserve">Si el precio supera 25,15 EUR, pasaríamos a Vender; por debajo de 20,84 EUR seguimos en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Puig que crece un 1,9 % anual hasta 2033, la mitad de lo que espera el consenso para los próximos 12 meses, con el margen estable; o un margen del 20,1 % con nuestro crecimiento. Es decir, que el frenazo de la perfumería selectiva de 2025 es permanente y que la familia no tratará bien al minoritario.</w:t>
      </w:r>
    </w:p>
    <w:p>
      <w:pPr>
        <w:keepNext/>
        <w:spacing w:after="100"/>
      </w:pPr>
      <w:r>
        <w:rPr>
          <w:b/>
          <w:bCs/>
        </w:rPr>
        <w:t xml:space="preserve">Lo que creemos nosotros.</w:t>
      </w:r>
    </w:p>
    <w:p>
      <w:pPr>
        <w:spacing w:after="100"/>
      </w:pPr>
      <w:r>
        <w:t xml:space="preserve">Puig crece un 4,4 % anual, algo menos que su mercado, y sube el margen 0,2 puntos al año hasta el 21,5 %. No necesitamos que la perfumería vuelva al auge: basta con que Puig siga haciendo lo que hizo en el 1S26 (+4,4 % comparable con el mercado casi plano).</w:t>
      </w:r>
    </w:p>
    <w:p>
      <w:pPr>
        <w:keepNext/>
        <w:spacing w:after="100"/>
      </w:pPr>
      <w:r>
        <w:rPr>
          <w:b/>
          <w:bCs/>
        </w:rPr>
        <w:t xml:space="preserve">Por qué podemos tener razón.</w:t>
      </w:r>
    </w:p>
    <w:p>
      <w:pPr>
        <w:spacing w:after="100"/>
      </w:pPr>
      <w:r>
        <w:t xml:space="preserve">Puig sigue ganando cuota (0,3 puntos en el 1S26) y ha cumplido sus guías de 2024 y 2025 [3, 12]. El margen bruto en máximos demuestra poder de precios. El descuento por gobierno ya lo cobramos con un punto más de prima de riesgo, y aun así el valor queda por encima del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sus comparables</w:t>
      </w:r>
      <w:r>
        <w:t xml:space="preserve">: 9,6 veces el EBITDA de los próximos 12 meses frente a una mediana de 12,3 veces.</w:t>
      </w:r>
    </w:p>
    <w:p>
      <w:pPr>
        <w:pStyle w:val="ListParagraph"/>
        <w:numPr>
          <w:ilvl w:val="0"/>
          <w:numId w:val="2"/>
        </w:numPr>
        <w:spacing w:after="60"/>
      </w:pPr>
      <w:r>
        <w:rPr>
          <w:b/>
        </w:rPr>
        <w:t xml:space="preserve">El precio pide poco</w:t>
      </w:r>
      <w:r>
        <w:t xml:space="preserve">: un crecimiento del 1,9 % anual frente al 4,4 % de nuestro caso base.</w:t>
      </w:r>
    </w:p>
    <w:p>
      <w:pPr>
        <w:pStyle w:val="ListParagraph"/>
        <w:numPr>
          <w:ilvl w:val="0"/>
          <w:numId w:val="2"/>
        </w:numPr>
        <w:spacing w:after="60"/>
      </w:pPr>
      <w:r>
        <w:rPr>
          <w:b/>
        </w:rPr>
        <w:t xml:space="preserve">Gana cuota</w:t>
      </w:r>
      <w:r>
        <w:t xml:space="preserve">: 11,1 % de la perfumería selectiva, +0,3 puntos en el 1S26 [3].</w:t>
      </w:r>
    </w:p>
    <w:p>
      <w:pPr>
        <w:pStyle w:val="ListParagraph"/>
        <w:numPr>
          <w:ilvl w:val="0"/>
          <w:numId w:val="2"/>
        </w:numPr>
        <w:spacing w:after="60"/>
      </w:pPr>
      <w:r>
        <w:rPr>
          <w:b/>
        </w:rPr>
        <w:t xml:space="preserve">Poder de precios</w:t>
      </w:r>
      <w:r>
        <w:t xml:space="preserve">: margen bruto del 75,1 %, desde el 72,9 % de 2021 [1].</w:t>
      </w:r>
    </w:p>
    <w:p>
      <w:pPr>
        <w:pStyle w:val="ListParagraph"/>
        <w:numPr>
          <w:ilvl w:val="0"/>
          <w:numId w:val="2"/>
        </w:numPr>
        <w:spacing w:after="60"/>
      </w:pPr>
      <w:r>
        <w:rPr>
          <w:b/>
        </w:rPr>
        <w:t xml:space="preserve">Dirección que cumple</w:t>
      </w:r>
      <w:r>
        <w:t xml:space="preserve">: guías de 2024 (+10,9 % comparable) y 2025 (+7,8 %) cumplidas [12].</w:t>
      </w:r>
    </w:p>
    <w:p>
      <w:pPr>
        <w:pStyle w:val="Heading2"/>
      </w:pPr>
      <w:r>
        <w:t xml:space="preserve">En contra</w:t>
      </w:r>
    </w:p>
    <w:p>
      <w:pPr>
        <w:pStyle w:val="ListParagraph"/>
        <w:numPr>
          <w:ilvl w:val="0"/>
          <w:numId w:val="2"/>
        </w:numPr>
        <w:spacing w:after="60"/>
      </w:pPr>
      <w:r>
        <w:rPr>
          <w:b/>
        </w:rPr>
        <w:t xml:space="preserve">Control familiar</w:t>
      </w:r>
      <w:r>
        <w:t xml:space="preserve">: el 93,21 % de los votos y un 43,7 % del capital libre en contra de la remuneración [30, 33].</w:t>
      </w:r>
    </w:p>
    <w:p>
      <w:pPr>
        <w:pStyle w:val="ListParagraph"/>
        <w:numPr>
          <w:ilvl w:val="0"/>
          <w:numId w:val="2"/>
        </w:numPr>
        <w:spacing w:after="60"/>
      </w:pPr>
      <w:r>
        <w:rPr>
          <w:b/>
        </w:rPr>
        <w:t xml:space="preserve">Mercado frenado</w:t>
      </w:r>
      <w:r>
        <w:t xml:space="preserve">: la perfumería selectiva creció un 1 % en 2025 [11].</w:t>
      </w:r>
    </w:p>
    <w:p>
      <w:pPr>
        <w:pStyle w:val="ListParagraph"/>
        <w:numPr>
          <w:ilvl w:val="0"/>
          <w:numId w:val="2"/>
        </w:numPr>
        <w:spacing w:after="60"/>
      </w:pPr>
      <w:r>
        <w:rPr>
          <w:b/>
        </w:rPr>
        <w:t xml:space="preserve">ISDIN cara</w:t>
      </w:r>
      <w:r>
        <w:t xml:space="preserve">: 1.200 M por el 50 %, unas 3,7 veces las ventas [64].</w:t>
      </w:r>
    </w:p>
    <w:p>
      <w:pPr>
        <w:pStyle w:val="ListParagraph"/>
        <w:numPr>
          <w:ilvl w:val="0"/>
          <w:numId w:val="2"/>
        </w:numPr>
        <w:spacing w:after="60"/>
      </w:pPr>
      <w:r>
        <w:rPr>
          <w:b/>
        </w:rPr>
        <w:t xml:space="preserve">ROIC a la baja</w:t>
      </w:r>
      <w:r>
        <w:t xml:space="preserve">: del 22,0 % en 2023 al 13,1 % en 2025, por las compras.</w:t>
      </w:r>
    </w:p>
    <w:p>
      <w:pPr>
        <w:pStyle w:val="ListParagraph"/>
        <w:numPr>
          <w:ilvl w:val="0"/>
          <w:numId w:val="2"/>
        </w:numPr>
        <w:spacing w:after="60"/>
      </w:pPr>
      <w:r>
        <w:rPr>
          <w:b/>
        </w:rPr>
        <w:t xml:space="preserve">Asimetría justa</w:t>
      </w:r>
      <w:r>
        <w:t xml:space="preserve">: el bajista pierde un 28,5 % y el alcista gana un 30,1 %.</w:t>
      </w:r>
    </w:p>
    <w:p>
      <w:pPr>
        <w:pStyle w:val="Heading2"/>
      </w:pPr>
      <w:r>
        <w:t xml:space="preserve">Qué tiene que pasar para que la tesis funcione</w:t>
      </w:r>
    </w:p>
    <w:p>
      <w:pPr>
        <w:spacing w:after="100"/>
      </w:pPr>
      <w:r>
        <w:t xml:space="preserve">La tesis depende de que Puig siga creciendo al menos un 4 % comparable con un mercado de perfumería débil. La señal de que no se cumple sería un crecimiento comparable de Fragancias y Moda por debajo del 3 % en las ventas de los nueve meses o en el ejercicio 2026, o un objetivo de margen a medio plazo por debajo del 20,5 % en el día del inversor del 28 de octubre.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1,9 %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el valor un 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perfumería selectiva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Pérdida de cuota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la calidad de las marcas.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tras ISDIN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techo que fija la empresa es de 2x.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libre en contra de la remuneración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 (junta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tensión entre la familia y el minoritario.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15,6x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Antonio Puig Castelló fundó la empresa en Barcelona en 1914 como negocio familiar de cosmética y perfumería; la segunda generación entró en 1950 y hoy la dirige la tercera [11]. La internacionalización empezó con la filial de EE. UU. y la licencia de belleza de Paco Rabanne (1968), y el modelo actual nació de unir moda y perfume: compra de Paco Rabanne entero y licencia de Carolina Herrera (1987), Nina Ricci (1998) y Jean Paul Gaultier (2011) [11]. Desde 2015 diversificó con nicho (Penhaligon's, L'Artisan, Byredo en 2022), maquillaje (Charlotte Tilbury, mayoría en 2020) y cuidado de la piel (Uriage y Apivita en 2021, Dr. Barbara Sturm en 2024) [11]. Pasó de 1.000 M EUR de ventas en 2008 a 2.000 M en 2019 y 5.042 M en 2025 [11]. Salió a bolsa el 3 de mayo de 2024 [11]. En marzo de 2026 José Manuel Albesa pasó a primer ejecutivo y Marc Puig a presidente ejecutivo [3]; ese mismo mes Estée Lauder confirmó conversaciones de fusión, que se rompieron sin acuerdo el 21-22 de mayo de 2026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Antonio Puig Castelló funda Antonio Puig en Barcelona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filial en EE. UU. y licencia de la belleza de Paco Rabanne (perfume Calandre)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resto de Paco Rabanne (moda incluida) y licencia de belleza de Carolina Herrera; primer perfume de la marca en 1988 y compra de su moda en 1995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Nina Ricci (perfume y moda)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Jean Paul Gaultier; sus perfumes se incorporan en 2016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perfumería de nicho con Penhaligon's y L'Artisan Parfumeur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Dries Van Noten y licencia mundial a largo plazo de Christian Louboutin Beauté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Charlotte Tilbury (maquillaje y cuidado de la piel)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Byredo (nicho), Kama Ayurveda y Loto del Sur; ventas por encima de 3.000 M EUR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Dr. Barbara Sturm y salida a bolsa en las Bolsas españolas el 3 de mayo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Albesa, primer ejecutivo; Marc Puig, presidente ejecutivo (marzo) [3]. Ruptura de las conversaciones de fusión con Estée Lauder (21-22 de mayo) [15]. Participación en Charlotte Tilbury al 85 % por 260 M EUR (abril)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Puig diseña, fabrica y comercializa perfumes, maquillaje y cuidado de la piel de gama alta, y una pequeña actividad de moda que sostiene la imagen de sus marcas de perfume (menos del 5 % de las ventas) [11]. En 2025 facturó 5.042 M EUR: Fragancias y Moda, 3.646 M (72 %; Rabanne, Carolina Herrera, Jean Paul Gaultier, Nina Ricci y el nicho de Byredo, Penhaligon's, L'Artisan y Dries Van Noten); Maquillaje, 845 M (17 %; sobre todo Charlotte Tilbury, más Christian Louboutin Beauté); y Cuidado de la piel, 551 M (11 %; Uriage, Apivita, Dr. Barbara Sturm, Kama Ayurveda, Loto del Sur) [11]. Vende en más de 150 países a través de perfumerías selectivas, grandes almacenes, farmacias y parafarmacias, comercio de viaje y 330 tiendas propias, y en digital (webs propias, distribuidores y puros digitales) [11]. Fabrica en sus plantas de España (Vacarisses) y compra aceites esenciales, alcohol y envases a terceros [11]. El cliente es el distribuidor; el consumidor final, el de belleza de prestigio [11].</w:t>
      </w:r>
    </w:p>
    <w:p>
      <w:pPr>
        <w:pStyle w:val="Heading2"/>
      </w:pPr>
      <w:r>
        <w:t xml:space="preserve">Cómo gana dinero</w:t>
      </w:r>
    </w:p>
    <w:p>
      <w:pPr>
        <w:spacing w:after="100"/>
      </w:pPr>
      <w:r>
        <w:t xml:space="preserve">El margen bruto es muy alto (75,1 % en 2025, frente a 74,9 % en 2024) y el beneficio depende de cuánto se reinvierte en marca: publicidad y promoción se llevaron 1.647,5 M EUR (32,7 % de las ventas), gastos generales y de venta 1.094,7 M y distribución 232,2 M, para un beneficio operativo de 812,4 M (16,1 %) y un EBITDA ajustado del 20,7 % [11, 12]. El margen operativo por segmento fue del 18,7 % en Fragancias y Moda, 11,4 % en Maquillaje y 6,0 % en Cuidado de la piel, de modo que la mezcla pesa: el nicho mejora el margen bruto y las marcas pequeñas de piel lo diluyen [11, 12]. La mayoría de las marcas son propias; algunas, como Christian Louboutin Beauté, son licencias, y Puig cobra regalías por licencias de sus marcas de moda [11]. No hay ingresos recurrentes contractuales: las ventas se renuevan con lanzamientos y recompra. Hay estacionalidad: el primer semestre de 2025 fue el 45,6 % de las ventas del año (2.299,3 de 5.042 M) por el peso de la campaña de Navidad [3, 11].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Fragancias y Moda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Maquillaje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de la piel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Fragancias y Moda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Maquillaje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de la piel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supera el 10 % de las ventas [11]. El 73 % de las ventas pasa por canal físico y el 27 % por digital; la venta directa (tiendas y webs propias) supone el 12 % y el comercio de viaje el 10 % [11]. Puig descontó de las ventas brutas 677,2 M EUR en descuentos, devoluciones y apoyo promocional a distribuidores en 2025 (616,0 M en 2024), equivalente al 13,4 % de las ventas netas, lo que mide el peso negociador de las grandes cadenas [11]. No hay contratos plurianuales con los distribuidores. El poder de precios se ha visto en 2025: tras los aranceles de EE. UU., Puig subió precios en ese país en agosto y el margen bruto aún subió 20 puntos básicos, a 75,1 % [11, 12]. La propia empresa describe su exposición a materias primas y energía como limitada y su poder de precios como fuerte por los márgenes del segmento de prestigio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 (LFL)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(2025); 4,4 %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divisa ni perímetro; la divisa restó 2,6 pp en 2025 y 2,1 pp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19,5 %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«otros ingresos y gastos operativos» (costes de transacción, OPV, plusvalías)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 (2025); 75,5 %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1S25: 75,8 %; la divisa compensó la mejora de mezcla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mercado en valor, fragancias selectivas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(1S25,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sectoriales citadas por la empresa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en Asia-Pacífico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reportado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LFL (2025); 20,9 % LFL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pequeña (10,5 % de las ventas de 2025) es la que más crece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 (definición de la empresa, con arrendamientos)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 (2025); 1,5x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el 1S26 por dividendo, pagos a minoritarios de Charlotte Tilbury y estacionalidad del circulante [1,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5.506 personas en punto de venta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perfumería selectiva (de prestigio) mundial, donde Puig obtiene el 72 % de sus ventas y mide su cuota (11,1 % en valor en 2025) [11]. Se contrastan dos fuentes: L'Oréal estima el mercado mundial de belleza a precios netos de fabricante en unos 300.000 M EUR en 2025, con los perfumes como el 14 % (≈ 42.000 M) [14]; Euromonitor, en el folleto de la OPV, lo mide a precio de venta al público: 422.000 M USD en 2022, con 57.000 M USD de perfumería, de los que unos dos tercios son de gama alta [22]. Se usa la base de L'Oréal (precios de fabricante, comparable con las ventas de Puig) y la proporción de gama alta de Euromonitor: perfumería selectiva ≈ 28.000 M EUR en 2025 (estimación propia: 300.000 × 14 % × 2/3). Con las ventas de fragancias de Puig (≥ 3.394 M EUR, descontada la moda) sale una cuota implícita del 12 %, coherente con el 11,1 % que publica.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28.000 M EUR en 2025 a precios de fabricante (estimación propia sobre ≈ 300.000 M EUR de belleza mundial y 14 % de perfumes [14] y dos tercios de gama alta [22]); el mercado total de belleza, ≈ 300.000 M EUR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perfumería selectiva mundial a precios netos de fabricante; estimación propia; 2026e-2030e al 5 % anu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del gasto en belleza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gama alta era el 36 % del mercado de belleza en 2022 (≈ 150.000 M USD) y se esperaba que creciera al 7 % anual hasta 2027, frente al 5 % de la gama masiva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peso de la perfumería dentro de la belleza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perfumes pasaron del 12 % del mercado mundial de belleza en 2023 al 13 % en 2024 y al 14 % en 2025, según L'Oréal [14,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crecimiento de fragancias tras 2021-2024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selectivo creció en torno a un 1 % en 2025 según L'Oréal [13]; Puig habla de una moderación notable del mercado de fragancias en 2025 y espera que siga normalizándose [11,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Asia y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perfumería era menos del 5 % de la belleza en Asia-Pacífico (20 % en EMEA) [22]; Asia-Pacífico creció un 20,9 % comparable en las ventas de Puig del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aranceles y comercio de viaje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desde el 2S25, compensados con subidas de precio en agosto de 2025 [11]; el conflicto en Oriente Medio restó unos 14 M EUR (0,6 %) a las ventas de Puig en 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divisas restaron un 2,1 % a las ventas publicadas de Puig en el 1S26, sobre todo por el dólar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Compiten grupos con mucha más escala (L'Oréal Luxe, 15.595 M EUR de ventas; LVMH Perfumes y Cosméticos, 8.174 M) [13, 16] y la lucha es en publicidad: Puig gasta el 32,7 % de sus ventas y L'Oréal el 32,2 % [11, 13]. Puig describe un entorno muy competitivo y promocional, con pérdida de cuota en Latinoamérica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pero las cadenas de perfumería, los grandes almacenes y el comercio de viaje exigen apoyo: 677 M EUR de descuentos, devoluciones y apoyo promocional en 2025, el 13,4 % de las ventas netas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Aceites esenciales, alcohol, productos químicos y envases de proveedores diversos; el coste de ventas es solo el 24,9 % de las ventas y la exposición a energía y materias primas es limitada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independientes crecen apoyadas en redes sociales y comercio electrónico [11], pero la escala en publicidad y distribución pesa: las diez mayores empresas suman el 58,5 % de las ventas del Top 100 de WWD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Crecen las alternativas baratas (brumas corporales, imitaciones en maquillaje) por la presión sobre la renta [11], pero el perfume de marca se apoya en la licencia emocional y de moda: unas tres cuartas partes de las 15 primeras marcas de perfume de gama alta nacen de casas de moda [22].</w:t>
            </w:r>
          </w:p>
        </w:tc>
      </w:tr>
    </w:tbl>
    <w:p>
      <w:pPr>
        <w:spacing w:after="160" w:before="0"/>
      </w:pPr>
    </w:p>
    <w:p>
      <w:pPr>
        <w:pStyle w:val="Heading2"/>
      </w:pPr>
      <w:r>
        <w:t xml:space="preserve">Ciclo</w:t>
      </w:r>
    </w:p>
    <w:p>
      <w:pPr>
        <w:spacing w:after="100"/>
      </w:pPr>
      <w:r>
        <w:t xml:space="preserve">Tras tres años de crecimiento extraordinario de las fragancias, el mercado selectivo apenas creció un 1 % en 2025 según L'Oréal [13] y Puig habla de normalización [11, 12]. La belleza es defensiva: según L'Oréal el mercado creció un 3 % en 2008 y un 1 % en 2009, cayó un 8 % en 2020 por el cierre de tiendas y viajes, y rebotó un 8 % en 2021, un 6 % en 2022 y un 8 % en 2023 [24]. En 2022 la inflación no frenó el gasto. Indicadores a vigilar: crecimiento comparable de L'Oréal Luxe (+2,8 % en 2025) y de Puig (+4,4 % en el 1S26) y comercio de viaje [3, 13].</w:t>
      </w:r>
    </w:p>
    <w:p>
      <w:pPr>
        <w:pStyle w:val="Heading2"/>
      </w:pPr>
      <w:r>
        <w:t xml:space="preserve">Regulación</w:t>
      </w:r>
    </w:p>
    <w:p>
      <w:pPr>
        <w:spacing w:after="100"/>
      </w:pPr>
      <w:r>
        <w:t xml:space="preserve">Los cosméticos están regulados en materias primas, fabricación, etiquetado, envases, publicidad y seguridad del producto en cada país; Puig dice que su cumplimiento no ha tenido efecto material en inversiones [22]. En la UE, el Reglamento (UE) 2023/1545 obliga a etiquetar individualmente muchos más alérgenos de fragancias: los productos que no cumplan solo pueden comercializarse hasta el 31 de julio de 2026 y estar a la venta hasta el 31 de julio de 2028, lo que obliga a reformular o reetiquetar [25]. En EE. UU., los aranceles de 2025 llevaron a Puig a subir precios en agosto de 2025 [11]. Puig retira de sus fórmulas sustancias persistentes como los PFAS y los microplásticos [11].</w:t>
      </w:r>
    </w:p>
    <w:p>
      <w:pPr>
        <w:pStyle w:val="Heading2"/>
      </w:pPr>
      <w:r>
        <w:t xml:space="preserve">Tendencias y disrupción</w:t>
      </w:r>
    </w:p>
    <w:p>
      <w:pPr>
        <w:spacing w:after="100"/>
      </w:pPr>
      <w:r>
        <w:t xml:space="preserve">Puig identifica como tendencias la búsqueda de valor (brumas corporales, imitaciones de maquillaje y cuidado de la piel barato y eficaz), el bienestar y la longevidad, el perfume como bienestar emocional, la influencia de la generación Z, el comercio social y las herramientas de IA y prueba virtual, y la fuerza de las marcas independientes nacidas en redes [11]. Puig gana con el auge del perfume y del nicho (crecimiento de dos cifras de Byredo y del nicho en 2025 y el 1S26) y con el canal digital (27 % de sus ventas) [3, 11]. Pierde donde la búsqueda de precio favorece a la gama masiva y en la piel de gama alta, que se debilitó en el 1S26 [3].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grandes de la perfumería selectiva mundial, con un 11,1 % de cuota en valor en 2025 y en el 1S26 (+0,3 puntos interanual) [3, 11]; tres de las diez primeras marcas de perfume del mundo: Rabanne (5.ª), Carolina Herrera (6.ª) y Jean Paul Gaultier (9.ª) [11]. En maquillaje, Charlotte Tilbury es la primera marca de prestigio en el Reino Unido y la tercera en EE. UU. [11]. En el conjunto de la belleza mundial, décima empresa por ventas en 2024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 (división de L'Oréal)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de la belleza de lujo (Yves Saint Laurent, Armani, Prada, Lancôme); creció un 2,8 % comparable en 2025 frente a un mercado selectivo del +1 % [13]. Acordó comprar Kering Beauté, que refuerza su posición en lujo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Perfumes y Cosméticos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Dior, Guerlain, Givenchy, Maison Francis Kurkdjian; Sauvage es el perfume masculino más vendido del mundo; ventas planas comparables en 2025 y margen operativo recurrente del 8,9 %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15.049 M USD de ventas y 780 M USD de resultado operativo publicado [17]; convertido a 1,1662 USD/EUR (media BCE del periodo) [26]. Fuerte en piel y maquillaje (Estée Lauder, Clinique) y en perfume de prestigio y nicho; en plena reestructuración. Rompió las conversaciones de fusión con Puig en mayo de 2026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5.806,6 M USD de ventas y pérdida operativa de 81,5 M USD [18]; a 1,1662 USD/EUR [26]. Rival directo en perfume de prestigio bajo licencia de casas de moda, con una división de consumo masivo.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1.488,5 M USD de ventas y 270,3 M USD de resultado operativo [20]; a 1,1300 USD/EUR (media BCE de 2025) [26]. Modelo casi puro de perfumes bajo licencia, con filial cotizada en París; el margen más alto del grupo de licenciatarios.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970.000 M JPY de ventas y pérdida operativa de 27.700 M JPY por deterioros (fondo de comercio de América); margen operativo básico del 4,6 % [19]; a 169,04 JPY/EUR (media BCE de 2025) [26]. Fuerte en cuidado de la piel; caída de ventas por China, comercio de viaje y Drunk Elephant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9.852 M EUR de ventas y margen EBIT sin partidas especiales del 14,0 % (grupo, con tesa) [21]. Compite con Puig en dermocosmética (Eucerin frente a Uriage) y en piel de lujo con La Prairie (−4,5 % orgánico en 2025)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sentido estricto; la viralidad en redes ayuda a todas las marcas, también a las independientes que entran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perfume o de maquillaje sin coste; la fidelidad se sostiene con franquicias (Good Girl, 1 Million, La Bomba) y lanzamientos, no con contratos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de las diez primeras marcas de perfume del mundo [1]; Rabanne superó los 1.000 M EUR de ventas en 2023 [13]; cuota estable o al alza (11,1 %, +0,3 puntos en el 1S26) con subidas de precio en EE. UU. en 2025 y margen bruto al alza hasta el 75,1 % [1,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16,1 % en 2025 [1], por debajo del 22,4 % de L'Oréal Luxe [4] y del 18,2 % de Interparfums [11], pero por encima de LVMH Perfumes y Cosméticos (8,9 %) [7], Estée Lauder (5,2 %) [8] y Coty (−1,4 %)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1.647,5 M EUR de publicidad y promoción al año (32,7 % de las ventas) y red comercial en más de 150 países con 330 tiendas propias [1]; escala relevante, aunque L'Oréal Luxe factura tres veces más [4].</w:t>
            </w:r>
          </w:p>
        </w:tc>
      </w:tr>
    </w:tbl>
    <w:p>
      <w:pPr>
        <w:spacing w:after="160" w:before="0"/>
      </w:pPr>
    </w:p>
    <w:p>
      <w:pPr>
        <w:pStyle w:val="Heading2"/>
      </w:pPr>
      <w:r>
        <w:t xml:space="preserve">Amenazas</w:t>
      </w:r>
    </w:p>
    <w:p>
      <w:pPr>
        <w:spacing w:after="100"/>
      </w:pPr>
      <w:r>
        <w:t xml:space="preserve">El riesgo principal es la normalización del mercado de fragancias tras el auge de 2021-2024: el mercado selectivo apenas creció un 1 % en 2025 [13] y el 72 % de las ventas de Puig depende de él [11]. L'Oréal reforzará su liderazgo en lujo con la compra de Kering Beauté [13], y la presión promocional ya le restó cuota en Latinoamérica [11]. Las alternativas baratas (brumas corporales, imitaciones) y las marcas independientes nacidas en redes compiten por el gasto [11]. Hay dependencia de una marca de maquillaje, Charlotte Tilbury, y exposición al comercio de viaje (10 % de las ventas), sensible a conflictos como el de Oriente Medio (−14 M EUR en el 1S26) [3, 11]. La probabilidad de una erosión rápida del foso es baja: la cuota se ha mantenido en el 11,1 % [3,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18,2 %</w:t>
      </w:r>
      <w:r>
        <w:t xml:space="preserve">, EBITDA </w:t>
      </w:r>
      <w:r>
        <w:rPr>
          <w:b/>
          <w:bCs/>
        </w:rPr>
        <w:t xml:space="preserve">23,0 %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2.585 M en 2021 a 5.042 M en 2025 (TCAC del 18 %), con crecimiento comparable del 10,9 % en 2024 y del 7,8 % en 2025 [1, 5]. La parte inorgánica se concentra en 2022 (Byredo, Kama, Loto del Sur) y 2024 (Sturm, 1,2 pp) [1]. El margen operativo antes de otros ingresos y gastos subió del 13,6 % (2021) al 16,1 % (2025), y el margen bruto del 72,9 % al 75,1 % [1, 5]; Maquillaje pasó del 5,8 % al 11,4 % de margen entre 2024 y 2025 y Cuidado de la piel bajó del 7,2 % al 6,0 % [1]. La publicidad y promoción es el mayor gasto: 1.647,5 M, el 32,7 % de las ventas en 2025 [1]. La cuenta es por función. El resultado de las participadas (ISDIN, Lonia, Granado: 44,8 M en 2025) va debajo del resultado operativo; aquí se suma al resultado financiero para que BAI cuadre [1]. 2019-2020 (solo nota de prensa): ventas 2.029 y 1.537 M, BAI 304 y -72 M, beneficio atribuido 226 y -70 M [7].</w:t>
      </w:r>
    </w:p>
    <w:p>
      <w:pPr>
        <w:pStyle w:val="Heading2"/>
      </w:pPr>
      <w:r>
        <w:t xml:space="preserve">Ajustes y partidas no recurrentes</w:t>
      </w:r>
    </w:p>
    <w:p>
      <w:pPr>
        <w:spacing w:after="100"/>
      </w:pPr>
      <w:r>
        <w:t xml:space="preserve">La empresa publica EBITDA (beneficio operativo tras «otros ingresos y gastos operativos» + amortizaciones) y EBITDA ajustado, que excluye esa línea: 2021 -35,0 M (ganancia), 2022 +43,5 M, 2023 +13,8 M, 2024 +146,6 M (OPV 119,5 M, transacciones 17,8 M, Copa América femenina 9,1 M), 2025 -25,1 M (venta de la fábrica francesa, +27 M; transacciones 1,9 M), 1S26 +10,0 M [1, 2, 5]. En % de ventas: 2024 +3,1 %, 2025 -0,5 %, LTM -0,2 %. EBITDA ajustado: 458,1 (2021), 681,4, 862,7, 969,2 y 1.045,1 M (2025) [1, 5]. El beneficio neto ajustado excluye además la revalorización de earn-outs en el resultado financiero (+86,6 M en 2024, +9,9 M en 2025): 551,3 M en 2024 y 587,0 M en 2025 [1]. Los costes de transacción se repiten casi todos los años. BPA 2021-2023 sin sentido (antes de la OPV: 23.665,86, 3.001,89 y 1,25 EUR) [5]; el de 2024 es el reexpresado. DPA 2024 = 212,26 M / 563,3 M de acciones (cálculo propio); DPA 2025 0,42159 EUR [2]. FCF LTM = flujo operativo 786,7 − capex 206,9 − arrendamientos 96,8 (antes de intereses bancarios, unos 48 M al año)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(30-jul-2026), primeros con José Manuel Albesa como consejero delegado: ventas de 2.354 M (+4,4 % comparable, +2,4 % reportado; divisa -2,1 pp, sobre todo el dólar), EBITDA ajustado de 460 M (+3,2 %, margen 19,5 %, +15 pb) y beneficio neto ajustado de 260 M [3]. El 2T creció un 4,1 % comparable (1.138 M) frente al 7,7 % del 2T25 [3]. La dirección reafirma la guía de 2026: crecer por encima del mercado de belleza de prestigio en términos comparables con margen de EBITDA ajustado estable frente a 2025 [3]. El margen se sostuvo con menos publicidad en el semestre (gasto desplazado al 2S), mientras el margen bruto bajó 30 pb por la divisa y la distribución se encareció por el transporte afectado por Oriente Medio (impacto en ventas de unos -14 M) [3]. Puntos débiles: el cuidado de la piel premium (Sturm) y América en reportado (-0,9 %) [3]. Anunció un día del inversor (Capital Markets Day) sin fecha en la nota [3]. Resultados de 2025 (feb-2026): ventas de 5.042 M (+7,8 % comparable), EBITDA ajustado de 1.045 M (20,7 %), deuda neta/EBITDA ajustado 0,69x [1]. No se han leído transcripciones de las conferencias (la presentación de 2025 da error 404).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Byredo (consolidada desde 2022), Kama Ayurveda y Loto del Sur: 840,2 M de salida de caja por combinaciones de negocio; el fondo de comercio pasa de 1.012 a 1.727 M [4, 5].; 2024: Dr. Barbara Sturm (65 %, 265,3 M netos de caja; aportó 53,6 M de ventas en 2024) y OPV de mayo de 2024 (ampliación de capital de 1.377 M de caja)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1.608 M en 2023 a 721 M en 2025 gracias a los 1.377 M de la OPV y a un flujo libre de 521 M, pero sube cada primer semestre: 1.589 M a 30-jun-2026 (1,5 veces el EBITDA ajustado), con 484 M de circulante, el dividendo y 372 M de pagos a minoritarios de Charlotte Tilbury [1, 2]. Con los 558 M de opciones de compra de minoritarios, la deuda neta ajustada es de 2.155 M (2,0 veces el EBITDA). El circulante comercial es alto y estable (20,4 % de las ventas; 202 días de inventario): es el coste de vender perfume en 150 países. La deuda es solo bancaria, sin rating, y la caja de junio (205 M) se apoya en 924 M de líneas no dispuestas [2]. La compra de ISDIN (900 M en el 1T27 y 300 M en 2029) llevará la deuda hacia el techo de 2 veces que fija la propia empresa [39].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1.756</w:t>
      </w:r>
      <w:r>
        <w:t xml:space="preserve">, conversión </w:t>
      </w:r>
      <w:r>
        <w:rPr>
          <w:b/>
          <w:bCs/>
        </w:rPr>
        <w:t xml:space="preserve">79 %</w:t>
      </w:r>
      <w:r>
        <w:t xml:space="preserve"> del beneficio neto; adquisiciones 2.050, dividendos 740, recompras 109.</w:t>
      </w:r>
    </w:p>
    <w:p>
      <w:pPr>
        <w:spacing w:after="100"/>
      </w:pPr>
      <w:r>
        <w:t xml:space="preserve">Los intereses bancarios se pagan dentro de «devolución de deuda e intereses» (financiación); se toman como intereses el coste financiero bancario (2021-2023) y el «coste financiero neto» del movimiento de la deuda (2024-2025) [1, 5]. Adquisiciones incluyen compras de minoritarios: 811,5 M en 2024 por Byredo y Prado Investments y 265,3 M de Sturm [1]. El circulante consumió caja en 2022-2023 (−158 y −194 M) y la liberó en 2024-2025 (+41 M cada año) [1, 5]. Fuerte estacionalidad: flujo operativo de −118,6 M en el 1S26 (−46,2 M en el 1S25) por −483,6 M de circulante; en el 1S26 se pagaron además 260,1 M por minoritarios y 112,0 M de earn-outs [2]. En 2025 entraron 99,2 M por devolución de préstamos a vinculadas [1]. La empresa no separa capex de mantenimiento y de crecimiento; el capex es el 3,9 % de las ventas en 2025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2023 y estados con fines especiales 2021-2023; revisión limitada del 1S26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en lo grande y opacas en las compras. Ernst &amp; Young firma sin salvedades desde la OPV y la revisión del 1S26 tampoco tiene salvedades [1, 2]. Altman Z de 2,93 (zona gris por la deuda y los intangibles, no por pérdidas), Piotroski F de 8 sobre 9 y Beneish M de −2,60, lejos del umbral de manipulación. Lo que pide atención son los 558 M de opciones de compra de minoritarios a valor razonable (nivel 3): sus cambios de valor van contra el patrimonio (+182 M en 2024, +33 M en 2025) y no pasan por la cuenta, y los earn-outs que se revalorizan a la baja dan ingresos financieros (86,6 M en 2024) porque las marcas compradas (Sturm) rinden menos de lo previsto [1]. La empresa los excluye del beneficio ajustado. Casi todos los años hay «otros gastos operativos» no recurrentes; en 2024 fueron 146,6 M, por la OPV [1]. Los intangibles (4.599 M) superan al patrimonio y no se han deteriorado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opciones de minoritarios a valor razonable de nivel 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987,7 M a dic-25; las revalorizaciones van contra patrimonio (+182,2 M en 2024 y +33,0 M en 2025) y no pasan por la cuenta; la extensión de la opción de Charlotte Tilbury en 2024 dio +197,5 M de patrimonio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por revalorización de earn-outs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86,6 M en 2024 y 9,9 M en 2025, por peores previsiones de los negocios comprados; la empresa las excluye del beneficio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transacción y no recurrentes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ingresos y gastos operativos» distintos de cero en 2021-2025 y en el 1S26 (−10,0 M) [1,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de 4.598,7 M (fondo de comercio 2.041,4 M y marcas 2.330,4 M) frente a un patrimonio de 3.899,3 M; sin deterioros en 2024-2025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Exposición a hiperinflación (Argentina) y a divisa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de cambio de −27,2 M en 2025 y −45,7 M en 2023 [1,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12,8 % · </w:t>
      </w:r>
      <w:r>
        <w:rPr>
          <w:b/>
          <w:bCs/>
        </w:rPr>
        <w:t xml:space="preserve">WACC</w:t>
      </w:r>
      <w:r>
        <w:t xml:space="preserve">: 8,1 %.</w:t>
      </w:r>
    </w:p>
    <w:p>
      <w:pPr>
        <w:spacing w:after="100"/>
      </w:pPr>
      <w:r>
        <w:rPr>
          <w:b/>
        </w:rPr>
        <w:t xml:space="preserve">Puig crea valor, pero cada vez menos por euro invertido.</w:t>
      </w:r>
      <w:r>
        <w:t xml:space="preserve"> El ROIC después de impuestos fue del 22,3 % y el 22,0 % en 2022-2023 y bajó al 16,3 % en 2024 y al 13,1 % en 2025, frente a un WACC del 8,1 % [1, 5]. No ha bajado el margen (el EBIT pasó del 13,6 % al 16,1 % de las ventas): ha subido el capital, porque las compras de minoritarios de Byredo y Sturm (1.122 M en 2024) y la salida a bolsa engordaron el fondo de comercio y el patrimonio [1]. El ROIC incremental de 2021-2025 es del 12,8 %: el crecimiento comprado rinde algo más que su coste, no mucho más. La rotación del activo (0,59 veces) es la de un negocio de marcas con mucho inventario (202 días). L'Oréal, con un margen EBITDA del 24,3 %, tiene un ROIC del 14,3 % y Estée Lauder del 5,9 % [58, 59].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205,1 M y líneas de crédito no dispuestas de 924 M a 30-jun-2026 (1.036,4 M y 894 M a dic-2025)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agencia en los documentos leídos: la deuda es bancaria, sin bonos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combinaciones de negocio (opciones cruzadas de compra y venta con los fundadores y earn-outs, a valor razonable, nivel 3, descontados al WACC de cada negocio): 2.383,0 M en 2022, 2.177,7 M en 2023, 1.087,5 M en 2024, 987,7 M en 2025 (636,3 M a largo y 351,3 M a corto, Charlotte Tilbury) y 558,2 M a 30-jun-2026, todo a largo [1, 2, 4]. Afectan a Charlotte Tilbury (15 % restante, ejercitable 2028-2031), Kama Ayurveda, Loto del Sur y Dr. Barbara Sturm (35 %) [1, 2]. Los cambios de valor van contra patrimonio, salvo los earn-outs, que van a resultado financiero [1]. Sensibilidad: ±2 pp de crecimiento del indicador mueve el pasivo +45/−40 M; ±1,5 pp de tasa, −36/+39 M [1]. Covenant anual de deuda financiera neta / EBITDA (antes de NIIF 16), cumplido [1]. Pensiones de prestación definida en Francia: 10,1 M [1]. Pago aplazado de ISDIN: 300 M fijos sin intereses en el 1T29, más 900 M al cierre (1T27), aún fuera de balance [9, 10].</w:t>
      </w:r>
    </w:p>
    <w:p>
      <w:pPr>
        <w:pStyle w:val="Heading1"/>
      </w:pPr>
      <w:r>
        <w:t xml:space="preserve">12. Asignación de capital</w:t>
      </w:r>
    </w:p>
    <w:p>
      <w:pPr>
        <w:pStyle w:val="Confianza"/>
        <w:spacing w:after="100"/>
      </w:pPr>
      <w:r>
        <w:t xml:space="preserve">Confianza: Media</w:t>
      </w:r>
    </w:p>
    <w:p>
      <w:pPr>
        <w:spacing w:after="100"/>
      </w:pPr>
      <w:r>
        <w:t xml:space="preserve">Dividendo con cargo al resultado: 212,3 M sobre 2024 (pagado en 2025) y 237,5 M sobre 2025, 0,42159 EUR por acción, pagado el 17-jun-2026 (40 % del beneficio atribuido de 2025, cálculo propio) [1, 2]. En 2024 se repartieron 186,1 M con cargo a prima de emisión, antes de la OPV [1]. No hay recompras en curso; la autocartera es de 4,89 M de acciones [1]. Prioridad declarada: compras y salida de minoritarios con deuda neta/EBITDA ajustado por debajo de 2x (ISDIN)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Charlotte Tilbury (mayoría; maquillaje,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opciones cruzadas sobre el resto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marca de Maquillaje; margen del segmento 11,4 % en 2025; Puig sube al 85 % en 2026 pagando 260 M por el 6,5 % y 112 M de earn-out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Uriage y Apivita (y 50 % de ISDIN), integradas desde el 1-ene-2021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segmento Cuidado de la piel; Uriage gana cuota en dermocosmética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Kama Ayurveda y Loto del Sur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 (emisión de 993 M en 2022)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lidera el crecimiento de dos dígitos del nicho; minoritarios de Byredo comprados en 2024 [1,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Byredo y de Prado Investments, Ltd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Líneas de crédito renovables de 680 M, usadas en parte y devueltas a dic-2024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 181,6 M por debajo del pasivo registrado (1.038,4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Barbara Sturm (65 %)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 el cuidado de la piel premium frena el segmento en el 1S26 y los earn-outs se revalorizaron a la baja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 restante de ISDIN (de Esteve)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Recursos propios y deuda; 300 M aplazados sin intereses al 1T29</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en el 1T27) y de autorización de competencia [9, 10].</w:t>
            </w:r>
          </w:p>
        </w:tc>
      </w:tr>
    </w:tbl>
    <w:p>
      <w:pPr>
        <w:spacing w:after="160" w:before="0"/>
      </w:pPr>
    </w:p>
    <w:p>
      <w:pPr>
        <w:spacing w:after="100"/>
      </w:pPr>
      <w:r>
        <w:t xml:space="preserve">La familia Puig ha asignado bien el capital en perfumería y peor fuera de ella. Las compras de 2020-2022 (Charlotte Tilbury, Byredo, Uriage, Apivita) llevaron a Puig a triplicar sus ventas en cinco años, como prometía el plan de 2021 [12]; Charlotte Tilbury dio al maquillaje un margen del 11,4 % en 2025 [1]. Sturm (265 M en 2024) no ha cumplido: sus earn-outs se revalorizaron a la baja y frena el cuidado de la piel premium [1, 3]. En 2021-2025 Puig generó 1.756 M de flujo libre y gastó 2.050 M en compras, 740 M en dividendos y 109 M en recompras, con un ROIC incremental del 12,8 %. ISDIN (1.200 M por el 50 %, unas 3,7 veces las ventas según AlphaValue) es la compra más grande desde la OPV y llega cuando la fusión con Estée Lauder se rompió: el riesgo es pagar por crecer en dermocosmética lo que la perfumería ya no da [39, 64].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 Manuel Albesa Muniesa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Puig desde 1998, con cargos en desarrollo de marcas, marketing y operaciones y papel central en la expansión internacional de Fragancias y Moda; hasta marzo de 2026 era Deputy CEO y presidente de Beauty and Fashion [31, 38]. Nombrado CEO el 17-mar-2026 tras un proceso de sucesión de más de un año con candidatos internos y externos, y consejero ejecutivo por la junta de 2026 con el 99,98 % a favor [30, 38]. Como CEO ha cerrado el 1S26 con ventas de 2.354 M EUR (+4,4 % comparable) y margen EBITDA ajustado del 19,5 %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Puig Guasch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la antigua matriz Puig, S.L. desde 1999 y presidente y consejero delegado de Puig Brands hasta el 17-mar-2026; sigue como presidente ejecutivo, centrado en fusiones y adquisiciones y nombramientos clave [28, 38]. Bajo su mandato se cumplió el plan 2021-2025: duplicar las ventas de 2020 en tres años y triplicarlas en cinco, hasta 5.042 M EUR en 2025 [12]. Tiene directamente el 0,159 % de los derechos de voto y representa a Consilium, S.L. en los consejos de Exea Inversión Empresarial y Exea Quorum, sociedades de control de la familia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Miquel Angel Serra Duran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 Corporate Controlling y Relaciones con Inversores de Puig; sustituye desde el 17-mar-2026 a Joan Albiol, CFO desde 2009, que sigue como secretario no consejero del consejo y mantiene las funciones legales y de M&amp;A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Bach Kutschruetter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Operating Officer y presidente de Global Markets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en 2025 [31]. En noviembre de 2025 aportó 107.264 acciones clase B a su sociedad Base 2 BCN, S.L., que controla (0,02 %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Demetra Pinsent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Charlotte Tilbury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del grupo en 2025 [31]. Dirige la marca que encabeza el crecimiento de Maquillaje en el 1S26 [3]; la fundadora conserva una participación minoritaria con opciones cruzadas de compra y venta entre 2026 y principios de 2031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Toulemonde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división Derma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alta dirección en 2025 [31]. Vendió 73.773 acciones a 16,07 EUR el 30-jun-2026 (1,19 M EUR) [45]. Su división crecerá con la compra del 50 % de Isdin que Puig aún no tiene, anunciada el 14-sep-2026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de 2021: duplicar las ventas de 2020 en tres años y triplicarlas en cinco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más que duplicadas en 2022 y más que triplicadas en 2025, hasta 5.042 M EUR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OPV: crecimiento comparable a medio plazo de un dígito alto, por encima del mercado de belleza premium, y mejora del margen EBITDA ajustado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4.790 M EUR, +10,9 % comparable y +11,3 % reportado; margen EBITDA ajustado del 20,2 % (+0,2 puntos), ligeramente por encima de lo previsto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6-8 % y mejora del margen EBITDA ajustado en línea con la de 2024 (unos +0,2 puntos) [41,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5.042 M EUR, +7,8 % comparable (parte alta del rango) y +5,3 % reportado; margen EBITDA ajustado del 20,7 % (+0,5 puntos)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Crecer por encima del mercado de belleza premium en términos comparables con margen EBITDA ajustado estable frente al 20,7 % de 2025; deuda neta/EBITDA ajustado no superior a 2,0x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ventas de 2.354 M EUR, +4,4 % comparable y +2,4 % reportado; margen EBITDA ajustado del 19,5 % (+0,15 puntos interanual); deuda neta/EBITDA ajustado de 1,5x; guía reafirmada el 30-jul-2026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Desde la OPV de mayo de 2024 la dirección ha cumplido todas sus guías anuales: en 2024 creció un 10,9 % comparable con un margen del 20,2 % [41], y en 2025 un 7,8 % con un margen del 20,7 %, por encima de lo previsto [12]. La guía de 2026 es menos concreta: deja de dar un rango numérico y solo promete crecer por encima del mercado con el margen estable [12]. En el 1S26 el crecimiento comparable bajó al 4,4 % [3]. En marzo de 2026 cambiaron a la vez el primer ejecutivo y el director financiero [38]. Los dos sucesores son internos: Albesa lleva en Puig desde 1998 y Serra dirigía el control de gestión y la relación con inversores. Marc Puig sigue como presidente ejecutivo y conserva el M&amp;A [38]. El día del inversor estaba fijado para el 14-abr-2026 [12], pero coincidió con las conversaciones con Estée Lauder y a 30-jul-2026 seguía pendiente [3].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Puig Guasch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 Manuel Albesa Muniesa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consta en los documentos revisados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Responsabilidad Social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Mirzayantz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y Retribuciones; 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Lalonde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Ángeles García-Poveda Morera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A. Mei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Dolores Dancausa Treviño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Tina Müller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Van Ongevalle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consta en los documentos revisados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Jordi Constans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Cerezo Laporta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Yiannis Petrides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Sostenibilidad y Responsabilidad Social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Jordi Constans Fernández, Rafael Cerezo Laporta, Yiannis Petrides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2023 y estados con fines especiales 2021-2023; revisión limitada del 1S26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1,07 / ventas 2,41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Exea Quorum, S.L. (familia Puig), a través de Exea Inversión Empresarial,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todas las acciones clase A (5 votos) y parte de las clase B; 93,21 %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73,50 % al 74,40 % del capital en 2025 (92,97 % al 93,21 % de los votos) tras comprar a directivos 5.249.194 acciones clase B en sep-2025; última notificación a la CNMV, 4-sep-2026, con el 93,209 % de los votos [29, 33,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 clase B (4.894.911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4.886.667 acciones a cierre de 2025, sin variaciones en el año; 4.894.911 a la junta de 29-may-2026 (0,229 % de los votos) [30,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de administración (participación directa e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0,206 % de los derechos de voto a cierre de 2025; 93,417 % representado con los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Torrellimona, S.L. (vinculada a Josep Oliu) compró 70.000 acciones el 22-may-2026 [31,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136.144.260 acciones clase B (77,88 % de la clase B cotizada)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 la sociedad a cierre de 2025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James (presidente de Niche &amp; Wellness Brands)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James (presidente de Niche &amp; Wellness Brands)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Pedro Escudero Chinchilla (presidente de Américas)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Toulemonde (presidente de Derma)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Pedro Escudero Chinchilla (presidente de Américas)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Torrellimona, S.L. (vinculada al consejero dominical Josep Oliu Creus)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Marc Puig, entonces presidente y consejero delegado, devengó 5,25 M EUR: 1,80 M de fijo, 3,42 M de incentivo anual y 0,02 M en especie, más 0,54 M de aportación a previsión social, sin incentivo a largo plazo devengado [27]. El incentivo anual se pagó al 172,4 % del objetivo (189,6 % del fijo) y mide EBITDA ajustado (30 %), ventas comparables (30 %), costes fijos (10 %), flujo libre (10 %), ESG (10 %) y objetivos individuales (10 %) [27]. El plan a largo plazo 2025-2027 mide margen EBITDA ajustado (50 %), ventas (40 %) y ESG (10 %), sin ROIC ni rentabilidad para el accionista [27]. Hay cláusulas de reducción y recuperación (malus y clawback) y una indemnización de dos años de fijo [27, 31]. Tras la junta de 2025, accionistas y asesores de voto criticaron la cuantía máxima del paquete [27]. En la junta de 2026, la política tuvo un 98,5 % a favor, pero, según una estimación propia, el capital libre presente votó un 43,7 % en contra [30].</w:t>
      </w:r>
    </w:p>
    <w:p>
      <w:pPr>
        <w:pStyle w:val="Heading2"/>
      </w:pPr>
      <w:r>
        <w:t xml:space="preserve">Operaciones vinculadas, estructura de control y defensas</w:t>
      </w:r>
    </w:p>
    <w:p>
      <w:pPr>
        <w:spacing w:after="100"/>
      </w:pPr>
      <w:r>
        <w:t xml:space="preserve">Puig tiene dos clases de acciones. Las clase A (393,4 millones) no cotizan y dan 5 votos cada una; las clase B (174,8 millones) cotizan y dan un voto [29, 31]. La familia Puig, a través de Exea Quorum y Exea Inversión Empresarial, tiene el 74,4 % del capital y el 93,21 % de los votos, y decide sola la junta [29, 31, 33]. La sociedad no tiene comunicados pactos parasociales [31]. Las acciones clase A llevan derecho de adquisición preferente y de retracto a favor de la sociedad, y pueden convertirse en clase B en cualquier momento [31]. Los estatutos (art. 17 bis) exigen autorización de la junta para vender marcas con más de diez años en el grupo, como la marca Aromas de Castilla en 2026 [50]. Los consejeros vinculados a Exea no se abstienen en las operaciones vinculadas con el accionista de control [31]. Las tiendas de Carolina Herrera en Nueva York y de Rabanne en París y la sede se alquilan a Inmo, S.L., sociedad en cuyo consejo se sienta Manuel Puig [31]. En sep-2025 Exea compró con prima 5,25 millones de acciones a directivos para que devolvieran préstamos que el grupo les había concedido antes de la OPV [37].</w:t>
      </w:r>
    </w:p>
    <w:p>
      <w:pPr>
        <w:pStyle w:val="Heading2"/>
      </w:pPr>
      <w:r>
        <w:t xml:space="preserve">Señales de alerta</w:t>
      </w:r>
    </w:p>
    <w:p>
      <w:pPr>
        <w:pStyle w:val="ListParagraph"/>
        <w:numPr>
          <w:ilvl w:val="0"/>
          <w:numId w:val="2"/>
        </w:numPr>
        <w:spacing w:after="60"/>
      </w:pPr>
      <w:r>
        <w:t xml:space="preserve">En la junta de 2026 los accionistas minoritarios presentes votaron en contra en una proporción alta, según una estimación propia que descuenta los votos de Exea: el 43,7 % contra la política de remuneraciones, el 46,9 % contra la entrega de acciones a los consejeros ejecutivos y el 25,8 % contra el informe de remuneraciones de 2025. Sobre el total de votos emitidos, el voto en contra fue del 1,5 %, 1,6 % y 0,9 % [30].</w:t>
      </w:r>
    </w:p>
    <w:p>
      <w:pPr>
        <w:pStyle w:val="ListParagraph"/>
        <w:numPr>
          <w:ilvl w:val="0"/>
          <w:numId w:val="2"/>
        </w:numPr>
        <w:spacing w:after="60"/>
      </w:pPr>
      <w:r>
        <w:t xml:space="preserve">En marzo de 2026 cambiaron a la vez el primer ejecutivo y el director financiero; el CFO saliente llevaba en el cargo desde 2009 [38].</w:t>
      </w:r>
    </w:p>
    <w:p>
      <w:pPr>
        <w:pStyle w:val="ListParagraph"/>
        <w:numPr>
          <w:ilvl w:val="0"/>
          <w:numId w:val="2"/>
        </w:numPr>
        <w:spacing w:after="60"/>
      </w:pPr>
      <w:r>
        <w:t xml:space="preserve">Puig confirmó el 23-mar-2026 conversaciones de fusión con The Estée Lauder Companies y las dio por terminadas sin acuerdo el 21-may-2026 [35, 36].</w:t>
      </w:r>
    </w:p>
    <w:p>
      <w:pPr>
        <w:pStyle w:val="ListParagraph"/>
        <w:numPr>
          <w:ilvl w:val="0"/>
          <w:numId w:val="2"/>
        </w:numPr>
        <w:spacing w:after="60"/>
      </w:pPr>
      <w:r>
        <w:t xml:space="preserve">El 14-sep-2026 Puig acordó comprar a Esteve el 50 % de Isdin por 1.200 M EUR: 900 M al cierre, previsto a finales del 1T27, y 300 M aplazados sin interés hasta el 1T29. La deuda neta no debe superar 2,0 veces el EBITDA ajustado [39].</w:t>
      </w:r>
    </w:p>
    <w:p>
      <w:pPr>
        <w:pStyle w:val="ListParagraph"/>
        <w:numPr>
          <w:ilvl w:val="0"/>
          <w:numId w:val="2"/>
        </w:numPr>
        <w:spacing w:after="60"/>
      </w:pPr>
      <w:r>
        <w:t xml:space="preserve">Operaciones con el entorno del accionista de control. Puig alquila locales y la sede a Inmo, S.L. En sep-2025 Exea compró acciones a directivos para cancelar préstamos que el grupo les había dado antes de la OPV [31, 37].</w:t>
      </w:r>
    </w:p>
    <w:p>
      <w:pPr>
        <w:pStyle w:val="ListParagraph"/>
        <w:numPr>
          <w:ilvl w:val="0"/>
          <w:numId w:val="2"/>
        </w:numPr>
        <w:spacing w:after="60"/>
      </w:pPr>
      <w:r>
        <w:t xml:space="preserve">Inspección fiscal en curso del grupo fiscal que encabeza Exea (Impuesto sobre Sociedades 2019-2022, IVA y retenciones 2020-2022). Puig Brands recibió una notificación propia en marzo de 2025 [29].</w:t>
      </w:r>
    </w:p>
    <w:p>
      <w:pPr>
        <w:pStyle w:val="ListParagraph"/>
        <w:numPr>
          <w:ilvl w:val="0"/>
          <w:numId w:val="2"/>
        </w:numPr>
        <w:spacing w:after="60"/>
      </w:pPr>
      <w:r>
        <w:t xml:space="preserve">Ventas de acciones de cuatro directivos entre junio y septiembre de 2026 por unos 2,4 M EUR, frente a una sola compra de un consejero dominical, por 1,07 M EUR, al día siguiente de la ruptura con Estée Lauder [43, 44, 45, 47, 48,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Puig reafirmó el 30-jul-2026, con los resultados del primer semestre, su objetivo para 2026: crecer por encima del mercado de belleza de gama alta en términos comparables y mantener el margen de EBITDA ajustado estable frente al 20,7 % de 2025 [3, 12]. El primer semestre cerró con un crecimiento comparable del 4,4 % (4,1 % en el 2T), ventas de 2.353,7 M y un margen del 19,5 % (+0,15 puntos); la deuda neta fue de 1,5 veces el EBITDA ajustado, por debajo del techo de 2,0 veces que la empresa fija a medio plazo [2, 3]. A diferencia de 2025 (6-8 % comparable), la guía ya no da un rango numérico. El plan a medio plazo se presentará en el día del inversor del 28-oct-2026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9-oct-2026 [53]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22,00</w:t>
            </w:r>
          </w:p>
        </w:tc>
      </w:tr>
    </w:tbl>
    <w:p>
      <w:pPr>
        <w:spacing w:after="160" w:before="0"/>
      </w:pPr>
    </w:p>
    <w:p>
      <w:pPr>
        <w:pStyle w:val="Heading2"/>
      </w:pPr>
      <w:r>
        <w:t xml:space="preserve">Revisiones de estimaciones</w:t>
      </w:r>
    </w:p>
    <w:p>
      <w:pPr>
        <w:spacing w:after="100"/>
      </w:pPr>
      <w:r>
        <w:t xml:space="preserve">MarketScreener y Stock Analysis no publican en texto la evolución del BPA y el EBITDA estimados a 3 y 12 meses (solo en gráficos) [53, 54]. Los cambios visibles son de recomendación y precio objetivo: tras la ruptura de la fusión con Estée Lauder (22-may-2026) CaixaBank BPI y Alantra bajaron a Neutral y BNP Paribas había bajado a Neutral el 6-may; después, Bank of America pasó a Comprar (28-may), Goldman Sachs reanudó cobertura con Comprar (8-jun) y BNP Paribas volvió a Sobreponderar (29-jun) [53]. Tras el semestre, AlphaValue/Baader rebajó a Añadir (27-ago) y Berenberg mantuvo Mantener y subió el precio objetivo de 17,70 a 18,10 EUR (22-sep); Jefferies mantuvo Comprar con 21,00 EUR [53, 54]. Las recomendaciones de compra pasaron de 9 de 15 en mayo a 11 de 16 desde junio [54].</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Puig cotiza desde la OPV del 3-may-2024 a 24,50 EUR, así que solo hay 29 meses de historia. La acción cayó un 51,2 % entre el 12-jun-2024 y el 14-oct-2025 y en 2025 perdió un 16,6 % mientras el IBEX ganaba un 49,3 % [51]. Desde el mínimo de octubre de 2025 ha recuperado: +36,0 % en un año y +21,6 % en 2026, frente al +10,0 % del IBEX y el −13,2 % del sector europeo de cuidado personal y hogar (EXH7) [51]. El 22-may-2026, tras romperse las conversaciones de fusión con Estée Lauder, cayó un 13,4 %, la mayor caída diaria del año [51]. El 15-sep-2026, al anunciar la compra del 50 % de ISDIN, bajó un 3,4 % a 16,89 EUR [64]. La volatilidad de un año es del 32,5 % [51].</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Puig solo tiene dos cierres desde la OPV de mayo de 2024 (24,50 EUR): 17,83 EUR en 2024 y 14,87 EUR en 2025 [51]. Salió a bolsa a unas 15 veces el EBITDA y hoy cotiza a 10,2 veces el de los últimos 12 meses y 9,6 veces el de los próximos, con un PER de 15,6 veces [53]. La compresión no la explica el beneficio, que subió de 531 M en 2024 a 594 M en 2025, sino el frenazo del mercado de perfumería selectiva (+1 % en 2025) y un flotante pequeño (24,9 %) en una empresa que controla una familia [11, 52].</w:t>
      </w:r>
    </w:p>
    <w:p>
      <w:pPr>
        <w:pStyle w:val="Heading1"/>
      </w:pPr>
      <w:r>
        <w:t xml:space="preserve">18. Comparables cotizados</w:t>
      </w:r>
    </w:p>
    <w:p>
      <w:pPr>
        <w:pStyle w:val="Confianza"/>
        <w:spacing w:after="100"/>
      </w:pPr>
      <w:r>
        <w:t xml:space="preserve">Confianza: Media</w:t>
      </w:r>
    </w:p>
    <w:p>
      <w:pPr>
        <w:spacing w:after="100"/>
      </w:pPr>
      <w:r>
        <w:t xml:space="preserve">Siete empresas cotizadas de belleza de gama alta: L'Oréal y Estée Lauder (líderes mundiales del lujo), Coty (perfumes con licencias de moda, el modelo más parecido a Puig en fragancias), Interparfums SA e Inter Parfums Inc (perfumes con licencias; la estadounidense controla la francesa), Shiseido (prestigio en Asia) y Beiersdorf (cuidado de la piel). Se quitan e.l.f. Beauty (maquillaje de masas en EE. UU., con un crecimiento del 16 % y un PER de 52 veces que no tienen nada que ver con Puig) y LVMH (los perfumes pesan menos del 10 % del grupo). Kao y las de consumo masivo quedan fuera por mezcla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Parfums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12,3x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12,6x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 / 25,3x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2,4x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10,1 + 0,95 × crecimiento; R² = 0,73. Para el crecimiento esperado de la empresa (5,8 %), el múltiplo ajustado es 15,6x y el valor por acción, 30,18.</w:t>
      </w:r>
    </w:p>
    <w:p>
      <w:pPr>
        <w:spacing w:after="100"/>
      </w:pPr>
      <w:r>
        <w:t xml:space="preserve">Puig cotiza a 9,6 veces el EBITDA de los próximos 12 meses y 15,6 veces el beneficio, frente a medianas de 12,3 y 25,3 veces de sus comparables, con un margen EBITDA más alto (20,8 % frente a 17,3 %) y un crecimiento parecido (5,8 % frente a 3,0 %) [58, 59]. Solo Coty (7,3 veces, con deuda de 3,7 veces el EBITDA y ventas a la baja) cotiza más barata. La mediana de EV/EBITDA daría 23,54 EUR. El PER de los comparables está inflado por beneficios hundidos (Estée Lauder 31,2 veces, Coty 26,1, Shiseido 25,3), así que el valor por PER (29,37 EUR) es poco fiable. Parte del descuento es merecido: flotante del 24,9 %, dos clases de acciones y una familia con el 93 % de los votos [33].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ISDIN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(a Esteve, CQFE)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EUR por el 50 %: 900 M al cierre (1T27) y 300 M sin intereses en el 1T29. AlphaValue estima que valora el 100 % en unos 2.400 M EUR, 3,7 veces las ventas de 2025; no se publicó EBITDA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a 50 años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efectivo al cierre (1S26), que incluye la venta de Creed y las licencias; con regalías aparte. No se publicaron ventas ni EBITDA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USD al cierre (600 M en efectivo y 200 M en acciones) más hasta 200 M USD de pago variable a tres años; 3,8 veces las ventas de 212 M USD de los 12 meses a mar-2025 (4,7 veces con el variable) [60].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EUR según el Financial Times, con ventas de más de 250 M EUR en el ejercicio a mar-2023: unas 14 veces las ventas como máximo. Marca de nicho con márgenes muy altos; múltiplo atípico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(a Natura &amp;Co)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con ventas de 537 M USD en 2022: 4,7 veces [61].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Ford (marca, con Tom Ford Beauty)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total de 2.800 M USD; Estée Lauder paga unos 2.300 M USD netos de 250 M de Marcolin. No se publicaron ventas ni EBITDA del conjunto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por el 100 %: 826,2 M EUR en efectivo, 393,8 M de opciones de compra y venta por el 23 % y 43,3 M de pago variable; con 19,2 M de caja adquirida, valor empresa de unos 1.244 M (estimación propia) sobre 163,2 M EUR de ventas pro forma de 2022: 7,6 veces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4.300 M USD, 12,3 veces el EBITDA de 2019, con 2.350 M USD de ventas del ejercicio 2019 (1,8 veces)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32,27 – 41,32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marcas de prestigio con crecimiento se han pagado a 3,7-4,7 veces las ventas (ISDIN en 2026, Rhode en 2025, Aesop en 2023) y la de nicho Byredo a 7,6 veces [5, 60, 61, 64]; Wella, a 12,3 veces el EBITDA [66]. La mediana de 3,8 veces las ventas daría 33,17 EUR, un 83,5 % más que el precio, pero son compras de marcas sueltas con prima de control. Puig no es opable: la familia tiene el 93,21 % de los votos [33]. La única operación posible, la fusión con Estée Lauder, se rompió en mayo de 2026 sin publicar términos [36].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+3,5 %: el 1S26 creció un 2,4 % reportado (+4,4 % comparable) con −2,1 puntos de divisa, y la guía pide crecer más que el mercado [3]. El consenso da +3,7 % [53]. 2027e-2028e +5,5 %: el consenso da +6,1 % y +5,2 % [53]; Puig creció un 10,9 % y un 7,8 % comparable en 2024-2025 y ganó 0,3 puntos de cuota en el 1S26 [3]. Luego baja medio punto al año hasta el 3 % de 2033e. La media (4,4 %) está por debajo del 5 % que estimamos para el mercado de perfumería selectiva y muy por debajo del 18,2 % anual de 2021-2025, que incluye compras [11]. ISDIN no entra: no ha cerrado.</w:t>
      </w:r>
    </w:p>
    <w:p>
      <w:pPr>
        <w:keepNext/>
        <w:spacing w:after="100"/>
      </w:pPr>
      <w:r>
        <w:rPr>
          <w:b/>
          <w:bCs/>
        </w:rPr>
        <w:t xml:space="preserve">Márgenes.</w:t>
      </w:r>
    </w:p>
    <w:p>
      <w:pPr>
        <w:spacing w:after="100"/>
      </w:pPr>
      <w:r>
        <w:t xml:space="preserve">Margen EBITDA ajustado del 20,7 % en 2026e (la guía: estable) que sube al 21,5 % en 2030e, 0,2 puntos por año, como en 2024-2025 (20,2 % y 20,7 %) [1, 12]. El consenso da un 20,7-20,9 % en 2026e-2028e [53]. El techo del 21,5 % queda por debajo del 24,3 % de L'Oréal y por encima del 16,5 % de Estée Lauder [58]. El margen bruto (75,1 %) ya está en máximos; la mejora tiene que venir de diluir costes fijos, porque la publicidad (32,7 % de las ventas) no baja [11].</w:t>
      </w:r>
    </w:p>
    <w:p>
      <w:pPr>
        <w:keepNext/>
        <w:spacing w:after="100"/>
      </w:pPr>
      <w:r>
        <w:rPr>
          <w:b/>
          <w:bCs/>
        </w:rPr>
        <w:t xml:space="preserve">Inversión y circulante.</w:t>
      </w:r>
    </w:p>
    <w:p>
      <w:pPr>
        <w:spacing w:after="100"/>
      </w:pPr>
      <w:r>
        <w:t xml:space="preserve">Capex del 5,6 % de las ventas: el de caja de 2025 (3,9 %) más los pagos de arrendamientos (1,8 %), para que el DCF pague el alquiler de sus 330 tiendas y oficinas (NIIF 16) [1, 11]. La amortización (4,7 % en 2025, incluida la de derechos de uso) converge al 5,2 %. Circulante del 20,5 % de las ventas, el de 2025 (20,4 %); el negocio necesita unos 20 céntimos de circulante por euro de ventas nuevas. Tipo impositivo del 25 %, frente al 24,7 % de 2025 [1].</w:t>
      </w:r>
    </w:p>
    <w:p>
      <w:pPr>
        <w:keepNext/>
        <w:spacing w:after="100"/>
      </w:pPr>
      <w:r>
        <w:rPr>
          <w:b/>
          <w:bCs/>
        </w:rPr>
        <w:t xml:space="preserve">Coste del capital.</w:t>
      </w:r>
    </w:p>
    <w:p>
      <w:pPr>
        <w:spacing w:after="100"/>
      </w:pPr>
      <w:r>
        <w:t xml:space="preserve">Tasa libre del 3,53 %, el Bund alemán a 10 años del 9-oct-2026 [55]. Beta de 0,86: la de Damodaran para productos del hogar y cuidado personal (0,74 desapalancada) reapalancada con un 21 % de deuda sobre capital [57]; la de la propia acción (0,47-0,71 frente al STOXX 600) solo tiene 29 meses de historia [51]. Prima de mercado del 5,5 % y una prima adicional de 1 punto por el control: la familia tiene el 93 % de los votos, el flotante es del 24,9 % y el capital libre votó en un 43,7 % contra la política de remuneración [30, 33]. Coste de la deuda del 4,0 % y un 19 % de deuda a valor de mercado. WACC del 8,07 %; con la prima implícita del mercado (4,20 %), el 7,17 % [67].</w:t>
      </w:r>
    </w:p>
    <w:p>
      <w:pPr>
        <w:keepNext/>
        <w:spacing w:after="100"/>
      </w:pPr>
      <w:r>
        <w:rPr>
          <w:b/>
          <w:bCs/>
        </w:rPr>
        <w:t xml:space="preserve">Valor terminal.</w:t>
      </w:r>
    </w:p>
    <w:p>
      <w:pPr>
        <w:spacing w:after="100"/>
      </w:pPr>
      <w:r>
        <w:t xml:space="preserve">Crecimiento a perpetuidad del 2,5 %: inflación del euro de unos 2 % y algo de crecimiento real, por debajo de la tasa libre menos medio punto (3,03 %). El múltiplo de salida implícito es de 9,6 veces el EBITDA, por debajo de los 10,2 de hoy y de la mediana de 12,3 veces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M (12 % del NOPAT)</w:t>
            </w:r>
          </w:p>
        </w:tc>
      </w:tr>
    </w:tbl>
    <w:p>
      <w:pPr>
        <w:spacing w:after="160" w:before="0"/>
      </w:pPr>
    </w:p>
    <w:p>
      <w:pPr>
        <w:spacing w:after="100"/>
      </w:pPr>
      <w:r>
        <w:t xml:space="preserve">La proyección apenas necesita inversión neta de la amortización (reinversión acumulada de 704 M, el 12 % del NOPAT, con un capex bruto medio del 5,6 % de las ventas). En un negocio de activos ligeros, el crecimiento medio del 4,3 %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+4,4 % comparable con −2,1 puntos de divisa; subidas de precio en EE. UU. desde agosto de 2025 por los aranceles; reparto entre volumen y precio, estimación propia [3,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+6,1 % [53]; Puig ganó 0,3 puntos de cuota en perfumería selectiva en el 1S26 y tiene tres de las diez primeras marcas [3, 11]. Sin ISDIN.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+5,2 % [53]; precio y mezcla hacia el nicho (Byredo, Penhaligon's) y el maquillaje de Charlotte Tilbury.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perfumería selectiva previsto al +5 % anual (estimación propia sobre L'Oréal y el folleto de la OPV) [14, 22].</w:t>
            </w:r>
          </w:p>
        </w:tc>
      </w:tr>
    </w:tbl>
    <w:p>
      <w:pPr>
        <w:spacing w:after="160" w:before="0"/>
      </w:pPr>
    </w:p>
    <w:p>
      <w:pPr>
        <w:spacing w:after="100"/>
      </w:pPr>
      <w:r>
        <w:t xml:space="preserve">Sí. El 4,4 % anual del caso base apenas necesita capital (la reinversión neta es el 12 % del beneficio operativo después de impuestos) y queda por debajo de lo que Puig ya ha demostrado: un 10,9 % y un 7,8 % comparable en 2024-2025, un 4,4 % en el 1S26 con el mercado casi plano, y 0,3 puntos más de cuota en perfumería selectiva [3]. El poder de precios está probado: el margen bruto subió del 72,9 % al 75,1 % en cuatro años y Puig subió precios en EE. UU. en 2025 sin perder cuota [1, 11]. El riesgo no es la calidad sino el mercado: si la perfumería se queda en el +1 % de 2025, el crecimiento caerá, y eso es el escenario bajista. No se da cuota implícita porque el mercado de perfumería no incluye el maquillaje ni el cuidado de la piel de Puig.</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8,1 %)</w:t>
            </w:r>
          </w:p>
        </w:tc>
      </w:tr>
    </w:tbl>
    <w:p>
      <w:pPr>
        <w:spacing w:after="160" w:before="0"/>
      </w:pPr>
    </w:p>
    <w:p>
      <w:pPr>
        <w:spacing w:after="100"/>
      </w:pPr>
      <w:r>
        <w:t xml:space="preserve">El DCF da 20,14 EUR por acción, un 11,4 % por encima del precio de 18,08 EUR, con un 69 % del valor en el terminal. </w:t>
      </w:r>
      <w:r>
        <w:rPr>
          <w:b/>
        </w:rPr>
        <w:t xml:space="preserve">El precio descuenta un Puig que crece la mitad que su mercado.</w:t>
      </w:r>
      <w:r>
        <w:t xml:space="preserve"> El DCF inverso dice que, con nuestros márgenes, los 18,08 EUR suponen un crecimiento de las ventas del 1,9 % anual en 2027e-2033e, frente al 4,4 % de nuestro caso base, al 5,8 % que el consenso espera para los próximos 12 meses y al 5,0 % previsto para el mercado; o, con nuestro crecimiento, un margen EBITDA del 20,1 % en vez del 21,5 %, por debajo del 20,7 % de 2025. Comprar a este precio rinde un 8,7 % anual si se cumple el caso base, algo más que el WACC del 8,1 % y bastante más que el 7,2 % que hoy pide el mercado. La distancia no es grande: el precio pide poco, pero nuestro caso base tampoco promete mucho. El valor es sensible a la tasa: con un WACC medio punto menor sube a 22,26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perfumería selectiva se queda en el +1 % de 2025, las imitaciones baratas y las marcas nacidas en redes quitan precio, y Puig crece como Coty o Estée Lauder en 2024-2026: menos del 1 % anual y 3 puntos menos de margen por más publicidad. Es lo que les pasó a esos dos competidores, cuyo margen operativo cayó al 5 % y al −1 % [17, 18].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crece algo por debajo de su mercado (4,4 % anual), con un margen que sube 0,2 puntos al año hasta el 21,5 %, y la compra de ISDIN se paga a su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perfumería de nicho (Byredo) y Charlotte Tilbury vuelven a crecer a un dígito alto, como en 2024, y el día del inversor fija un margen del 22-23 %: ventas un 6,4 % anual y margen del 22,5 %.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19,01 EUR (+5,1 %).</w:t>
      </w:r>
    </w:p>
    <w:p>
      <w:pPr>
        <w:spacing w:after="100"/>
      </w:pPr>
      <w:r>
        <w:t xml:space="preserve">La asimetría es justa: el alcista vale 23,53 EUR (+30,1 %) y el bajista 12,92 (−28,5 %), 1,06 veces. El bajista no es cosmético: deja las ventas casi planas siete años y quita tres puntos de margen, lo que ya les pasó a Coty y Estée Lauder. El alcista está limitado porque no damos a Puig un margen como el de L'Oréal. El valor ponderado por probabilidad es de 19,01 EUR, apenas un 5,1 % por encima del precio. Con la prima de riesgo que hoy pide el mercado (4,20 %), el bajista sube a 15,35 EUR y el alcista a 28,45, una asimetría de 3,8 veces.</w:t>
      </w:r>
    </w:p>
    <w:p>
      <w:pPr>
        <w:pStyle w:val="Heading1"/>
      </w:pPr>
      <w:r>
        <w:t xml:space="preserve">22. Suma de partes</w:t>
      </w:r>
    </w:p>
    <w:p>
      <w:pPr>
        <w:pStyle w:val="Confianza"/>
        <w:spacing w:after="100"/>
      </w:pPr>
      <w:r>
        <w:t xml:space="preserve">Confianza: Media</w:t>
      </w:r>
    </w:p>
    <w:p>
      <w:pPr>
        <w:spacing w:after="100"/>
      </w:pPr>
      <w:r>
        <w:t xml:space="preserve">No se usa en el valor objetivo. Los tres segmentos publican resultado operativo (Fragancias y Moda 683 M, Maquillaje 96 M y Cuidado de la piel 33 M en 2025), pero los costes centrales no asignados y la publicidad compartida hacen que una suma de partes dependa de cómo se repartan [1]. Además, el 72 % de las ventas y el 84 % del resultado de los segmentos son perfumes: el valor del grupo es el de su perfumería.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21,46 EUR (+18,7 % sobre 18,08).</w:t>
      </w:r>
    </w:p>
    <w:p>
      <w:pPr>
        <w:spacing w:after="100"/>
      </w:pPr>
      <w:r>
        <w:t xml:space="preserve">Pesos: DCF 55 %, escenarios 25 %, comparables 15 %, transacciones 5 % y suma de partes 0 %. El DCF manda porque la caja de Puig es predecible (conversión del 79 % del beneficio en 2021-2025) y recoge el descuento por gobierno en el WACC. Los escenarios pesan un 25 % porque el riesgo de que la perfumería se estanque es real. Los comparables (26,46 EUR) pesan un 15 % porque su PER está inflado por beneficios hundidos, y las transacciones (33,17 EUR) un 5 % porque llevan prima de control y Puig no es opable. Todos los métodos salvo los escenarios quedan por encima del precio; la dispersión (19,01-33,17 EUR) es grande y el valor objetivo, 21,46 EUR, está a mitad de camino entre el DCF y los múltiplos. La participación en ISDIN (50 %) va al precio de la compra del otro 50 % (1.200 M en vez de 168 M contables): a valor contable, el valor por acción bajaría 1,83 EUR [2, 39].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r>
    </w:tbl>
    <w:p>
      <w:pPr>
        <w:spacing w:after="160" w:before="0"/>
      </w:pPr>
    </w:p>
    <w:p>
      <w:pPr>
        <w:spacing w:after="100"/>
      </w:pPr>
      <w:r>
        <w:rPr>
          <w:b/>
          <w:bCs/>
        </w:rPr>
        <w:t xml:space="preserve">Objetivo a 12 meses (ponderado):</w:t>
      </w:r>
      <w:r>
        <w:t xml:space="preserve"> 19,41 EUR · rentabilidad +9,7 % (base +9,4 %) · señal Mantener.</w:t>
      </w:r>
    </w:p>
    <w:p>
      <w:pPr>
        <w:keepNext/>
        <w:spacing w:after="100"/>
      </w:pPr>
      <w:r>
        <w:rPr>
          <w:b/>
          <w:bCs/>
        </w:rPr>
        <w:t xml:space="preserve">Frente al consenso (solo contraste).</w:t>
      </w:r>
    </w:p>
    <w:p>
      <w:pPr>
        <w:spacing w:after="100"/>
      </w:pPr>
      <w:r>
        <w:t xml:space="preserve">Nuestro BPA base de 2028e (1,21) se separa un -4,0 % del consenso (1,26) y nuestro precio base (19,36) un -1,1 % del objetivo medio de los analistas (19,58).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21,46 (+18,7 %) frente al objetivo a 12 meses ponderado 19,41 (+9,7 % con dividendo; base +9,4 %).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 en Madrid: plan a medio plazo con objetivos de crecimiento y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objetivo de margen del 22-23 % o de crecimiento por encima del 6 % llevaría al alcista; uno conservador confirmaría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(fecha estimada: 29-oct)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los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 compara con un +7,7 % en el 2T25 y llega con el conflicto de Oriente Medio y la divisa en contra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50 % de ISDIN (900 M al cierre) tras la autorización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 unas ventas de unos 650 M (dato de prensa) y sube la deuda hacia 2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ISDIN y prueba de si el margen se mantiene estable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votos sobre remuneración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capital libre vuelve a votar en un 40 % en contra, el descuento por gobierno seguirá</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2028-2031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Ventana de la opción sobre el 15 % restante de Charlotte Tilbury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a los fundadores que ya está en el puente (parte de los 558 M de opciones)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perfumería selectiva se estanca tras el auge de 2021-2024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11,1 % al alza y tres de las diez primeras marcas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Fragancias y Moda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la familia decide sola (93 % de los votos) y puede tomar decisiones que no favorecen al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más de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de trece consejeros independientes y comisión de auditoría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operaciones con Exea o con sociedades de la familia; voto libre en contra por encima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ISDIN pagada cara: 1.200 M por el 50 % (unas 3,7 veces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−1,83 EUR si ISDIN valiera su valor contable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conoce ISDIN desde hace años (50 % desde 2021) y 300 M se pagan sin intereses en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ISDIN por debajo del 8 %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Promoción y publicidad: la competencia (L'Oréal con Kering Beauté) obliga a gastar más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75,1 %, en máximos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y promoción por encima del 33 %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35 % de las ventas son de América y la cuenta está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un dólar un 10 % más débil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Europa y precios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por encima de −2 puntos en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de viaje y conflictos (Oriente Medio): 10 %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de solo 14 M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canal de viaje y del Golfo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Maquillaje dependiente de una sola marca (Charlotte Tilbury) y de su fundadora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Colaboración de la fundadora prorrogada en 2024 y Puig con el 85 %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Maquillaje por debajo del 9 %</w:t>
            </w:r>
          </w:p>
        </w:tc>
      </w:tr>
    </w:tbl>
    <w:p>
      <w:pPr>
        <w:spacing w:after="160" w:before="0"/>
      </w:pPr>
    </w:p>
    <w:p>
      <w:pPr>
        <w:pStyle w:val="Heading2"/>
      </w:pPr>
      <w:r>
        <w:t xml:space="preserve">Pre-mortem</w:t>
      </w:r>
    </w:p>
    <w:p>
      <w:pPr>
        <w:spacing w:after="100"/>
      </w:pPr>
      <w:r>
        <w:t xml:space="preserve">Octubre de 2029: la acción ha caído un 40 %, a unos 11 EUR. La historia más probable empieza en el día del inversor de octubre de 2026: Puig promete un crecimiento por encima del mercado, pero en 2027 el mercado de perfumería selectiva crece solo un 1-2 %, como en 2025, porque el consumidor joven compra brumas corporales y perfumes de imitación y la generación que disparó las ventas de 2021-2024 ya tiene su fragancia. Puig defiende la cuota con más publicidad y el margen cae del 20,7 % al 18 %. ISDIN, que costó 1.200 M, crece al 4 % y obliga a deteriorar parte del fondo de comercio; con la deuda en 2 veces el EBITDA, se recorta el dividendo. El mercado deja de ver a Puig como una L'Oréal pequeña y la valora como a Coty, a 7 veces el EBITDA. El indicador que lo habría anticipado: el +1 % del mercado selectivo en 2025 y el frenazo del crecimiento comparable del 7,8 % al 4,4 % en el 1S26.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(primera vez)</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19,8, riesgo bajo (primera vez en esa categoría)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81/100, medalla de oro (5 % mejor)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(puntuación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suministro: de las 567.856 t de CO2e de 2025 (base de ubicación), 559.282 t son de alcance 3, sobre todo compras de bienes (materias primas, envases) y transporte; los alcances 1 y 2 son marginales [11]. Puig tiene objetivos aprobados por SBTi para 2030 y cero neto en 2050 [11]. El segundo es el abastecimiento de ingredientes naturales y esenciales en zonas con estrés hídrico, que el propio informe identifica como riesgo [11]. El tercero, ligado a la retribución: los indicadores CDP, Sustainalytics y EcoVadis forman el índice de sostenibilidad que entra en la retribución variable de la dirección [11].</w:t>
      </w:r>
    </w:p>
    <w:p>
      <w:pPr>
        <w:pStyle w:val="Heading2"/>
      </w:pPr>
      <w:r>
        <w:t xml:space="preserve">Controversias</w:t>
      </w:r>
    </w:p>
    <w:p>
      <w:pPr>
        <w:spacing w:after="100"/>
      </w:pPr>
      <w:r>
        <w:t xml:space="preserve">El informe de 2025 no recoge sanciones ni litigios materiales: menciona un caso de acoso confirmado (otros cuatro en investigación) sin multas ni sanciones, y ningún incidente de derechos humanos con sanción [11]. No se han encontrado controversias ESG relevantes en prensa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comparable espera la dirección para la perfumería en 2027 si el mercado selectivo sigue cerca del +1 %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1,9 % que descuenta el precio y el 4,4 % de nuestro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ISDIN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tiene ISDIN y qué múltiplo se pagó? ¿Qué sinergias se esperan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(1.200 M por el 50 %) vale 2,13 EUR por acción y el EBITDA no se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margen EBITDA ajustado no sube más deprisa con un margen bruto del 75 %? ¿Qué parte de la publicidad es fija?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mueve el valor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43,7 % del capital libre votó contra la política de remuneración en 2026, y piensa el consejo cambiar las métricas a ROIC o rentabilidad para el accionista?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a largo plazo mide margen y ventas, no la rentabilidad del capital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rompieron las conversaciones con Estée Lauder y la familia contempla otras operaciones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operación de control es lo único que acercaría el precio al de las transacciones (33,17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costará el 15 % restante de Charlotte Tilbury y las opciones de Sturm, Kama y Loto del Sur,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558 M de pasivos en el puente, a valor razonable de nivel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Cuidado de la piel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plan hay para Dr. Barbara Sturm, cuyas previsiones se han revisado a la baja?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del segmento bajó al 6,0 % y es la compra que no ha funcionado.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página más reciente)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todo técnico en torno al soporte de los 18 euros y la falta de volumen. Se espera que el día del inversor aclare las sinergias de la compra de ISDIN y estabilice perfumería, y se recuerda, citando prensa, que ningún analista recomienda vender. Las opiniones bajistas son escasas y poco argumentadas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ISDIN, la caída se lee como oportunidad y se habla de precios objetivo de analistas en la zona de 20-22 euros. Los escépticos recuerdan que la acción sigue muy por debajo del precio de la OPV con el IBEX en máximos, desconfían de las presentaciones de la compañía y temen operaciones corporativas en contra del minoritario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Conversación de corto plazo sobre los 17 euros, huecos de cotización pendientes y subastas flojas; los alcistas citan buenos resultados y poca deuda, y varios participantes dicen haber vendido o reducido por cansancio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junio, tras la ruptura con Estée Lauder)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airado y desconfiado: se acusa a la familia de controlar el precio y se califica la fusión fallida de maniobra, se critica la rentabilidad por dividendo y el comportamiento desde la OPV y se pide que intervenga la CNMV; una minoría pide paciencia y ve la acción barata. Sirve de referencia para medir la tendencia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Rankia (hilo de Puig, págs. 29-30)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mensajes y espaciados (junio-septiembre). Quien está dentro ve la acción infravalorada frente a su crecimiento, pero se cuestionan la compra de más capital de Charlotte Tilbury y el precio pagado por ISDIN, el control familiar (agravado por el episodio de Estée Lauder) y la erosión de las marcas por las imitaciones baratas y las marcas digitales [73, 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del 50 % de ISDIN a Esteve: ¿cara o estratégica?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anunciada el 14-sep-2026; el precio, el calendario de pagos y el efecto en la deuda deben tomarse del hecho relevante de Puig, no del foro [69,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fusión fallida con Estée Lauder y trato al minoritario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Algunos comentarios dicen que la acción cotizada no tiene voto: las acciones B tienen voto, aunque menor que las A de la familia (comprobar en estatutos e IAGC) [72, 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y recuperación desde mínimos, con analistas favorables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Contrastar con el consenso y los múltiplos del informe; el foro cita recomendaciones de prensa sin fuente primaria [68, 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Comportamiento desde la OPV, bajo volumen y cansancio del accionista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a 24,50 euros frente a 18,08 euros de cierre el 9-oct-2026 (notas/bolsa.json) [69, 71].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 del inversor y ventas del 3T26 como próximo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dan fechas distintas para las ventas del 3T26 (21 y 26 de octubre): confirmar en el calendario de inversores [68,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minoritarios (Charlotte Tilbury) y amenaza de imitaciones y marcas digitales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Comprobar en el 1S26 la deuda neta tras la compra de minoritarios de Charlotte Tilbury y la evolución por segmentos [73, 74].</w:t>
            </w:r>
          </w:p>
        </w:tc>
      </w:tr>
    </w:tbl>
    <w:p>
      <w:pPr>
        <w:spacing w:after="160" w:before="0"/>
      </w:pPr>
    </w:p>
    <w:p>
      <w:pPr>
        <w:spacing w:after="100"/>
      </w:pPr>
      <w:r>
        <w:t xml:space="preserve">El inversor particular está dividido y algo más optimista que en junio. Tras la ruptura con Estée Lauder, el foro de Investing y el de Rankia se llenaron de quejas sobre el trato de la familia al minoritario; en septiembre y octubre domina la idea de que la acción está barata y los analistas la apoyan [68, 70, 73, 74]. El dato da la razón al enfado: el 43,7 % del capital libre presente en la junta votó contra la política de remuneración [30]. La compra de ISDIN reparte opiniones entre cara y estratégica, el mismo debate que el informe (unas 3,7 veces las ventas). No hay euforia ni capitulación: el sentimiento no cambia la decisión, pero confirma que el descuento por gobierno es real.</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Fuentes: 74 (48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20,5 % frente a 20,4 %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fuentes (48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2019-2020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uploads.puig.com: cuentas consolidadas 2020-2021 no localizadas; 2) búsqueda de informe anual 2021 (es no financiero) y nota de resultados 2020 (solo ventas, BAI y beneficio); 3) folleto/estados con fines especiales: empiezan en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24 de las cuentas 2025 (solo calendario); 2) estados del 1S26 (sin vida media); 3) cálculo a partir del calendario no publicado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 compra de Charlotte Tilbury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2023 y estados con fines especiales (empiezan en 2021); 2) nota de resultados 2020 (sin importe);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tcac_previsto_pct y extra.mercado_2030 (tamaño de la perfumería selectiva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Puig: solo publica su cuota (11,1 %), no el tamaño; 2) folleto de la OPV: Euromonitor y McKinsey con datos de 2022 y previsiones a 2027 en USD a precio de venta al público; 3) McKinsey State of Beauty 2025 (HTTP 403 y tiempo agotado) y documentos de registro de L'Oréal 2023-2025 (solo belleza total y peso de los perfumes)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L'Oréal URD 2025: solo el ranking de WWD por ventas totales de belleza; 2) informes de Puig: solo su propia cuota; 3) informes de L'Oréal, LVMH, Coty y Estée Lauder: no publican cuota en perfumería selectiva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L'Oréal y LVMH: hablan de superar al mercado sin dar cuota; 2) datos XBRL de Estée Lauder, Coty e Interparfums: sin cuota; 3) búsqueda de cuotas de Circana o Euromonitor por empresa: no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(Albesa, Marc Puig, Serra, Pinsent, Toulemonde)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2025, apartado A.3: solo da derechos de voto de los consejeros (Marc Puig, 0,159 % directo) sin la clase de las acciones, y no incluye a Albesa, que no era consejero en 2025; 2) IARC 2025 y propuestas de la junta de 2026: no dan número de acciones; 3) registro de operaciones de directivos de la CNMV: solo recoge operaciones, no posiciones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consejo[].comisiones de los consejeros nombrados en mayo de 2026 (Albesa, Van Ongevalle)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 de la junta de 2026; 2) relación de hechos relevantes de la CNMV desde may-2026, sin comunicación de cambios en las comisiones; 3) web de Puig, que devuelve 403 a las descargas automáticas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CNMV, consulta de posiciones cortas (sin datos con el ISIN ES0105777017); 2) CNMV, página general de notificaciones de posiciones cortas (sin datos disponibles sin navegador); 3) Stock Analysis (short interest 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estimados de 2026-2027); 2) Stock Analysis (solo actuales); 3) solo dos ejercicios desde la OPV: no hay serie que reconstruir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ISDIN, Aesop, Rhode, Tom Ford, Kering Beauté y Byredo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compradores (e.l.f. 8-K, L'Oréal AMF, Estée Lauder 8-K, L'Oréal 19-oct-2025, cuentas de Puig); 2) prensa (Tradingsat/AlphaValue, FashionUnited); 3) búsqueda web de múltiplos publicados (solo FT para Creed, sin documento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Accounts and Consolidated Management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https://uploads.puig.com/uploads/PUIG_BRANDS_Consolidated_Annual_Accounts_2025_eng_33d2988396.pdf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https://uploads.puig.com/uploads/PUIG_BRANDS_2026_Half_Year_FFSS_ENG_70c01313c6.pdf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https://uploads.puig.com/uploads/H1_2026_Results_Press_Release_ENG_e0929148e2.pdf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Management Report 2023 (con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https://uploads.puig.com/uploads/PUIG_2023_Consolidated_Annual_Accounts_1e83f73312.pdf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Special Purpose Consolidated Financial Statements 2023, 2022 and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https://uploads.puig.com/uploads/PUIG_Special_Purpose_Financial_Statements_2023_2022_2021_1_3cef8099a7.pdf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June 30,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https://uploads.puig.com/uploads/PUIG_BRANDS_ACCOUNTS_30_06_2024_ENG_d540e6f0c2.pdf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registra unas ventas de 1.537 M€ en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https://uploads.puig.com/uploads/Puig_Resultados_Financieros_2020_Spanish_c178e93207.pdf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https://uploads.puig.com/uploads/PUIG_Cuentas_Consolidadas_ESP_c678d5914b.pdf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acquires full ownership of Isdin for 1.2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https://fashionunited.uk/news/business/puig-acquires-full-ownership-of-isdin-for-1-2-billion-euros/2026091590332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takes full control of Isdin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Premium Beauty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https://www.premiumbeautynews.com/puig-takes-full-control-of-isdin,28196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https://uploads.puig.com/uploads/PUIG_BRANDS_Puig_Integrated_Annual_Report_2025_eng_65be06fd1b.pdf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https://uploads.puig.com/uploads/Puig_FY_2025_Results_Press_Release_English_b01de89237.pdf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https://www.loreal-finance.com/system/files/2026-02/CPFY25ENv12.02%2017.00.pdf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1.2 Beauty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Estee Lauder and perfume maker Puig end merger talks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https://www.bnnbloomberg.ca/business/2026/05/22/estee-lauder-and-perfume-maker-puig-end-merger-talks/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Solid performance in a disrupted global economic and geopolitical environment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https://www.lvmh.com/en/publications/solid-performance-in-a-disrupted-global-economic-and-geopolitical-environment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https://data.sec.gov/api/xbrl/companyfacts/CIK0001001250.json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and FY2026 Outlook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Shiseido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https://corp.shiseido.com/en/ir/pdf/ir20260210_244.pdf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 Parfums, Inc., datos XBRL del formulario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https://data.sec.gov/api/xbrl/companyfacts/CIK0000822663.json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https://reports.beiersdorf.com/annual-report/2025/services/faq.html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(folleto de la oferta pública y admisión a cotización), sección Industry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https://uploads.puig.com/uploads/Prospectus_Puig_a1dd7fa8d0.pdf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Universal Registration Document, mercado de belleza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https://www.loreal-finance.com/eng/2024-universal-registration-document/en/article/23/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Universal Registration Document, mercado de belleza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https://www.loreal-finance.com/eng/2023-universal-registration-document/en/article/17/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Reglamento (UE) 2023/1545 de la Comisión, etiquetado de alérgenos de fragancias en cosméticos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Diario Oficial de la UE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https://eur-lex.europa.eu/legal-content/EN/TXT/?uri=CELEX:32023R1545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https://uploads.puig.com/uploads/PUIG_BRANDS_Informe_Anual_Remuneraciones_2025_es_50cdddaf19.pdf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funcionamiento del Consejo de Administración y sus Comisiones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https://uploads.puig.com/uploads/2025_PUIG_BRANDS_Memoria_Anual_Actividades_Consejo_y_Comisiones_1fabe9bca7.pdf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individuales 2025 de Puig Brands,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https://uploads.puig.com/uploads/PUIG_BRANDS_Cuentas_Anuales_Individuales_2025_es_d65d666ebc.pdf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2026: quórum, acuerdos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(OIR a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https://uploads.puig.com/uploads/ESP_PUIG_BRANDS_S_A_Acuerdos_OIR_63a9d46a15.pdf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https://www.cnmv.es/webservices/verdocumento/ver?e=AybZMCsXlwJ9SBETtCWjvbvHDuLZ5bjTajiXEFOAHTFRkTbOJDSVgXYoK%2bQzluTA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2025: acuerdos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(OIR a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https://www.cnmv.es/webservices/verdocumento/ver?t=%7b2cea8ea6-ae2b-46b6-a143-21d8789cd27f%7d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y autocartera: Puig Brands, S.A.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https://www.cnmv.es/portal/Consultas/derechosvoto/ps_ac_ini.aspx?nif=A66674904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definitive quorum and voting results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https://strapi-prd.puig.com/uploads/ENG_PUIG_BRANDS_S_A_Acuerdos_OIR_4be60488a1.pdf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conversaciones con The Estée Lauder Companies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https://www.cnmv.es/webservices/verdocumento/ver?t=%7bc2e0156e-ac00-4124-aa23-dfc6cd1dacef%7d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Puig y The Estée Lauder Companies ponen fin a las conversaciones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https://www.cnmv.es/webservices/verdocumento/ver?t=%7bf1497f16-0d8d-43c4-aa31-9c6266125ff5%7d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Exea Inversión Empresarial realiza oferta de compra de acciones 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https://www.cnmv.es/webservices/verdocumento/ver?t=%7be8a68dc5-423e-47b0-8679-76e287a65d07%7d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nombramiento de nuevo CEO y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https://www.cnmv.es/webservices/verdocumento/ver?t=%7b5e758f39-3037-418b-a8c8-7660dff68305%7d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contrato de compraventa del 50 % de Isdin,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https://www.cnmv.es/webservices/verdocumento/ver?t=%7be8f33636-1caa-4f71-837a-a4a9b12be215%7d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extensión de la colaboración con Charlotte Tilbury MBE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https://www.cnmv.es/webservices/verdocumento/ver?t=%7b95f7f38b-88fb-4041-b18a-ce734f5d39c3%7d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https://www.cnmv.es/webservices/verdocumento/ver?t=%7bba61c903-c1eb-4dc4-91d5-707783f1f73d%7d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https://uploads.puig.com/uploads/Puig_H1_2025_Results_Press_Release_ENG_a3be5c42e7.pdf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Thomas James (registro 2026125133)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https://www.cnmv.es/webservices/verdocumento/ver?e=1kOMTkUPw07axyrnHhGHfBx3DAFGllJiH8SewYXRKCr00jEuhbk%2bTc0vHNC%2bVxBv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Torrellimona, S.L. (registro 2026073796)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https://www.cnmv.es/webservices/verdocumento/ver?e=vsbHibVD%2f3c00LUpSBCSDGNH%2b5N8F%2fw4dTBMHFjO2qP00jEuhbk%2bTc0vHNC%2bVxBv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Marc Toulemonde (registro 2026090640)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https://www.cnmv.es/webservices/verdocumento/ver?e=9NHMoBtrVKEIkFvIvlxg6TIwDCd3qfmxa3d0pVXc9U300jEuhbk%2bTc0vHNC%2bVxBv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Javier Bach Kutschruetter (registro 2025139350)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https://www.cnmv.es/webservices/verdocumento/ver?e=HJwxgt4LG6zVVJGFCotSDE1gE2lFvUOSMN6ipT1UCRH00jEuhbk%2bTc0vHNC%2bVxBv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Thomas James (registro 2026123959)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https://www.cnmv.es/webservices/verdocumento/ver?e=79DXz8O9FO0LFcK5B2YRcnag%2fhsZu9a0AehHKu32A6f00jEuhbk%2bTc0vHNC%2bVxBv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Pedro Escudero Chinchilla (registro 2026111205)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https://www.cnmv.es/webservices/verdocumento/ver?e=n8VoMeIAFqz4Luex6aIuGl5Rsaf91hgzM3iX0jAAzAP00jEuhbk%2bTc0vHNC%2bVxBv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Pedro Escudero Chinchilla (registro 2026085417)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https://www.cnmv.es/webservices/verdocumento/ver?e=WPh8eEPSTbwJZ8q3tLz5PyGUwfNK4Vy1nTt%2bKAkY0iT00jEuhbk%2bTc0vHNC%2bVxBv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2026: propuestas de acuerdo (incluye la autorización de venta de la marca Aromas de Castilla, art. 17 bis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https://uploads.puig.com/uploads/2_PUIG_BRANDS_JGO_2026_Propuesta_de_acuerdos_ESP_69e6bafd8a.pdf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PUIG.MC, ^IBEX, ^STOXX y EXH7.DE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https://finance.yahoo.com/quote/PUIG.MC/history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(BME:PUIG)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https://stockanalysis.com/quote/bme/PUIG/statistics/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finances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https://www.marketscreener.com/quote/stock/PUIG-BRANDS-SA-169390759/finances/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(BME:PUIG)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https://stockanalysis.com/quote/bme/PUIG/forecast/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residual maturity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Páginas de finanzas de L'Oréal, Estée Lauder, Coty, Interparfums SA, Inter Parfums Inc, Shiseido, Beiersdorf y e.l.f. Beauty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L'Oréal, Estée Lauder, Coty, Interparfums SA, Inter Parfums Inc, Shiseido, Beiersdorf y e.l.f. Beauty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https://stockanalysis.com/quote/epa/OR/statistics/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to acquire rhode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https://www.sec.gov/Archives/edgar/data/1600033/000160003325000013/er991glazemasterpressrelea.htm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signs agreement with Natura &amp;Co to acquire Aēsop (communiqué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https://echanges.dila.gouv.fr/OPENDATA/AMF/MKW/2023/04/FCMKW112074_20230403.pdf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monte à 100 % dans ISDIN, AlphaValue voit des risques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https://www.tradingsat.com/actualites/informations-societes/puig-monte-a-100-dans-isdin-alphavalue-voit-des-risques-1170133.html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acquisition of Creed is reportedly valued at 3.5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https://fashionunited.uk/news/business/kering-s-acquisition-of-creed-is-reportedly-valued-at-3-5-billion-euros/2023071070464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announces strategic partnership with KKR, reports 3Q FY20 results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https://www.sec.gov/Archives/edgar/data/1024305/000102430520000048/exhibit991-earningsrel.htm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más reciente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60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«Próxima salida a bolsa de Puig», página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https://www.rankia.com/foros/bolsa/temas/6334370-proxima-salida-bolsa-puig?page=30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«Próxima salida a bolsa de Puig», página 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https://www.rankia.com/foros/bolsa/temas/6334370-proxima-salida-bolsa-puig?page=29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de clase B de Puig Brands, la única que cotiza (Bolsas españolas, ticker PUIG), en euros; precio de cierre del viernes 9-oct-2026 (18,08 EUR), porque el corte cae en domingo [51]. Las acciones de clase A (393,4 M, 5 votos cada una) no cotizan y son de la familia Puig; se valoran igual que las B porque tienen los mismos derechos económicos [2, 31]. Acciones: 563,3 M (568,2 M menos 4,9 M de autocartera), sin dilución [2]. Cuentas auditadas solo desde 2021 (estados con fines especiales de la OPV): no hay cinco ejercicios anteriores a 2021 con balance y flujos [5]. EBITDA del informe = el «ajustado» de la empresa, sin «otros ingresos y gastos operativos» (costes de la OPV en 2024, plusvalía de una fábrica en 2025) [1]. El resultado de las participadas (ISDIN, Lonia, Granado) va fuera del EBITDA y se valora en el puente. El puente es el del 30-jun-2026, con la deuda estacionalmente alta: el circulante consumió 484 M en el semestre y se pagaron 237,5 M de dividendo y 372 M por minoritarios y earn-outs de Charlotte Tilbury [2]. La compra del 50 % restante de ISDIN (1.200 M, cierre previsto en el 1T27) no está ni en el puente ni en la proyección [39].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Puig Brands, S.A. (PUIG)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Hoja1!$B$2:$B$10</c:f>
              <c:numCache>
                <c:formatCode>#,##0.0</c:formatCode>
                <c:ptCount val="9"/>
                <c:pt idx="0">
                  <c:v>13.11</c:v>
                </c:pt>
                <c:pt idx="1">
                  <c:v>16</c:v>
                </c:pt>
                <c:pt idx="2">
                  <c:v>19.22</c:v>
                </c:pt>
                <c:pt idx="3">
                  <c:v>25.48</c:v>
                </c:pt>
                <c:pt idx="4">
                  <c:v>32.27</c:v>
                </c:pt>
                <c:pt idx="5">
                  <c:v>17.31</c:v>
                </c:pt>
                <c:pt idx="6">
                  <c:v>12.92</c:v>
                </c:pt>
                <c:pt idx="7">
                  <c:v>21.82</c:v>
                </c:pt>
                <c:pt idx="8">
                  <c:v>17.99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Hoja1!$C$2:$C$10</c:f>
              <c:numCache>
                <c:formatCode>#,##0.0</c:formatCode>
                <c:ptCount val="9"/>
                <c:pt idx="0">
                  <c:v>5.780000000000001</c:v>
                </c:pt>
                <c:pt idx="1">
                  <c:v>6</c:v>
                </c:pt>
                <c:pt idx="2">
                  <c:v>8.25</c:v>
                </c:pt>
                <c:pt idx="3">
                  <c:v>5.34</c:v>
                </c:pt>
                <c:pt idx="4">
                  <c:v>9.049999999999997</c:v>
                </c:pt>
                <c:pt idx="5">
                  <c:v>6.880000000000003</c:v>
                </c:pt>
                <c:pt idx="6">
                  <c:v>10.610000000000001</c:v>
                </c:pt>
                <c:pt idx="7">
                  <c:v>5.579999999999998</c:v>
                </c:pt>
                <c:pt idx="8">
                  <c:v>0.18000000000000327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Fragancias y Moda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1902</c:v>
                </c:pt>
                <c:pt idx="1">
                  <c:v>2671.5</c:v>
                </c:pt>
                <c:pt idx="2">
                  <c:v>3115</c:v>
                </c:pt>
                <c:pt idx="3">
                  <c:v>3513.3</c:v>
                </c:pt>
                <c:pt idx="4">
                  <c:v>3646.1</c:v>
                </c:pt>
              </c:numCache>
            </c:numRef>
          </c:val>
        </c:ser>
        <c:ser>
          <c:idx val="1"/>
          <c:order val="1"/>
          <c:tx>
            <c:strRef>
              <c:f>Hoja1!$C$1</c:f>
              <c:strCache>
                <c:ptCount val="1"/>
                <c:pt idx="0">
                  <c:v>Maquillaje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413.3</c:v>
                </c:pt>
                <c:pt idx="1">
                  <c:v>626</c:v>
                </c:pt>
                <c:pt idx="2">
                  <c:v>773.1</c:v>
                </c:pt>
                <c:pt idx="3">
                  <c:v>763</c:v>
                </c:pt>
                <c:pt idx="4">
                  <c:v>844.8</c:v>
                </c:pt>
              </c:numCache>
            </c:numRef>
          </c:val>
        </c:ser>
        <c:ser>
          <c:idx val="2"/>
          <c:order val="2"/>
          <c:tx>
            <c:strRef>
              <c:f>Hoja1!$D$1</c:f>
              <c:strCache>
                <c:ptCount val="1"/>
                <c:pt idx="0">
                  <c:v>Cuidado de la piel</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274.9</c:v>
                </c:pt>
                <c:pt idx="1">
                  <c:v>329.1</c:v>
                </c:pt>
                <c:pt idx="2">
                  <c:v>430.9</c:v>
                </c:pt>
                <c:pt idx="3">
                  <c:v>513.5</c:v>
                </c:pt>
                <c:pt idx="4">
                  <c:v>551.2</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-5.2</c:v>
                </c:pt>
                <c:pt idx="1">
                  <c:v>-7.1</c:v>
                </c:pt>
                <c:pt idx="2">
                  <c:v>-14.9</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Fragancias y Moda</c:v>
                </c:pt>
                <c:pt idx="1">
                  <c:v>Maquillaje</c:v>
                </c:pt>
                <c:pt idx="2">
                  <c:v>Cuidado de la piel</c:v>
                </c:pt>
                <c:pt idx="3">
                  <c:v>Eliminaciones</c:v>
                </c:pt>
              </c:strCache>
            </c:strRef>
          </c:cat>
          <c:val>
            <c:numRef>
              <c:f>Hoja1!$B$2:$B$5</c:f>
              <c:numCache>
                <c:formatCode>General</c:formatCode>
                <c:ptCount val="4"/>
                <c:pt idx="0">
                  <c:v>72.3</c:v>
                </c:pt>
                <c:pt idx="1">
                  <c:v>16.8</c:v>
                </c:pt>
                <c:pt idx="2">
                  <c:v>10.9</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c:v>
                </c:pt>
                <c:pt idx="2">
                  <c:v>Asia-Pacífico</c:v>
                </c:pt>
              </c:strCache>
            </c:strRef>
          </c:cat>
          <c:val>
            <c:numRef>
              <c:f>Hoja1!$B$2:$B$4</c:f>
              <c:numCache>
                <c:formatCode>0"%"</c:formatCode>
                <c:ptCount val="3"/>
                <c:pt idx="0">
                  <c:v>54.6</c:v>
                </c:pt>
                <c:pt idx="1">
                  <c:v>34.9</c:v>
                </c:pt>
                <c:pt idx="2">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(perfumería selectiva mundial a precios netos de fabricante; estimación propia; 2026e-2030e al 5 % anual))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22400</c:v>
                </c:pt>
                <c:pt idx="1">
                  <c:v>25133</c:v>
                </c:pt>
                <c:pt idx="2">
                  <c:v>28000</c:v>
                </c:pt>
                <c:pt idx="3">
                  <c:v>29400</c:v>
                </c:pt>
                <c:pt idx="4">
                  <c:v>30870</c:v>
                </c:pt>
                <c:pt idx="5">
                  <c:v>32414</c:v>
                </c:pt>
                <c:pt idx="6">
                  <c:v>34034</c:v>
                </c:pt>
                <c:pt idx="7">
                  <c:v>35736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Puig</c:v>
                </c:pt>
                <c:pt idx="1">
                  <c:v>L'Oréal Luxe (división de L'Oréal)</c:v>
                </c:pt>
                <c:pt idx="2">
                  <c:v>LVMH Perfumes y Cosméticos</c:v>
                </c:pt>
                <c:pt idx="3">
                  <c:v>Estée Lauder Companies</c:v>
                </c:pt>
                <c:pt idx="4">
                  <c:v>Coty</c:v>
                </c:pt>
                <c:pt idx="5">
                  <c:v>Interparfums Inc.</c:v>
                </c:pt>
                <c:pt idx="6">
                  <c:v>Shiseido</c:v>
                </c:pt>
                <c:pt idx="7">
                  <c:v>Beiersdorf</c:v>
                </c:pt>
              </c:strCache>
            </c:strRef>
          </c:cat>
          <c:val>
            <c:numRef>
              <c:f>Hoja1!$B$2:$B$9</c:f>
              <c:numCache>
                <c:formatCode>0.0"%"</c:formatCode>
                <c:ptCount val="8"/>
                <c:pt idx="0">
                  <c:v>16.1</c:v>
                </c:pt>
                <c:pt idx="1">
                  <c:v>22.4</c:v>
                </c:pt>
                <c:pt idx="2">
                  <c:v>8.9</c:v>
                </c:pt>
                <c:pt idx="3">
                  <c:v>5.2</c:v>
                </c:pt>
                <c:pt idx="4">
                  <c:v>-1.4</c:v>
                </c:pt>
                <c:pt idx="5">
                  <c:v>18.2</c:v>
                </c:pt>
                <c:pt idx="6">
                  <c:v>-2.9</c:v>
                </c:pt>
                <c:pt idx="7">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2585</c:v>
                </c:pt>
                <c:pt idx="1">
                  <c:v>3619.6</c:v>
                </c:pt>
                <c:pt idx="2">
                  <c:v>4304.1</c:v>
                </c:pt>
                <c:pt idx="3">
                  <c:v>4789.8</c:v>
                </c:pt>
                <c:pt idx="4">
                  <c:v>5042</c:v>
                </c:pt>
                <c:pt idx="5">
                  <c:v>5218</c:v>
                </c:pt>
                <c:pt idx="6">
                  <c:v>5505</c:v>
                </c:pt>
                <c:pt idx="7">
                  <c:v>5808</c:v>
                </c:pt>
                <c:pt idx="8">
                  <c:v>6099</c:v>
                </c:pt>
                <c:pt idx="9">
                  <c:v>6373</c:v>
                </c:pt>
                <c:pt idx="10">
                  <c:v>6628</c:v>
                </c:pt>
                <c:pt idx="11">
                  <c:v>6860</c:v>
                </c:pt>
                <c:pt idx="12">
                  <c:v>7066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458.1</c:v>
                </c:pt>
                <c:pt idx="1">
                  <c:v>681.4</c:v>
                </c:pt>
                <c:pt idx="2">
                  <c:v>862.6999999999999</c:v>
                </c:pt>
                <c:pt idx="3">
                  <c:v>969.2</c:v>
                </c:pt>
                <c:pt idx="4">
                  <c:v>1048.2</c:v>
                </c:pt>
                <c:pt idx="5">
                  <c:v>1080</c:v>
                </c:pt>
                <c:pt idx="6">
                  <c:v>1151</c:v>
                </c:pt>
                <c:pt idx="7">
                  <c:v>1226</c:v>
                </c:pt>
                <c:pt idx="8">
                  <c:v>1299</c:v>
                </c:pt>
                <c:pt idx="9">
                  <c:v>1370</c:v>
                </c:pt>
                <c:pt idx="10">
                  <c:v>1425</c:v>
                </c:pt>
                <c:pt idx="11">
                  <c:v>1475</c:v>
                </c:pt>
                <c:pt idx="12">
                  <c:v>1519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72.9</c:v>
                </c:pt>
                <c:pt idx="1">
                  <c:v>74.4</c:v>
                </c:pt>
                <c:pt idx="2">
                  <c:v>74.7</c:v>
                </c:pt>
                <c:pt idx="3">
                  <c:v>74.9</c:v>
                </c:pt>
                <c:pt idx="4">
                  <c:v>75.1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17.7</c:v>
                </c:pt>
                <c:pt idx="1">
                  <c:v>18.8</c:v>
                </c:pt>
                <c:pt idx="2">
                  <c:v>20</c:v>
                </c:pt>
                <c:pt idx="3">
                  <c:v>20.2</c:v>
                </c:pt>
                <c:pt idx="4">
                  <c:v>20.8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13.6</c:v>
                </c:pt>
                <c:pt idx="1">
                  <c:v>14.8</c:v>
                </c:pt>
                <c:pt idx="2">
                  <c:v>16.1</c:v>
                </c:pt>
                <c:pt idx="3">
                  <c:v>15.8</c:v>
                </c:pt>
                <c:pt idx="4">
                  <c:v>16.1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8.5</c:v>
                </c:pt>
                <c:pt idx="1">
                  <c:v>11</c:v>
                </c:pt>
                <c:pt idx="2">
                  <c:v>10.8</c:v>
                </c:pt>
                <c:pt idx="3">
                  <c:v>11.1</c:v>
                </c:pt>
                <c:pt idx="4">
                  <c:v>11.8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9.6</c:v>
                </c:pt>
                <c:pt idx="1">
                  <c:v>12.7</c:v>
                </c:pt>
                <c:pt idx="2">
                  <c:v>5.9</c:v>
                </c:pt>
                <c:pt idx="3">
                  <c:v>4.7</c:v>
                </c:pt>
                <c:pt idx="4">
                  <c:v>2.4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8.5</c:v>
                </c:pt>
                <c:pt idx="2">
                  <c:v>7.6</c:v>
                </c:pt>
                <c:pt idx="4">
                  <c:v>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45</c:v>
                </c:pt>
                <c:pt idx="1">
                  <c:v>39</c:v>
                </c:pt>
                <c:pt idx="2">
                  <c:v>41</c:v>
                </c:pt>
                <c:pt idx="3">
                  <c:v>43</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189</c:v>
                </c:pt>
                <c:pt idx="1">
                  <c:v>247</c:v>
                </c:pt>
                <c:pt idx="2">
                  <c:v>264</c:v>
                </c:pt>
                <c:pt idx="3">
                  <c:v>219</c:v>
                </c:pt>
                <c:pt idx="4">
                  <c:v>202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87</c:v>
                </c:pt>
                <c:pt idx="1">
                  <c:v>94</c:v>
                </c:pt>
                <c:pt idx="2">
                  <c:v>71</c:v>
                </c:pt>
                <c:pt idx="3">
                  <c:v>70</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376.9</c:v>
                </c:pt>
                <c:pt idx="1">
                  <c:v>186.00000000000003</c:v>
                </c:pt>
                <c:pt idx="2">
                  <c:v>261.40000000000003</c:v>
                </c:pt>
                <c:pt idx="3">
                  <c:v>411.00000000000006</c:v>
                </c:pt>
                <c:pt idx="4">
                  <c:v>520.8000000000001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399.5</c:v>
                </c:pt>
                <c:pt idx="2">
                  <c:v>465.2</c:v>
                </c:pt>
                <c:pt idx="3">
                  <c:v>530.6</c:v>
                </c:pt>
                <c:pt idx="4">
                  <c:v>593.7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13.8</c:v>
                </c:pt>
                <c:pt idx="1">
                  <c:v>22.3</c:v>
                </c:pt>
                <c:pt idx="2">
                  <c:v>22</c:v>
                </c:pt>
                <c:pt idx="3">
                  <c:v>16.3</c:v>
                </c:pt>
                <c:pt idx="4">
                  <c:v>13.1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21.2</c:v>
                </c:pt>
                <c:pt idx="1">
                  <c:v>40.2</c:v>
                </c:pt>
                <c:pt idx="2">
                  <c:v>49.1</c:v>
                </c:pt>
                <c:pt idx="3">
                  <c:v>23.7</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1.06</c:v>
                </c:pt>
                <c:pt idx="1">
                  <c:v>2.03</c:v>
                </c:pt>
                <c:pt idx="2">
                  <c:v>1.86</c:v>
                </c:pt>
                <c:pt idx="3">
                  <c:v>1.21</c:v>
                </c:pt>
                <c:pt idx="4">
                  <c:v>0.69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634.2</c:v>
                </c:pt>
                <c:pt idx="1">
                  <c:v>482.7</c:v>
                </c:pt>
                <c:pt idx="2">
                  <c:v>175.6</c:v>
                </c:pt>
                <c:pt idx="3">
                  <c:v>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25.5</c:v>
                </c:pt>
                <c:pt idx="1">
                  <c:v>882.4</c:v>
                </c:pt>
                <c:pt idx="2">
                  <c:v>51.9</c:v>
                </c:pt>
                <c:pt idx="3">
                  <c:v>1076.8</c:v>
                </c:pt>
                <c:pt idx="4">
                  <c:v>13.5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20.5</c:v>
                </c:pt>
                <c:pt idx="1">
                  <c:v>132</c:v>
                </c:pt>
                <c:pt idx="2">
                  <c:v>181.3</c:v>
                </c:pt>
                <c:pt idx="3">
                  <c:v>192.5</c:v>
                </c:pt>
                <c:pt idx="4">
                  <c:v>213.8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108.4</c:v>
                </c:pt>
                <c:pt idx="3">
                  <c:v>0.4</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2</c:v>
                </c:pt>
                <c:pt idx="1">
                  <c:v>1</c:v>
                </c:pt>
                <c:pt idx="2">
                  <c:v>7</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Exea Quorum, S.L. (familia Puig), a través de Exea Inversión Empresarial, S.L.</c:v>
                </c:pt>
                <c:pt idx="1">
                  <c:v>Autocartera</c:v>
                </c:pt>
                <c:pt idx="2">
                  <c:v>Consejo de administración (participación directa e indirecta)</c:v>
                </c:pt>
                <c:pt idx="3">
                  <c:v>Capital flotante estimado</c:v>
                </c:pt>
              </c:strCache>
            </c:strRef>
          </c:cat>
          <c:val>
            <c:numRef>
              <c:f>Hoja1!$B$2:$B$5</c:f>
              <c:numCache>
                <c:formatCode>0.0"%"</c:formatCode>
                <c:ptCount val="4"/>
                <c:pt idx="0">
                  <c:v>74.4</c:v>
                </c:pt>
                <c:pt idx="1">
                  <c:v>0.86</c:v>
                </c:pt>
                <c:pt idx="3">
                  <c:v>23.96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-16.6</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Puig</c:v>
                </c:pt>
                <c:pt idx="1">
                  <c:v>L'Oréal</c:v>
                </c:pt>
                <c:pt idx="2">
                  <c:v>Estée Lauder</c:v>
                </c:pt>
                <c:pt idx="3">
                  <c:v>Coty</c:v>
                </c:pt>
                <c:pt idx="4">
                  <c:v>Interparfums SA</c:v>
                </c:pt>
                <c:pt idx="5">
                  <c:v>Inter Parfums Inc</c:v>
                </c:pt>
                <c:pt idx="6">
                  <c:v>Shiseido</c:v>
                </c:pt>
                <c:pt idx="7">
                  <c:v>Beiersdorf</c:v>
                </c:pt>
              </c:strCache>
            </c:strRef>
          </c:cat>
          <c:val>
            <c:numRef>
              <c:f>Hoja1!$B$2:$B$9</c:f>
              <c:numCache>
                <c:formatCode>0.0"x"</c:formatCode>
                <c:ptCount val="8"/>
                <c:pt idx="0">
                  <c:v>9.6</c:v>
                </c:pt>
                <c:pt idx="1">
                  <c:v>17.9</c:v>
                </c:pt>
                <c:pt idx="2">
                  <c:v>14.1</c:v>
                </c:pt>
                <c:pt idx="3">
                  <c:v>7.3</c:v>
                </c:pt>
                <c:pt idx="4">
                  <c:v>14.4</c:v>
                </c:pt>
                <c:pt idx="5">
                  <c:v>12.3</c:v>
                </c:pt>
                <c:pt idx="6">
                  <c:v>10.9</c:v>
                </c:pt>
                <c:pt idx="7">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Puig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9.6</c:v>
                </c:pt>
              </c:numCache>
            </c:numRef>
          </c:yVal>
          <c:smooth val="0"/>
        </c:ser>
        <c:ser>
          <c:idx val="1"/>
          <c:order val="1"/>
          <c:tx>
            <c:strRef>
              <c:f>Hoja1!$A$3</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17.9</c:v>
                </c:pt>
              </c:numCache>
            </c:numRef>
          </c:yVal>
          <c:smooth val="0"/>
        </c:ser>
        <c:ser>
          <c:idx val="2"/>
          <c:order val="2"/>
          <c:tx>
            <c:strRef>
              <c:f>Hoja1!$A$4</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14.1</c:v>
                </c:pt>
              </c:numCache>
            </c:numRef>
          </c:yVal>
          <c:smooth val="0"/>
        </c:ser>
        <c:ser>
          <c:idx val="3"/>
          <c:order val="3"/>
          <c:tx>
            <c:strRef>
              <c:f>Hoja1!$A$5</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-3.1</c:v>
                </c:pt>
              </c:numCache>
            </c:numRef>
          </c:xVal>
          <c:yVal>
            <c:numRef>
              <c:f>Hoja1!$C$5</c:f>
              <c:numCache>
                <c:formatCode>0.0"x"</c:formatCode>
                <c:ptCount val="1"/>
                <c:pt idx="0">
                  <c:v>7.3</c:v>
                </c:pt>
              </c:numCache>
            </c:numRef>
          </c:yVal>
          <c:smooth val="0"/>
        </c:ser>
        <c:ser>
          <c:idx val="4"/>
          <c:order val="4"/>
          <c:tx>
            <c:strRef>
              <c:f>Hoja1!$A$6</c:f>
              <c:strCache>
                <c:ptCount val="1"/>
                <c:pt idx="0">
                  <c:v>Interparfums 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c:v>
                </c:pt>
              </c:numCache>
            </c:numRef>
          </c:xVal>
          <c:yVal>
            <c:numRef>
              <c:f>Hoja1!$C$6</c:f>
              <c:numCache>
                <c:formatCode>0.0"x"</c:formatCode>
                <c:ptCount val="1"/>
                <c:pt idx="0">
                  <c:v>14.4</c:v>
                </c:pt>
              </c:numCache>
            </c:numRef>
          </c:yVal>
          <c:smooth val="0"/>
        </c:ser>
        <c:ser>
          <c:idx val="5"/>
          <c:order val="5"/>
          <c:tx>
            <c:strRef>
              <c:f>Hoja1!$A$7</c:f>
              <c:strCache>
                <c:ptCount val="1"/>
                <c:pt idx="0">
                  <c:v>Inter Parfums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c:v>
                </c:pt>
              </c:numCache>
            </c:numRef>
          </c:xVal>
          <c:yVal>
            <c:numRef>
              <c:f>Hoja1!$C$7</c:f>
              <c:numCache>
                <c:formatCode>0.0"x"</c:formatCode>
                <c:ptCount val="1"/>
                <c:pt idx="0">
                  <c:v>12.3</c:v>
                </c:pt>
              </c:numCache>
            </c:numRef>
          </c:yVal>
          <c:smooth val="0"/>
        </c:ser>
        <c:ser>
          <c:idx val="6"/>
          <c:order val="6"/>
          <c:tx>
            <c:strRef>
              <c:f>Hoja1!$A$8</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3.8</c:v>
                </c:pt>
              </c:numCache>
            </c:numRef>
          </c:xVal>
          <c:yVal>
            <c:numRef>
              <c:f>Hoja1!$C$8</c:f>
              <c:numCache>
                <c:formatCode>0.0"x"</c:formatCode>
                <c:ptCount val="1"/>
                <c:pt idx="0">
                  <c:v>10.9</c:v>
                </c:pt>
              </c:numCache>
            </c:numRef>
          </c:yVal>
          <c:smooth val="0"/>
        </c:ser>
        <c:ser>
          <c:idx val="7"/>
          <c:order val="7"/>
          <c:tx>
            <c:strRef>
              <c:f>Hoja1!$A$9</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0.2</c:v>
                </c:pt>
              </c:numCache>
            </c:numRef>
          </c:xVal>
          <c:yVal>
            <c:numRef>
              <c:f>Hoja1!$C$9</c:f>
              <c:numCache>
                <c:formatCode>0.0"x"</c:formatCode>
                <c:ptCount val="1"/>
                <c:pt idx="0">
                  <c:v>9.4</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ISDIN (50 % restante)</c:v>
                </c:pt>
                <c:pt idx="1">
                  <c:v>Kering Beauté (Creed y licencias a 50 años de Gucci, Bottega Veneta y Balenciaga)</c:v>
                </c:pt>
                <c:pt idx="2">
                  <c:v>Rhode</c:v>
                </c:pt>
                <c:pt idx="3">
                  <c:v>Creed</c:v>
                </c:pt>
                <c:pt idx="4">
                  <c:v>Aesop</c:v>
                </c:pt>
                <c:pt idx="5">
                  <c:v>Tom Ford (marca, con Tom Ford Beauty)</c:v>
                </c:pt>
                <c:pt idx="6">
                  <c:v>Byredo (77 %)</c:v>
                </c:pt>
                <c:pt idx="7">
                  <c:v>Wella, Clairol, OPI y ghd (60 %)</c:v>
                </c:pt>
              </c:strCache>
            </c:strRef>
          </c:cat>
          <c:val>
            <c:numRef>
              <c:f>Hoja1!$B$2:$B$9</c:f>
              <c:numCache>
                <c:formatCode>0.0"x"</c:formatCode>
                <c:ptCount val="8"/>
                <c:pt idx="7">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536</c:v>
                </c:pt>
                <c:pt idx="1">
                  <c:v>562</c:v>
                </c:pt>
                <c:pt idx="2">
                  <c:v>603</c:v>
                </c:pt>
                <c:pt idx="3">
                  <c:v>649</c:v>
                </c:pt>
                <c:pt idx="4">
                  <c:v>696</c:v>
                </c:pt>
                <c:pt idx="5">
                  <c:v>732</c:v>
                </c:pt>
                <c:pt idx="6">
                  <c:v>764</c:v>
                </c:pt>
                <c:pt idx="7">
                  <c:v>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3690</c:v>
                </c:pt>
                <c:pt idx="1">
                  <c:v>8334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18,08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12.92</c:v>
                </c:pt>
                <c:pt idx="1">
                  <c:v>20.14</c:v>
                </c:pt>
                <c:pt idx="2">
                  <c:v>23.53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Hoja1!$B$2:$B$10</c:f>
              <c:numCache>
                <c:formatCode>#,##0.0</c:formatCode>
                <c:ptCount val="9"/>
                <c:pt idx="0">
                  <c:v>13.11</c:v>
                </c:pt>
                <c:pt idx="1">
                  <c:v>16</c:v>
                </c:pt>
                <c:pt idx="2">
                  <c:v>19.22</c:v>
                </c:pt>
                <c:pt idx="3">
                  <c:v>25.48</c:v>
                </c:pt>
                <c:pt idx="4">
                  <c:v>32.27</c:v>
                </c:pt>
                <c:pt idx="5">
                  <c:v>17.31</c:v>
                </c:pt>
                <c:pt idx="6">
                  <c:v>12.92</c:v>
                </c:pt>
                <c:pt idx="7">
                  <c:v>21.82</c:v>
                </c:pt>
                <c:pt idx="8">
                  <c:v>17.99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Hoja1!$C$2:$C$10</c:f>
              <c:numCache>
                <c:formatCode>#,##0.0</c:formatCode>
                <c:ptCount val="9"/>
                <c:pt idx="0">
                  <c:v>5.780000000000001</c:v>
                </c:pt>
                <c:pt idx="1">
                  <c:v>6</c:v>
                </c:pt>
                <c:pt idx="2">
                  <c:v>8.25</c:v>
                </c:pt>
                <c:pt idx="3">
                  <c:v>5.34</c:v>
                </c:pt>
                <c:pt idx="4">
                  <c:v>9.049999999999997</c:v>
                </c:pt>
                <c:pt idx="5">
                  <c:v>6.880000000000003</c:v>
                </c:pt>
                <c:pt idx="6">
                  <c:v>10.610000000000001</c:v>
                </c:pt>
                <c:pt idx="7">
                  <c:v>5.579999999999998</c:v>
                </c:pt>
                <c:pt idx="8">
                  <c:v>0.18000000000000327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