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71,51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79,53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+11,2 % (base +19,1 %)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73,59 USD · mercado 80,42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146.338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71,51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146.338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143.352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1.300 M USD/día (18,0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79,53 USD</w:t>
      </w:r>
      <w:r>
        <w:t xml:space="preserve"> frente a 71,51 · Rentabilidad a 12 meses </w:t>
      </w:r>
      <w:r>
        <w:rPr>
          <w:b/>
          <w:bCs/>
        </w:rPr>
        <w:t xml:space="preserve">+11,2 % (base +19,1 %)</w:t>
      </w:r>
      <w:r>
        <w:t xml:space="preserve"> · Valor intrínseco 73,59 USD · con la prima implícita del mercado: 80,42 (+12,5 %) · Alcista / bajista +36,1 % / -40,8 %</w:t>
      </w:r>
    </w:p>
    <w:p>
      <w:pPr>
        <w:spacing w:after="100"/>
      </w:pPr>
      <w:r>
        <w:rPr>
          <w:b/>
        </w:rPr>
        <w:t xml:space="preserve">La recomendación y por qué.</w:t>
      </w:r>
      <w:r>
        <w:t xml:space="preserve"> Mantener, con convicción media. El valor objetivo es de 73,59 USD frente a un precio de 71,51 (cierre del 9-oct-2026): una rentabilidad total esperada del 2,9 %, sin dividendo, con un alcista de +36,1 % y un bajista de −40,8 % (asimetría de 0,88 veces). Con la prima de riesgo que hoy pide el mercado (4,2 %), el objetivo sube a 80,42 USD y la rentabilidad al 12,5 %, por debajo del 15 % que pide Comprar. Esta es la segunda iteración: desde la del 8-oct el precio ha subido un 1,8 % y no hay hechos nuevos, así que la conclusión no cambia. La convicción es media, la que sugieren los criterios (las dos reglas dan Mantener, lejos de sus umbrales); subiría si Waymo o Tesla firman con Uber en sus grandes ciudades y bajaría si lanzan su propia aplicación en ellas.</w:t>
      </w:r>
    </w:p>
    <w:p>
      <w:pPr>
        <w:spacing w:after="100"/>
      </w:pPr>
      <w:r>
        <w:rPr>
          <w:b/>
        </w:rPr>
        <w:t xml:space="preserve">El negocio.</w:t>
      </w:r>
      <w:r>
        <w:t xml:space="preserve"> Uber tiene el 51,5 % del mercado mundial de VTC [29] y un ROIC del 19,9 %, el doble de su WACC del 10,68 %. Su calidad sostiene el crecimiento del caso base (9,3 % anual) sin apenas capital, porque es una plataforma de activos ligeros. Su margen EBIT contable de 2025 (10,8 %) supera con holgura a DoorDash (5,3 %) y Lyft (−3,0 %) [18, 19]. Las reservas brutas crecieron un 22 % a tipo constante en el 2T26 y la guía del 3T26 apunta a un 18-22 % [4]. La amenaza es concreta: Waymo opera en 15 ciudades de EE. UU., la mayoría con aplicación propia; Tesla, en seis metrópolis [32, 34, 35].</w:t>
      </w:r>
    </w:p>
    <w:p>
      <w:pPr>
        <w:spacing w:after="100"/>
      </w:pPr>
      <w:r>
        <w:rPr>
          <w:b/>
        </w:rPr>
        <w:t xml:space="preserve">Finanzas.</w:t>
      </w:r>
      <w:r>
        <w:t xml:space="preserve"> El flujo libre que publica Uber (10.116 M USD en los doce meses a junio) está inflado: no resta la remuneración en acciones (1.938 M) y suma reservas de seguros con caja restringida [1, 4]. La deuda neta ajustada es de 8.288 M USD (1,1 veces el EBITDA), antes de financiar Delivery Hero: unos 14.800 M USD por el 100 %, con cierre en el 2S27 [87].</w:t>
      </w:r>
    </w:p>
    <w:p>
      <w:pPr>
        <w:spacing w:after="100"/>
      </w:pPr>
      <w:r>
        <w:rPr>
          <w:b/>
        </w:rPr>
        <w:t xml:space="preserve">Equipo y gobierno.</w:t>
      </w:r>
      <w:r>
        <w:t xml:space="preserve"> Suma. La guía trimestral se ha cumplido o superado en los seis últimos trimestres y el plan a tres años de 2024 va por delante (EBITDA ajustado +47 % anual en 2023-2025) [4, 15, 16, 17, 53, 54, 55]. Consejo con 9 de 10 independientes y una acción, un voto. El primer ejecutivo y el presidente compraron 15,3 M USD de acciones en septiembre [62].</w:t>
      </w:r>
    </w:p>
    <w:p>
      <w:pPr>
        <w:spacing w:after="100"/>
      </w:pPr>
      <w:r>
        <w:rPr>
          <w:b/>
        </w:rPr>
        <w:t xml:space="preserve">Valoración.</w:t>
      </w:r>
      <w:r>
        <w:t xml:space="preserve"> El DCF vale 74,58 USD y los comparables, con el EBITDA de todos después de remuneración en acciones, 76,52 (EV/EBITDA) y 82,58 (PER); la suma de partes 67,82. El DCF inverso dice que el precio descuenta un crecimiento anual de los ingresos del 8,4 % en 2027e-2035e, frente al 9,1 % de nuestra base, que coincide con el consenso a ±2 % hasta 2028. No discrepamos del consenso en las cifras: el precio ya descuenta una desaceleración algo más rápida, que es la forma en que el mercado pone precio al coche autónomo.</w:t>
      </w:r>
    </w:p>
    <w:p>
      <w:pPr>
        <w:spacing w:after="100"/>
      </w:pPr>
      <w:r>
        <w:rPr>
          <w:b/>
        </w:rPr>
        <w:t xml:space="preserve">Riesgos y catalizadores.</w:t>
      </w:r>
      <w:r>
        <w:t xml:space="preserve"> El riesgo mayor es la desintermediación: en el bajista (Waymo y Tesla con aplicación propia en las grandes ciudades) el valor cae a 42,31 USD. Dos puntos menos de margen bajan el DCF a 65,41 USD; medio punto más de WACC, a 69,89. La multa neerlandesa de 825 M EUR del 8-oct (0,45 USD por acción) ya está en el puente [41]. Catalizadores: resultados del 3T26 el 4-nov [99], la directiva europea de plataformas el 2-dic y el cierre de Delivery Hero en el 2S27.</w:t>
      </w:r>
    </w:p>
    <w:p>
      <w:pPr>
        <w:spacing w:after="100"/>
      </w:pPr>
      <w:r>
        <w:rPr>
          <w:b/>
        </w:rPr>
        <w:t xml:space="preserve">Qué cambiaría la decisión.</w:t>
      </w:r>
      <w:r>
        <w:t xml:space="preserve"> Compraríamos por debajo de 69,91 USD y venderíamos por encima de 89,41. Pasaríamos a Comprar si las reservas brutas de Mobility siguen creciendo por encima del 18 % a tipo constante mientras Waymo se expande, y a Vender si el crecimiento de viajes del grupo baja del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79,53 USD</w:t>
      </w:r>
      <w:r>
        <w:t xml:space="preserve"> (rentabilidad +11,2 % (base +19,1 %)) · Valor intrínseco: 73,59 USD (+2,9 % sobre 71,51) · con la prima implícita del mercado: 80,42 (+12,5 %)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 La red de dos lados y Uber One (46 millones de miembros a cierre de 2025) hacen que el usuario de Movilidad y Reparto gaste tres veces más [1].</w:t>
      </w:r>
    </w:p>
    <w:p>
      <w:pPr>
        <w:spacing w:after="100"/>
      </w:pPr>
      <w:r>
        <w:t xml:space="preserve">El precio (71,51 USD, 14,0 veces el EBITDA contable de los próximos 12 meses) descuenta un crecimiento anual de los ingresos del 8,4 % entre 2027 y 2035, frente al 9,1 % que proyectamos y que coincide con el consenso. Es el múltiplo más bajo desde que es rentable, en 2023: 19,0 veces el EBITDA de los últimos 12 meses frente a una media de 37,4, y está por debajo de la mediana de sus comparables (15,0 veces).</w:t>
      </w:r>
    </w:p>
    <w:p>
      <w:pPr>
        <w:spacing w:after="100"/>
      </w:pPr>
      <w:r>
        <w:t xml:space="preserve">El mercado acierta al pedir un descuento: Waymo y Tesla ya operan sin conductor con aplicación propia [32, 35], y si el coche autónomo hace del viaje una mercancía barata, la red pierde poder de precio. Para invertir hay que creer que Uber será la red de demanda que los fabricantes necesitan para llenar sus flotas, como sugieren sus más de 30 socios y su cuota al alza en San Francisco y Los Ángeles [22]. Hoy no hay datos para demostrarlo ni para descartarlo.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2,99 = 50,23 · 19,8x × 4,30 = 85,14 · 19,8x × 4,93 = 97,61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frente a 10,7 %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69,16 y 88,37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88,37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69,91 USD sin cambios en las cifras, pasaríamos a Comprar.</w:t>
      </w:r>
    </w:p>
    <w:p>
      <w:pPr>
        <w:pStyle w:val="ListParagraph"/>
        <w:numPr>
          <w:ilvl w:val="0"/>
          <w:numId w:val="2"/>
        </w:numPr>
        <w:spacing w:after="60"/>
      </w:pPr>
      <w:r>
        <w:t xml:space="preserve">Si las reservas brutas de Mobility crecen por debajo del 12 % a tipo constante dos trimestres seguidos, revisaríamos el caso base a la baja: con el bajista ganando peso, al precio actual pasaríamos a Vender.</w:t>
      </w:r>
    </w:p>
    <w:p>
      <w:pPr>
        <w:pStyle w:val="ListParagraph"/>
        <w:numPr>
          <w:ilvl w:val="0"/>
          <w:numId w:val="2"/>
        </w:numPr>
        <w:spacing w:after="60"/>
      </w:pPr>
      <w:r>
        <w:t xml:space="preserve">Si Waymo deja de ofrecer sus coches en la red de Uber en Austin o Atlanta, rebajaríamos el valor al de un caso intermedio entre base y bajista.</w:t>
      </w:r>
    </w:p>
    <w:p>
      <w:pPr>
        <w:pStyle w:val="ListParagraph"/>
        <w:numPr>
          <w:ilvl w:val="0"/>
          <w:numId w:val="2"/>
        </w:numPr>
        <w:spacing w:after="60"/>
      </w:pPr>
      <w:r>
        <w:t xml:space="preserve">Si Uber publica la economía del viaje autónomo con un margen por viaje igual o mayor que el del conductor humano, pasaríamos a Comprar.</w:t>
      </w:r>
    </w:p>
    <w:p>
      <w:pPr>
        <w:pStyle w:val="ListParagraph"/>
        <w:numPr>
          <w:ilvl w:val="0"/>
          <w:numId w:val="2"/>
        </w:numPr>
        <w:spacing w:after="60"/>
      </w:pPr>
      <w:r>
        <w:t xml:space="preserve">Si la prima de riesgo implícita del mercado baja del 4 % o la tasa libre baja del 4,75 %, la rentabilidad esperada con la prima del mercado superaría el 15 % y pasaríamos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8,4 % anual en 2027e-2035e, más lento que el 9,1 % de nuestra base, alineada con el consenso hasta 2028, y un riesgo de desintermediación por el coche autónomo que justifica una caída del 30 % desde noviembre de 2025 aunque las cifras se cumplieron trimestre a trimestre [4, 15, 16, 17, 68].</w:t>
      </w:r>
    </w:p>
    <w:p>
      <w:pPr>
        <w:keepNext/>
        <w:spacing w:after="100"/>
      </w:pPr>
      <w:r>
        <w:rPr>
          <w:b/>
          <w:bCs/>
        </w:rPr>
        <w:t xml:space="preserve">Lo que creemos nosotros.</w:t>
      </w:r>
    </w:p>
    <w:p>
      <w:pPr>
        <w:spacing w:after="100"/>
      </w:pPr>
      <w:r>
        <w:t xml:space="preserve">Coincidimos con el consenso en las cifras hasta 2028 (±2 %) y en que el coche autónomo es el riesgo central. Discrepamos en dos detalles: el flujo libre que el mercado usa para la rentabilidad por flujo (7 %) está inflado por la remuneración en acciones y las reservas de seguros, y la compra de Delivery Hero, a 15,8 veces el EBITDA, consume la capacidad de recompra de 2026-2027.</w:t>
      </w:r>
    </w:p>
    <w:p>
      <w:pPr>
        <w:keepNext/>
        <w:spacing w:after="100"/>
      </w:pPr>
      <w:r>
        <w:rPr>
          <w:b/>
          <w:bCs/>
        </w:rPr>
        <w:t xml:space="preserve">Por qué podemos tener razón.</w:t>
      </w:r>
    </w:p>
    <w:p>
      <w:pPr>
        <w:spacing w:after="100"/>
      </w:pPr>
      <w:r>
        <w:t xml:space="preserve">Las dos cosas se ven en los documentos de la SEC: la remuneración en acciones (1.938 M USD en los doce meses a junio) y el aumento de las reservas de seguros (+830 M en 1S26) [1, 4], y la caída de las recompras de 3.019 M en el 1T26 a 510 M en el 2T26 tras anunciar la OPA [3]. No tenemos una visión distinta sobre el coche autónomo: es una pregunta abierta.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Rentabilidad sobre el capital</w:t>
      </w:r>
      <w:r>
        <w:t xml:space="preserve">: ROIC del 19,9 % frente a un WACC del 10,68 %, con un capex del 0,6 % de las ventas.</w:t>
      </w:r>
    </w:p>
    <w:p>
      <w:pPr>
        <w:pStyle w:val="ListParagraph"/>
        <w:numPr>
          <w:ilvl w:val="0"/>
          <w:numId w:val="2"/>
        </w:numPr>
        <w:spacing w:after="60"/>
      </w:pPr>
      <w:r>
        <w:rPr>
          <w:b/>
        </w:rPr>
        <w:t xml:space="preserve">La dirección compra</w:t>
      </w:r>
      <w:r>
        <w:t xml:space="preserve">: 15,3 M USD de compras del primer ejecutivo y el presidente en septiembre de 2026 [62].</w:t>
      </w:r>
    </w:p>
    <w:p>
      <w:pPr>
        <w:pStyle w:val="ListParagraph"/>
        <w:numPr>
          <w:ilvl w:val="0"/>
          <w:numId w:val="2"/>
        </w:numPr>
        <w:spacing w:after="60"/>
      </w:pPr>
      <w:r>
        <w:rPr>
          <w:b/>
        </w:rPr>
        <w:t xml:space="preserve">Cumple lo que promete</w:t>
      </w:r>
      <w:r>
        <w:t xml:space="preserve">: seis trimestres seguidos en o por encima de la guía [4, 15, 16, 17, 53, 54, 55].</w:t>
      </w:r>
    </w:p>
    <w:p>
      <w:pPr>
        <w:pStyle w:val="ListParagraph"/>
        <w:numPr>
          <w:ilvl w:val="0"/>
          <w:numId w:val="2"/>
        </w:numPr>
        <w:spacing w:after="60"/>
      </w:pPr>
      <w:r>
        <w:rPr>
          <w:b/>
        </w:rPr>
        <w:t xml:space="preserve">Precio exigente solo a medias</w:t>
      </w:r>
      <w:r>
        <w:t xml:space="preserve">: 14,0 veces el EBITDA de los próximos 12 meses frente a 15,0 de mediana de sus comparables.</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y más de 500.000 viajes de pago a la semana, con aplicación propia en la mayoría [32, 34].</w:t>
      </w:r>
    </w:p>
    <w:p>
      <w:pPr>
        <w:pStyle w:val="ListParagraph"/>
        <w:numPr>
          <w:ilvl w:val="0"/>
          <w:numId w:val="2"/>
        </w:numPr>
        <w:spacing w:after="60"/>
      </w:pPr>
      <w:r>
        <w:rPr>
          <w:b/>
        </w:rPr>
        <w:t xml:space="preserve">Escenario bajista profundo</w:t>
      </w:r>
      <w:r>
        <w:t xml:space="preserve">: 42,31 USD (−40,8 %) frente a un alcista de 97,29 USD; asimetría de 0,88 veces.</w:t>
      </w:r>
    </w:p>
    <w:p>
      <w:pPr>
        <w:pStyle w:val="ListParagraph"/>
        <w:numPr>
          <w:ilvl w:val="0"/>
          <w:numId w:val="2"/>
        </w:numPr>
        <w:spacing w:after="60"/>
      </w:pPr>
      <w:r>
        <w:rPr>
          <w:b/>
        </w:rPr>
        <w:t xml:space="preserve">Flujo libre inflado</w:t>
      </w:r>
      <w:r>
        <w:t xml:space="preserve">: la remuneración en acciones (1.938 M USD en los doce meses a junio) no resta en el flujo que publica Uber [4].</w:t>
      </w:r>
    </w:p>
    <w:p>
      <w:pPr>
        <w:pStyle w:val="ListParagraph"/>
        <w:numPr>
          <w:ilvl w:val="0"/>
          <w:numId w:val="2"/>
        </w:numPr>
        <w:spacing w:after="60"/>
      </w:pPr>
      <w:r>
        <w:rPr>
          <w:b/>
        </w:rPr>
        <w:t xml:space="preserve">Compra grande y con deuda</w:t>
      </w:r>
      <w:r>
        <w:t xml:space="preserve">: Delivery Hero, unos 14.800 M USD por el 100 % a unas 15,8 veces el EBITDA de 2025 [87].</w:t>
      </w:r>
    </w:p>
    <w:p>
      <w:pPr>
        <w:pStyle w:val="ListParagraph"/>
        <w:numPr>
          <w:ilvl w:val="0"/>
          <w:numId w:val="2"/>
        </w:numPr>
        <w:spacing w:after="60"/>
      </w:pPr>
      <w:r>
        <w:rPr>
          <w:b/>
        </w:rPr>
        <w:t xml:space="preserve">Litigios que se repiten</w:t>
      </w:r>
      <w:r>
        <w:t xml:space="preserve">: reservas legales y regulatorias de 564 M USD en 2025 y 1.123 M en 2024; multa neerlandesa de 825 M EUR el 8-oct-2026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pase a ofrecer su servicio solo en su aplicación en Austin o Atlanta, donde hoy es socio de Uber. La segunda condición es que la compra de Delivery Hero no deje la deuda neta por encima de dos veces el EBITDA ajustado ni pare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llegar al 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para mantener 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recompras, la remuneración en acciones diluye.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 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3,54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10,7 %.</w:t>
      </w:r>
    </w:p>
    <w:p>
      <w:pPr>
        <w:spacing w:after="100"/>
      </w:pPr>
      <w:r>
        <w:t xml:space="preserve">Uber crea valor desde 2024: el ROIC pasó del −19,3 % de 2020 al 7,5 % de 2023 y al 19,9 % de 2025, frente a un WACC del 10,68 %.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MarketScreener [78, 79] y Stock Analysis [80] coinciden: 50 analistas, precio objetivo medio de 100,86 USD (mediana 100,50; rango 70-150) y 41 recomendaciones de compra, 8 de mantener y 1 de venta. Ingresos de 2026e iguales en las dos fuentes (57.890 M USD); BPA ajustado de 2026e de 3,36 USD en Stock Analysis frente a 3,18 en MarketScreener. Movimientos recientes: Wells Fargo sube a 92 desde 89 USD (octubre), Gordon Haskett a 118 desde 113 (septiembre) y Arete rebaja a neutral con 74 USD (septiembre).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31 % en un año y un 16 % en 2026, frente a +16,7 % y +14,9 % del S&amp;P 500 (con dividendos) [68]. El máximo fue de 100,35 USD el 3-nov-2025 y el mínimo de 65,41 USD el 27-jul-2026.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empezó a operar sin conductor en seis metrópolis [32, 34, 35]. En la otra dirección, el primer ejecutivo y el presidente compraron 15,3 M USD de acciones en septiembre de 2026 [62]. La posición corta es baja (2,24 % de las acciones, 2,6 días de volumen) [98] y el capital flotante ronda el 96 %: consejeros y directivos tienen el 3,81 %, casi todo el fondo soberano saudí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19,0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30 %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y precios del 7-oct [81, 82, 83, 84, 85, 86]. Para medir lo mismo que en Uber, el EBITDA de cada comparable se pasa a «después de remuneración en acciones» restando su gasto de 2025 en % de ventas (Lyft 5,1 %, DoorDash 7,7 %, Instacart 9,4 %, Grab 7,2 %, Airbnb 13,0 % y Booking 2,3 %) [18, 19, 20, 21, 101,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15,0x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23,6x / 31,2x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+ 0,70 × crecimiento; R² = 0,43. Para el crecimiento esperado de la empresa (13,3 %), el múltiplo ajustado es 14,8x y el valor por acción, 75,52.</w:t>
      </w:r>
    </w:p>
    <w:p>
      <w:pPr>
        <w:spacing w:after="100"/>
      </w:pPr>
      <w:r>
        <w:t xml:space="preserve">Con el mismo criterio, Uber cotiza a 14,0 veces el EBITDA de los próximos 12 meses frente a una mediana de 15,0 veces, y a 16,9 veces el beneficio frente a 19,5. Aplicadas a Uber, esas medianas dan 76,52 y 82,58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57,04 – 62,21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14,0 veces su EBITDA contable de los próximos 12 meses: el sector se compra más caro de lo que el mercado paga por Uber. Uber es más un comprador que un objetivo: con 144.000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5,28 % (FRED, 7-oct-2026) [74].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6,3 % (tasa libre más el diferencial de 107 pb del bono en euros a 2034) [11]; rating Baa1/BBB+/A- [11]. Peso de la deuda del 10 % a valor de mercado, entre el 8,4 % de junio y el 11,4 % con los bonos de septiembre [3, 73]. WACC del 10,68 %.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(4,78 %). Implica salir a 9,3 veces el EBITDA de 2035e, por debajo de las 14,0 veces a las que cotiza hoy sobre los próximos 12 meses: el valor terminal no supone que el múltiplo actual se mantenga.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 M (4 % del NOPAT)</w:t>
            </w:r>
          </w:p>
        </w:tc>
      </w:tr>
    </w:tbl>
    <w:p>
      <w:pPr>
        <w:spacing w:after="160" w:before="0"/>
      </w:pPr>
    </w:p>
    <w:p>
      <w:pPr>
        <w:spacing w:after="100"/>
      </w:pPr>
      <w:r>
        <w:t xml:space="preserve">La proyección apenas necesita inversión neta de la amortización (reinversión acumulada de 5.039 M, el 4 % del NOPAT, con un capex bruto medio del 1,6 %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+22 % a tipo constante en el 2T26 y guía del 18-22 % en el 3T26; los ingresos crecen menos por el paso a agente en parte del Reino Unido (−2.100 M en el 1S26) y la divisa (reparto entre volumen y precio, estimación propia)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y consumidores activos al alza (208 millones en el 2T26) y Uber One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da +14,3 % en 2028e [78].</w:t>
            </w:r>
          </w:p>
        </w:tc>
      </w:tr>
    </w:tbl>
    <w:p>
      <w:pPr>
        <w:spacing w:after="160" w:before="0"/>
      </w:pPr>
    </w:p>
    <w:p>
      <w:pPr>
        <w:spacing w:after="100"/>
      </w:pPr>
      <w:r>
        <w:t xml:space="preserve">Sí para el caso base: es una plataforma de activos ligeros (capex del 1,6 % de las ventas) que crece por volumen, con el 51,5 % del mercado mundial de VTC y reservas brutas que crecen al 18-22 % [4, 29]. El efecto red (más conductores, esperas más cortas) y Uber One sostienen el volumen. La duda no es la calidad sino el coche autónomo: si Waymo y Tesla operan con aplicación propia, el volumen de las grandes ciudades deja de ser de Uber, y eso es el bajista, no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(WACC: 10,7 %)</w:t>
            </w:r>
          </w:p>
        </w:tc>
      </w:tr>
    </w:tbl>
    <w:p>
      <w:pPr>
        <w:spacing w:after="160" w:before="0"/>
      </w:pPr>
    </w:p>
    <w:p>
      <w:pPr>
        <w:spacing w:after="100"/>
      </w:pPr>
      <w:r>
        <w:t xml:space="preserve">El DCF vale 74,58 USD por acción, un 4,3 % sobre el precio de 71,51, con un valor terminal que pesa el 55 %. El DCF inverso dice que el precio descuenta un crecimiento de los ingresos del 8,4 % anual en 2027e-2035e, frente al 9,1 % de nuestra base, con el mismo margen final; o una rentabilidad implícita del 11,0 %, por encima de nuestro WACC del 10,68 %.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9,81 %), el DCF sube a 84,43 USD. La sensibilidad muestra dónde está el riesgo: dos puntos menos de margen en todos los años bajan el valor a 65,41 USD, y medio punto más de WACC a 69,89.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72,19 USD (+1,0 %).</w:t>
      </w:r>
    </w:p>
    <w:p>
      <w:pPr>
        <w:spacing w:after="100"/>
      </w:pPr>
      <w:r>
        <w:t xml:space="preserve">Con nuestro WACC, el alcista vale 97,29 USD (36,1 %) y el bajista 42,31 USD (−40,8 %): la asimetría es de 0,88 veces, sin ventaja. El valor ponderado (72,19 USD) apenas supera al precio. El bajista pesa tanto porque el coche autónomo ataca a la vez crecimiento y margen; y no es cosmético: es lo que el mercado ya teme y explica la caída del 31 % en un año [68]. Con la prima de riesgo del mercado, el alcista sube a 111,50 USD y el bajista a 46,87, y la asimetría pasa a 1,62 veces: compensa, pero solo si el precio vuelve por debajo de los 70 USD.</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67,82 USD por acción, un −5,2 %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67,82 (-5,2 %); con ±1x en los múltiplos, 57,86 – 77,77.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73,59 USD (+2,9 % sobre 71,51).</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 7-oct (12.357 M): Delivery Hero y su derivado 4.565 M, Didi 2.048 M, Grab 1.651 M, Aurora 899 M, otras cotizadas 1.013 M y no cotizadas a valor contable 2.181 M [3, 68, 69, 71]. Sus revalorizaciones pasan por «otros ingresos» y explican el ruido del beneficio neto (+1.612 M en el 2T26). Otros ajustes (+734 M): Getir pagada en julio (+465 M), venta de acciones de Aurora en agosto y septiembre (−654 M) y la multa neerlandesa de 824,99 M EUR del 8-oct (+923 M), recurrida pero sin provisión publicada [3, 41, 70, 71]. Pesos: DCF 40 %, escenarios 30 % (el coche autónomo es un riesgo de dos caras), comparables 15 % y suma de partes 15 %; las transacciones no pesan: casi todas son de empresas con pérdidas y llevan prima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spacing w:after="100"/>
      </w:pPr>
      <w:r>
        <w:rPr>
          <w:b/>
          <w:bCs/>
        </w:rPr>
        <w:t xml:space="preserve">Objetivo a 12 meses (ponderado):</w:t>
      </w:r>
      <w:r>
        <w:t xml:space="preserve"> 79,53 USD · rentabilidad +11,2 % (base +19,1 %) · señal Mantener.</w:t>
      </w:r>
    </w:p>
    <w:p>
      <w:pPr>
        <w:keepNext/>
        <w:spacing w:after="100"/>
      </w:pPr>
      <w:r>
        <w:rPr>
          <w:b/>
          <w:bCs/>
        </w:rPr>
        <w:t xml:space="preserve">Frente al consenso (solo contraste).</w:t>
      </w:r>
    </w:p>
    <w:p>
      <w:pPr>
        <w:spacing w:after="100"/>
      </w:pPr>
      <w:r>
        <w:t xml:space="preserve">Nuestro BPA base de 2028e (4,30) se separa un -25,9 % del consenso (5,80) y nuestro precio base (85,14) un -15,6 % del objetivo medio de los analistas (100,86).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73,59 (+2,9 %) frente al objetivo a 12 meses ponderado 79,53 (+11,2 % con dividendo; base +19,1 %).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anunciada para el 4-nov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−40,8 % en el escenario bajista (42,31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(65,41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5,28 %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(69,89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Trece opiniones del 15-jul al 6-oct-2026: seis favorables (cuatro de compra y dos favoritas), una favorita pasada, una de operar en rango (70-78 USD) y cinco de no comprar; los críticos citan el coche autónomo (Waymo, Tesla) y la falta de claridad, y los favorables, la caja, las recompras, Uber One y el crecimiento de las reservas brutas cerca del 20 % [100].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 (Waymo, Tesla)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 del informe: Waymo opera en 15 ciudades de EE. UU. con aplicación propia en la mayoría.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recompras y Uber One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el primer ejecutivo y el presidente compraron 15,3 M USD de acciones en septiembre, a 71-76 USD.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en el rango de 70-78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el precio ya descuenta lo que proyectamos.</w:t>
            </w:r>
          </w:p>
        </w:tc>
      </w:tr>
    </w:tbl>
    <w:p>
      <w:pPr>
        <w:spacing w:after="160" w:before="0"/>
      </w:pPr>
    </w:p>
    <w:p>
      <w:pPr>
        <w:spacing w:after="100"/>
      </w:pPr>
      <w:r>
        <w:t xml:space="preserve">El sentimiento de los gestores que comentan en la televisión está tan dividido como nuestra recomendación: seis de trece son favorables y cinco desaconsejan comprar hasta que se aclare el coche autónomo [100]. No es extremo ni contrario al consenso de analistas (que apunta a unos 100 USD): no aporta un riesgo nuevo, confirma que la duda del mercado es la misma que la del informe.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25 controles correctos y 6 explicados. Fuentes: 102 (64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12,1x a 17,9x según qué comparable se quite (62,01 a 91,03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(18,8x → 12,1x), Grab (32,2x → 17,9x):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r/wallstreetbets): bloqueado para la lectura automática; 2) Stocktwits y Seeking Alpha: contenido con JavaScript o de pago; 3) búsqueda de comentarios recientes: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(UBER-N):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https://stockchase.com/UBER-N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93,1 %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ordinaria de Uber en la NYSE (USD); cuentas en USD y US GAAP. Precio: cierre del viernes 9-oct-2026 (71,51 USD, Yahoo Finance [68]); el corte cae en sábado. Esta es la segunda iteración: la primera (corte 8-oct-2026) se actualiza con el precio, las rentabilidades, la beta y la volatilidad al 9-oct; las participadas cotizadas del puente y los comparables siguen a precios del 7-oct, porque en dos sesiones no cambian la conclusión.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101, 102].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10.7</c:v>
                </c:pt>
                <c:pt idx="1">
                  <c:v>10.7</c:v>
                </c:pt>
                <c:pt idx="2">
                  <c:v>10.7</c:v>
                </c:pt>
                <c:pt idx="3">
                  <c:v>10.7</c:v>
                </c:pt>
                <c:pt idx="4">
                  <c:v>10.7</c:v>
                </c:pt>
                <c:pt idx="5">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14</c:v>
                </c:pt>
                <c:pt idx="1">
                  <c:v>12.1</c:v>
                </c:pt>
                <c:pt idx="2">
                  <c:v>26.3</c:v>
                </c:pt>
                <c:pt idx="3">
                  <c:v>9.7</c:v>
                </c:pt>
                <c:pt idx="4">
                  <c:v>17.9</c:v>
                </c:pt>
                <c:pt idx="5">
                  <c:v>23.4</c:v>
                </c:pt>
                <c:pt idx="6">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14</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12.1</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26.3</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9.7</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17.9</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23.4</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10.6</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66656</c:v>
                </c:pt>
                <c:pt idx="1">
                  <c:v>82985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42.31</c:v>
                </c:pt>
                <c:pt idx="1">
                  <c:v>74.58</c:v>
                </c:pt>
                <c:pt idx="2">
                  <c:v>97.29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