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Unilever PLC</w:t>
      </w:r>
    </w:p>
    <w:p>
      <w:pPr>
        <w:spacing w:after="60"/>
        <w:rPr>
          <w:color w:val="52514E"/>
          <w:sz w:val="22"/>
          <w:szCs w:val="22"/>
        </w:rPr>
      </w:pPr>
      <w:r>
        <w:rPr>
          <w:color w:val="52514E"/>
          <w:sz w:val="22"/>
          <w:szCs w:val="22"/>
        </w:rPr>
        <w:t xml:space="preserve">ULVR · London Stock Exchange (también Euronext Ámsterdam y ADR en NYSE) · ISIN GB00BVZK7T90 · Productos básicos de consumo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55,85 EUR (4.718,10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63,02 EUR (5.323,80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+16,2 % (base +18,1 %)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62,72 EUR (5.298,46 GBp) · mercado 75,30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120.318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Unilever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ULVR / GB00BVZK7T90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(también Euronext Ámsterdam y ADR en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Productos básicos de consumo / Productos para el hogar y cuidado personal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Londres · 1929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www.unilever.com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55,85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43,14 – 65,41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2.154,3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120.318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155.918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63,02 EUR (5.323,80 GBp)</w:t>
      </w:r>
      <w:r>
        <w:t xml:space="preserve"> frente a 55,85 (4.718,10 GBp) · Rentabilidad a 12 meses </w:t>
      </w:r>
      <w:r>
        <w:rPr>
          <w:b/>
          <w:bCs/>
        </w:rPr>
        <w:t xml:space="preserve">+16,2 % (base +18,1 %)</w:t>
      </w:r>
      <w:r>
        <w:t xml:space="preserve"> · Valor intrínseco 62,72 EUR (5.298,46 GBp) · con la prima implícita del mercado: 75,30 (6.361,19 GBp) (+34,8 %) · Alcista / bajista +31,4 % / -9,7 %</w:t>
      </w:r>
    </w:p>
    <w:p>
      <w:pPr>
        <w:spacing w:after="100"/>
      </w:pPr>
      <w:r>
        <w:rPr>
          <w:b/>
        </w:rPr>
        <w:t xml:space="preserve">La recomendación y por qué.</w:t>
      </w:r>
      <w:r>
        <w:t xml:space="preserve"> Mantener, con convicción media. El objetivo a 12 meses es de 59,09 EUR (4.992 p), una rentabilidad ponderada del 9,1 % con el dividendo y del 9,7 % en el caso base, lejos del 15 % y del 12 % que pide una compra; el valor intrínseco es de 62,72 EUR (+12,3 %) y el objetivo medio de los analistas, 61,90 EUR, dentro de nuestro rango (46,48-71,06 EUR). La razón: Unilever ha recuperado el volumen, pero el precio ya paga un PER de 16,5 veces nuestro BPA de 2027e y la divisa se come la mitad del crecimiento en euros. La convicción es media porque las dos reglas coinciden y la rentabilidad queda lejos de los umbrales; subiría si el 3T26 (28-oct) confirma un volumen de al menos un 3 % y el precio baja de 53,00 EUR.</w:t>
      </w:r>
    </w:p>
    <w:p>
      <w:pPr>
        <w:spacing w:after="100"/>
      </w:pPr>
      <w:r>
        <w:rPr>
          <w:b/>
        </w:rPr>
        <w:t xml:space="preserve">El negocio.</w:t>
      </w:r>
      <w:r>
        <w:t xml:space="preserve"> Treinta marcas que son el 78 % de las ventas y crecen un 6 % [5], un margen operativo subyacente del 20,0 % [1] y un ROIC del 16,2 % [7], unos 9 puntos sobre el WACC del 7,16 %. La calidad sostiene el crecimiento que proyectamos (veredicto «Sí»): un 3,5 % medio sin apenas inversión, con volumen y precio de marcas ya establecidas, lo mismo que hizo en 2025 y el 1S26.</w:t>
      </w:r>
    </w:p>
    <w:p>
      <w:pPr>
        <w:spacing w:after="100"/>
      </w:pPr>
      <w:r>
        <w:rPr>
          <w:b/>
        </w:rPr>
        <w:t xml:space="preserve">Finanzas.</w:t>
      </w:r>
      <w:r>
        <w:t xml:space="preserve"> Ventas de 50.503 M EUR en 2025 (−3,8 % por la divisa, +3,5 % subyacente), caja libre de 5.921 M y deuda neta de 26.000 M en junio (2,3 veces el EBITDA subyacente) tras recomprar 1.500 M [1, 5]. La reestructuración se repite cada año (≈1.000 M entre subyacente y publicado) y el DCF la descuenta.</w:t>
      </w:r>
    </w:p>
    <w:p>
      <w:pPr>
        <w:spacing w:after="100"/>
      </w:pPr>
      <w:r>
        <w:rPr>
          <w:b/>
        </w:rPr>
        <w:t xml:space="preserve">Equipo y gobierno.</w:t>
      </w:r>
      <w:r>
        <w:t xml:space="preserve"> Equipo nuevo (Fernandez y Phatak, 2025) que ha cumplido y subido la guía [5]. Resta algo la agenda activista: la operación de 44.800 M USD con McCormick no se votó y Terry Smith vendió su participación [28, 29]; el voto en contra de la remuneración (27,7 % en 2025) volvió a niveles normales en 2026 [30, 32].</w:t>
      </w:r>
    </w:p>
    <w:p>
      <w:pPr>
        <w:spacing w:after="100"/>
      </w:pPr>
      <w:r>
        <w:rPr>
          <w:b/>
        </w:rPr>
        <w:t xml:space="preserve">Valoración.</w:t>
      </w:r>
      <w:r>
        <w:t xml:space="preserve"> El DCF da 65,96 EUR (+18,1 %) y el inverso dice que el precio solo descuenta un 1,4 % de crecimiento anual frente a nuestro 3,9 %: el mercado no paga la mejora. Pero a 12 meses manda el múltiplo: con la regla común, el base usa el PER actual (16,5 veces, por debajo de su mediana de cinco años de 17,9) sobre un BPA subyacente de 3,60 EUR en 2028e, y da 59,40 EUR. Tratamos la venta de la alimentación como neutral en valor: el accionista recibe el 55,1 % de la nueva McCormick y Unilever cobra 15.700 M USD [4].</w:t>
      </w:r>
    </w:p>
    <w:p>
      <w:pPr>
        <w:spacing w:after="100"/>
      </w:pPr>
      <w:r>
        <w:rPr>
          <w:b/>
        </w:rPr>
        <w:t xml:space="preserve">Riesgos y catalizadores.</w:t>
      </w:r>
      <w:r>
        <w:t xml:space="preserve"> La divisa de los emergentes (−10 % en el bajista) y la ejecución de la separación son los riesgos que más pesan. Catalizadores: 3T26 el 28-oct, día del inversor el 4-nov y cierre de la operación a mediados de 2027. Los foros se agriaron en primavera por la operación y mejoran desde el 1S26; no señalan un riesgo que el informe no recoja.</w:t>
      </w:r>
    </w:p>
    <w:p>
      <w:pPr>
        <w:spacing w:after="100"/>
      </w:pPr>
      <w:r>
        <w:rPr>
          <w:b/>
        </w:rPr>
        <w:t xml:space="preserve">Qué cambiaría la decisión.</w:t>
      </w:r>
      <w:r>
        <w:t xml:space="preserve"> Compraríamos por debajo de 53,00 EUR (4.477 p) y venderíamos por encima de 67,73 EUR (5.722 p). Pasaríamos a Vender si el volumen del 3T26 baja del 1,5 % y la guía de 2027 no mejora el margen; a Comprar si el día del inversor fija un crecimiento del 5 % o más y un margen creciente para la empresa sin alimentación.</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63,02 EUR (5.323,80 GBp)</w:t>
      </w:r>
      <w:r>
        <w:t xml:space="preserve"> (rentabilidad +16,2 % (base +18,1 %)) · Valor intrínseco: 62,72 EUR (5.298,46 GBp) (+12,3 % sobre 55,85) · con la prima implícita del mercado: 75,30 (6.361,19 GBp) (+34,8 %)</w:t>
      </w:r>
    </w:p>
    <w:p>
      <w:pPr>
        <w:spacing w:after="100"/>
      </w:pPr>
      <w:r>
        <w:t xml:space="preserve">Unilever es el segundo grupo mundial de consumo envasado no alimentario, con 50.503 M EUR de ventas, un margen subyacente del 20,0 % y un ROIC del 16,2 % [1, 7]. Tras escindir los helados y acordar la salida de la alimentación, queda un grupo de belleza, cuidado personal y hogar cuyas marcas líderes crecen un 6 % con volumen [5].</w:t>
      </w:r>
    </w:p>
    <w:p>
      <w:pPr>
        <w:spacing w:after="100"/>
      </w:pPr>
      <w:r>
        <w:t xml:space="preserve">El precio (55,85 EUR, 4.718 p) descuenta solo un 1,4 % de crecimiento anual, un PER de 16,5 veces nuestro BPA de 2027e, por debajo de su mediana de cinco años (17,9) y de la de los comparables (18,1) [45].</w:t>
      </w:r>
    </w:p>
    <w:p>
      <w:pPr>
        <w:spacing w:after="100"/>
      </w:pPr>
      <w:r>
        <w:t xml:space="preserve">Para invertir hay que creer que el volumen aguanta cuando vuelvan las subidas de precio y que el mercado pagará por la Unilever sin alimentación un múltiplo de belleza y cuidado personal. El valor intrínseco está un 12,3 % por encima del precio, pero a 12 meses el múltiplo actual solo deja un 9,1 %: falta un catalizador, que puede ser el día del inversor de noviembre.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63,02 EUR (5.323,80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3,32 = 47,14 · 17,8x × 3,60 = 64,08 · 20,2x × 3,80 = 76,76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 / 18,1 %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61,90 (nuestro base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62,72 EUR (5.298,46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0,0118 EUR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55,85 EUR (4.718,10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 /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7,2 % y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75,30 EUR (6.361,19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frente a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56,42 (4.766,25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56,42 y 72,09 (4.766,25 y 6.090,02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72,09 (6.090,02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53,00 EUR (4.477 p): pasaría los tres requisitos de compra</w:t>
      </w:r>
    </w:p>
    <w:p>
      <w:pPr>
        <w:pStyle w:val="ListParagraph"/>
        <w:numPr>
          <w:ilvl w:val="0"/>
          <w:numId w:val="2"/>
        </w:numPr>
        <w:spacing w:after="60"/>
      </w:pPr>
      <w:r>
        <w:t xml:space="preserve">Precio por encima de 67,73 EUR (5.722 p): Vender</w:t>
      </w:r>
    </w:p>
    <w:p>
      <w:pPr>
        <w:pStyle w:val="ListParagraph"/>
        <w:numPr>
          <w:ilvl w:val="0"/>
          <w:numId w:val="2"/>
        </w:numPr>
        <w:spacing w:after="60"/>
      </w:pPr>
      <w:r>
        <w:t xml:space="preserve">Volumen del 3T26 por debajo del 1,5 %: revisar a la baja el base</w:t>
      </w:r>
    </w:p>
    <w:p>
      <w:pPr>
        <w:pStyle w:val="ListParagraph"/>
        <w:numPr>
          <w:ilvl w:val="0"/>
          <w:numId w:val="2"/>
        </w:numPr>
        <w:spacing w:after="60"/>
      </w:pPr>
      <w:r>
        <w:t xml:space="preserve">Objetivos del día del inversor de crecimiento ≥5 % y margen creciente sin alimentación: revisar a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1,4 % anual y un PER de 16,5 veces, castigando la incertidumbre de la reorganización y la divisa de los emergentes.</w:t>
      </w:r>
    </w:p>
    <w:p>
      <w:pPr>
        <w:keepNext/>
        <w:spacing w:after="100"/>
      </w:pPr>
      <w:r>
        <w:rPr>
          <w:b/>
          <w:bCs/>
        </w:rPr>
        <w:t xml:space="preserve">Lo que creemos nosotros.</w:t>
      </w:r>
    </w:p>
    <w:p>
      <w:pPr>
        <w:spacing w:after="100"/>
      </w:pPr>
      <w:r>
        <w:t xml:space="preserve">Un crecimiento en euros del 4 % desde 2027 y una mejora del margen de 70 pb: el valor intrínseco es de 62,72 EUR, pero a 12 meses el múltiplo no tiene por qué subir.</w:t>
      </w:r>
    </w:p>
    <w:p>
      <w:pPr>
        <w:keepNext/>
        <w:spacing w:after="100"/>
      </w:pPr>
      <w:r>
        <w:rPr>
          <w:b/>
          <w:bCs/>
        </w:rPr>
        <w:t xml:space="preserve">Por qué podemos tener razón.</w:t>
      </w:r>
    </w:p>
    <w:p>
      <w:pPr>
        <w:spacing w:after="100"/>
      </w:pPr>
      <w:r>
        <w:t xml:space="preserve">El volumen ha vuelto (4,2 % en el 1S26) y las Power Brands crecen un 6 % [5]; la divisa resta, pero no para siempre. Coincidimos con el consenso en el objetivo (61,90 EUR): nuestra diferencia es de plazo, no de cifras.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5,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El volumen ha vuelto</w:t>
      </w:r>
      <w:r>
        <w:t xml:space="preserve">: +4,2 % en el 1S26 frente a +1,5 % en 2025 [1, 5].</w:t>
      </w:r>
    </w:p>
    <w:p>
      <w:pPr>
        <w:pStyle w:val="ListParagraph"/>
        <w:numPr>
          <w:ilvl w:val="0"/>
          <w:numId w:val="2"/>
        </w:numPr>
        <w:spacing w:after="60"/>
      </w:pPr>
      <w:r>
        <w:rPr>
          <w:b/>
        </w:rPr>
        <w:t xml:space="preserve">Calidad</w:t>
      </w:r>
      <w:r>
        <w:t xml:space="preserve">: ROIC del 16,2 %, unos 9 puntos sobre el WACC [7].</w:t>
      </w:r>
    </w:p>
    <w:p>
      <w:pPr>
        <w:pStyle w:val="ListParagraph"/>
        <w:numPr>
          <w:ilvl w:val="0"/>
          <w:numId w:val="2"/>
        </w:numPr>
        <w:spacing w:after="60"/>
      </w:pPr>
      <w:r>
        <w:rPr>
          <w:b/>
        </w:rPr>
        <w:t xml:space="preserve">Precio exigente solo en apariencia</w:t>
      </w:r>
      <w:r>
        <w:t xml:space="preserve">: el DCF inverso descuenta un 1,4 % de crecimiento.</w:t>
      </w:r>
    </w:p>
    <w:p>
      <w:pPr>
        <w:pStyle w:val="ListParagraph"/>
        <w:numPr>
          <w:ilvl w:val="0"/>
          <w:numId w:val="2"/>
        </w:numPr>
        <w:spacing w:after="60"/>
      </w:pPr>
      <w:r>
        <w:rPr>
          <w:b/>
        </w:rPr>
        <w:t xml:space="preserve">Retorno al accionista</w:t>
      </w:r>
      <w:r>
        <w:t xml:space="preserve">: dividendo del ≈3,3 % y 6.000 M de recompras en 2026-2029 [4].</w:t>
      </w:r>
    </w:p>
    <w:p>
      <w:pPr>
        <w:pStyle w:val="Heading2"/>
      </w:pPr>
      <w:r>
        <w:t xml:space="preserve">En contra</w:t>
      </w:r>
    </w:p>
    <w:p>
      <w:pPr>
        <w:pStyle w:val="ListParagraph"/>
        <w:numPr>
          <w:ilvl w:val="0"/>
          <w:numId w:val="2"/>
        </w:numPr>
        <w:spacing w:after="60"/>
      </w:pPr>
      <w:r>
        <w:rPr>
          <w:b/>
        </w:rPr>
        <w:t xml:space="preserve">La divisa</w:t>
      </w:r>
      <w:r>
        <w:t xml:space="preserve">: la facturación cayó un 3,8 % en 2025 con un 3,5 % de crecimiento subyacente [1].</w:t>
      </w:r>
    </w:p>
    <w:p>
      <w:pPr>
        <w:pStyle w:val="ListParagraph"/>
        <w:numPr>
          <w:ilvl w:val="0"/>
          <w:numId w:val="2"/>
        </w:numPr>
        <w:spacing w:after="60"/>
      </w:pPr>
      <w:r>
        <w:rPr>
          <w:b/>
        </w:rPr>
        <w:t xml:space="preserve">Rentabilidad a 12 meses del 9,1 %</w:t>
      </w:r>
      <w:r>
        <w:t xml:space="preserve">, por debajo del 15 % que pide una compra.</w:t>
      </w:r>
    </w:p>
    <w:p>
      <w:pPr>
        <w:pStyle w:val="ListParagraph"/>
        <w:numPr>
          <w:ilvl w:val="0"/>
          <w:numId w:val="2"/>
        </w:numPr>
        <w:spacing w:after="60"/>
      </w:pPr>
      <w:r>
        <w:rPr>
          <w:b/>
        </w:rPr>
        <w:t xml:space="preserve">Incertidumbre de perímetro</w:t>
      </w:r>
      <w:r>
        <w:t xml:space="preserve"> hasta mediados de 2027 por la operación con McCormick [4].</w:t>
      </w:r>
    </w:p>
    <w:p>
      <w:pPr>
        <w:pStyle w:val="ListParagraph"/>
        <w:numPr>
          <w:ilvl w:val="0"/>
          <w:numId w:val="2"/>
        </w:numPr>
        <w:spacing w:after="60"/>
      </w:pPr>
      <w:r>
        <w:rPr>
          <w:b/>
        </w:rPr>
        <w:t xml:space="preserve">Reestructuración permanente</w:t>
      </w:r>
      <w:r>
        <w:t xml:space="preserve">: ≈1.000 M al año fuera del resultado subyacente [1, 8].</w:t>
      </w:r>
    </w:p>
    <w:p>
      <w:pPr>
        <w:pStyle w:val="Heading2"/>
      </w:pPr>
      <w:r>
        <w:t xml:space="preserve">Qué tiene que pasar para que la tesis funcione</w:t>
      </w:r>
    </w:p>
    <w:p>
      <w:pPr>
        <w:spacing w:after="100"/>
      </w:pPr>
      <w:r>
        <w:t xml:space="preserve">La tesis depende de que el volumen se mantenga en el 2,5-3 % cuando la empresa vuelva a subir precios en el 2S26. La señal de que no se cumple: un volumen del 3T26 por debajo del 2 % o una guía de 2027 sin mejora de margen.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mejora de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entre crecimiento subyacente y facturación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puntos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Holgura para las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21,6x / 18,4x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Unilever nació en 1929 de la fusión de la holandesa Margarine Unie y la británica Lever Brothers, y vivió 90 años con doble estructura (NV y PLC) hasta unificarse en Unilever PLC en 2020 [18]. Tras rechazar la oferta de Kraft Heinz (2017) y el intento de comprar el consumo de GSK (2022), el activismo (Trian, con Nelson Peltz en el consejo desde 2022) aceleró el cambio: CEO Hein Schumacher en 2023, sustituido por Fernando Fernandez en marzo de 2025 [19, 20]; escisión de los helados en diciembre de 2025 [21] y acuerdo para combinar la alimentación con McCormick en marzo de 2026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Margarine Unie y Lever Brothers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Rechaza la oferta de Kraft Heinz (≈143.000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Unificación de la doble estructura en Unilever PLC</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té (ekaterra) a CVC por 4.500 M EUR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Nelson Peltz (Trian) entra en el consejo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Fernando Fernandez, CEO (marzo); escisión de The Magnum Ice Cream Company (6-dic) y agrupación de acciones 8 por 9 [20,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combinar la alimentación con McCormick (31-mar), cierre previsto a mediados de 2027 [22]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Unilever vende productos de consumo envasado en unos 190 países a través de cuatro grupos de negocio tras escindir los helados (The Magnum Ice Cream Company, 6-dic-2025) [1, 2]: Belleza y Bienestar (Dove, Vaseline, Liquid I.V., Nutrafol, vitaminas; 12.800 M EUR en 2025), Cuidado Personal (desodorantes Rexona/Axe, gel y jabón Dove, Lifebuoy, dentífricos; 13.200 M), Hogar (detergentes OMO/Persil, Surf, Comfort, Domestos; 11.600 M) y Alimentación (Knorr, Hellmann's; 12.900 M) [3]. Vende a distribuidores, supermercados, comercio electrónico y, en los emergentes, a millones de tiendas de barrio. La alimentación (salvo India, Nepal y Portugal) pasará a McCormick con la operación acordada el 31-mar-2026, cuyo cierre se espera a mediados de 2027 [4].</w:t>
      </w:r>
    </w:p>
    <w:p>
      <w:pPr>
        <w:pStyle w:val="Heading2"/>
      </w:pPr>
      <w:r>
        <w:t xml:space="preserve">Cómo gana dinero</w:t>
      </w:r>
    </w:p>
    <w:p>
      <w:pPr>
        <w:spacing w:after="100"/>
      </w:pPr>
      <w:r>
        <w:t xml:space="preserve">Margen operativo subyacente del 20,0 % en 2025 (+60 pb) sobre 50.500 M EUR de ventas [1]. El margen depende de la mezcla (las 30 marcas líderes, «Power Brands», son el 78 % de las ventas y crecen más) [5], del precio frente al coste de materias primas (aceites vegetales, petroquímicos, envases) y de la productividad: el programa de recorte de gastos generales sostuvo la mejora de 2025 [1]. El crecimiento subyacente se descompone en volumen y precio: en 2025, 3,5 % con 1,5 de volumen y 2,0 de precio; en el 1S26, 4,8 % con 4,2 de volumen [1, 5]. La divisa resta mucho: la facturación cayó un 3,8 % en 2025 y un 3,3 % en el 1T26 pese a crecer en subyacente, porque casi el 60 % de las ventas es de mercados emergentes [1, 6]. Poca estacionalidad.</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Belleza y Bienestar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Cuidado Personal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Hogar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Alimentación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Belleza y Bienestar</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Cuidado Personal</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Hogar</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Alimentación</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12.900</w:t>
            </w:r>
          </w:p>
        </w:tc>
      </w:tr>
    </w:tbl>
    <w:p>
      <w:pPr>
        <w:spacing w:after="160" w:before="0"/>
      </w:pPr>
    </w:p>
    <w:p>
      <w:pPr>
        <w:pStyle w:val="Heading2"/>
      </w:pPr>
      <w:r>
        <w:t xml:space="preserve">Clientes, recurrencia y poder de precios</w:t>
      </w:r>
    </w:p>
    <w:p>
      <w:pPr>
        <w:spacing w:after="100"/>
      </w:pPr>
      <w:r>
        <w:t xml:space="preserve">Sin concentración relevante de clientes: vende a grandes cadenas, comercio electrónico y distribuidores en unos 190 países [2]. El poder de precios está demostrado pero se agota: tras las subidas de 2022-23, el precio aportó 2,0 puntos en 2025 y solo 0,6 en el 1S26, cuando el crecimiento pasó a venir del volumen (4,2 puntos) [1, 5]. La dirección espera para el 2S26 un crecimiento del 4-5 % «con más precio»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5,8 % en el 2T26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≈3 %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 (2025); 20,3 %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Power Brands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(1S26), 78 % de las ventas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ROIC subyacente (definición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fondo de comercio [7]</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bienes de consumo envasados no alimentarios a escala mundial: belleza y cuidado personal, y cuidado del hogar, que serán el 100 % de Unilever tras traspasar la alimentación. Usamos como referencia el mercado mundial de belleza y cuidado personal, que las consultoras sitúan entre 550.000 y 680.000 M USD en 2025 según el perímetro (IMARC 552.000 M; Persistence 581.600 M) [23, 24]; no encontramos una cifra fiable del cuidado del hogar.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552.000-582.000 M USD en 2025 (belleza y cuidado personal) [23,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renta en emergentes (India, Indonesia, América Latina)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en emergentes +4,2 % en el 1T26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 en belleza y bienestar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Belleza y Bienestar creció un 4,3 % en 2025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subidas de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aportó 0,6 puntos en el 1S26 frente a 2,0 en 2025 [3,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emergentes débiles frente al euro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facturación cayó un 3,8 % en 2025 con un crecimiento subyacente del 3,5 %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Marcas de distribuidor y marcas digitales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Europa fue la región más floja en el 1T26 [25]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P&amp;G, L'Oréal, Colgate, Henkel, Reckitt y Beiersdorf compiten categoría a categoría con gasto publicitario alto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cadenas en Europa y EE. UU.; en emergentes, distribución fragmentada que favorece al fabricante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cotizadas (aceites, petroquímicos) con muchos proveedores; el riesgo es de precio, no de poder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digitales entran en belleza con poco capital; en hogar y desodorantes la escala de distribución protege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Productos de uso diario; la marca blanca es el sustituto principal</w:t>
            </w:r>
          </w:p>
        </w:tc>
      </w:tr>
    </w:tbl>
    <w:p>
      <w:pPr>
        <w:spacing w:after="160" w:before="0"/>
      </w:pPr>
    </w:p>
    <w:p>
      <w:pPr>
        <w:pStyle w:val="Heading2"/>
      </w:pPr>
      <w:r>
        <w:t xml:space="preserve">Ciclo</w:t>
      </w:r>
    </w:p>
    <w:p>
      <w:pPr>
        <w:spacing w:after="100"/>
      </w:pPr>
      <w:r>
        <w:t xml:space="preserve">Tras dos años de subidas de precio por la inflación (2022-23), el sector vuelve a crecer en volumen y con precios moderados: Unilever pasó de 2,0 puntos de precio en 2025 a 0,6 en el 1S26 y de 1,5 a 4,2 de volumen [3, 5]. Es un sector defensivo: el consumo básico cayó poco en 2008-09 y en 2020, y en 2022 trasladó la inflación con retraso a precios.</w:t>
      </w:r>
    </w:p>
    <w:p>
      <w:pPr>
        <w:pStyle w:val="Heading2"/>
      </w:pPr>
      <w:r>
        <w:t xml:space="preserve">Regulación</w:t>
      </w:r>
    </w:p>
    <w:p>
      <w:pPr>
        <w:spacing w:after="100"/>
      </w:pPr>
      <w:r>
        <w:t xml:space="preserve">Normas de envases y plásticos (directiva y reglamento de envases de la UE, impuesto británico al plástico), de etiquetado de alimentos con alto contenido en grasa, azúcar o sal (Reino Unido, desde octubre de 2025) y de ingredientes cosméticos. Afectan sobre todo a costes de envase y a la alimentación, que sale del perímetro en 2027.</w:t>
      </w:r>
    </w:p>
    <w:p>
      <w:pPr>
        <w:pStyle w:val="Heading2"/>
      </w:pPr>
      <w:r>
        <w:t xml:space="preserve">Tendencias y disrupción</w:t>
      </w:r>
    </w:p>
    <w:p>
      <w:pPr>
        <w:spacing w:after="100"/>
      </w:pPr>
      <w:r>
        <w:t xml:space="preserve">El crecimiento se desplaza hacia belleza de prestigio, bienestar (suplementos, Liquid I.V., Nutrafol) y comercio electrónico y redes sociales, donde Unilever ha concentrado su publicidad («desire at scale») [5]. Gana con la mezcla hacia belleza y cuidado personal y pierde peso en alimentación, menos rentable y de menor crecimiento.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Segundo grupo mundial de consumo envasado no alimentario por ventas tras Procter &amp; Gamble; líder mundial en desodorantes y en jabón de tocador (Dove), y uno de los primeros en detergentes en emergentes.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Procter &amp; Gamble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rival en hogar y cuidado personal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belleza; cotiza a 26,2 veces el BPA de 12 meses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alimentación y nutrición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Nivea frente a Dove en cuidado de la piel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Henkel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Detergentes (Persil en Alemania) y cuidado del cabello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Colgate-Palmolive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Higiene bucal y personal en emergentes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bienes de consumo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solo hábito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Power Brands son el 78 % de las ventas y crecen un 6 % [10]; margen subyacente del 20 %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y publicidad a escala mundial; ROIC del 16 % con fondo de comercio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en millones de tiendas de barrio en India, Indonesia y África, difícil de replicar</w:t>
            </w:r>
          </w:p>
        </w:tc>
      </w:tr>
    </w:tbl>
    <w:p>
      <w:pPr>
        <w:spacing w:after="160" w:before="0"/>
      </w:pPr>
    </w:p>
    <w:p>
      <w:pPr>
        <w:pStyle w:val="Heading2"/>
      </w:pPr>
      <w:r>
        <w:t xml:space="preserve">Amenazas</w:t>
      </w:r>
    </w:p>
    <w:p>
      <w:pPr>
        <w:spacing w:after="100"/>
      </w:pPr>
      <w:r>
        <w:t xml:space="preserve">La marca blanca en Europa, las marcas digitales en belleza y la pérdida de ejecución si la reorganización (salida de helados y de alimentación) distrae a la dirección; Terry Smith vendió toda su participación en mayo de 2026 por ese motivo [28]. Probabilidad media de erosión en Europa; baja en emergentes, donde la distribución es la ventaja.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Crecimiento anual compuesto 2021-2025: ingresos </w:t>
      </w:r>
      <w:r>
        <w:rPr>
          <w:b/>
          <w:bCs/>
        </w:rPr>
        <w:t xml:space="preserve">-0,9 %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Las ventas de 2025 (50.503 M EUR) cayeron un 3,8 % por la divisa pese a un crecimiento subyacente del 3,5 % (1,5 de volumen y 2,0 de precio) [1]. El beneficio operativo publicado de las operaciones continuadas subió de 8.829 a 9.037 M y el subyacente fue de 10.100 M (−1,1 % en euros), con un margen subyacente del 20,0 % (+60 pb) gracias al recorte de gastos generales [1, 8]. El BPA subyacente fue 3,08 EUR (+0,7 %; +9,5 % a tipo constante) y el diluido de las continuadas 2,59 EUR (+6,2 %) [1]. 2021-2023 son las cifras publicadas con helados (ventas de 52.444, 60.073 y 59.604 M; EBIT de 8.702, 10.755 y 9.758 M, de proveedores de datos) [9, 10] y no se comparan con 2024-2025. En el 1S26 la facturación creció un 0,5 % (25.600 M), el margen subyacente fue del 20,3 % y el BPA subyacente 1,61 EUR (+2,4 %) [5, 11].</w:t>
      </w:r>
    </w:p>
    <w:p>
      <w:pPr>
        <w:pStyle w:val="Heading2"/>
      </w:pPr>
      <w:r>
        <w:t xml:space="preserve">Ajustes y partidas no recurrentes</w:t>
      </w:r>
    </w:p>
    <w:p>
      <w:pPr>
        <w:spacing w:after="100"/>
      </w:pPr>
      <w:r>
        <w:t xml:space="preserve">La empresa da cifras «subyacentes» que excluyen costes de reestructuración, de la escisión y de adquisiciones y ventas: en 2025 la diferencia entre el beneficio operativo subyacente (≈10.100 M) y el publicado (9.037 M) fue de ≈1.060 M, con costes de la separación de los helados [1, 8]. La reestructuración se repite cada año en Unilever, así que no la tratamos como no recurrente en el DCF (margen EBITDA entre el publicado y el subyacente). El tipo impositivo efectivo de 2025 fue el 29,4 % por la separación; el subyacente, el 25,7 % [8]. El BPA de la revisión a 12 meses está en base subyacente, la que usan la empresa, el consenso y el PER histórico.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1T26 (30-abr) las ventas subyacentes crecieron un 3,8 % (2,9 de volumen), por encima del 3,7 % esperado, y la dirección mantuvo la guía en la parte baja del rango del 4-6 % [6, 12]. En el 1S26 (29-jul) el discurso cambió: el 2T26 creció un 5,8 % con un 5,5 % de volumen, las Power Brands un 6,0 % y la guía de 2026 subió a «dentro del 4-6 %» con ≈3 % de volumen; el BPA subyacente del semestre (1,61 EUR) creció solo un 2,4 % por la divisa [5, 11]. La acción subió cerca de un 7 % antes de la apertura [13]. Los analistas preguntaron por la sostenibilidad del volumen con menos precio en el 2S26 (la empresa espera un 4-5 % «con más precio»), por la deuda (2,3 veces el EBITDA subyacente en junio, tras la recompra de 1.500 M) y por la operación con McCormick [5,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Serie reexpresada sin helados (operación interrumpida, escindida el 6-dic-2025): 2021-2023 incluyen los helados (≈7.900 M de ventas) y no son comparables con 2024-2025; 2025: Escisión de The Magnum Ice Cream Company el 6-dic-2025 y agrupación de acciones 8 por 9 el 9-dic-2025: el balance de 2025 ya no tiene los helados). Los ratios de balance de ese año (días, circulante, deuda neta / EBITDA, ROIC) y los indicadores de calidad contable no son comparables con los anteriores.</w:t>
      </w:r>
    </w:p>
    <w:p>
      <w:pPr>
        <w:spacing w:after="100"/>
      </w:pPr>
      <w:r>
        <w:t xml:space="preserve">La deuda neta bajó de 24.500 a 23.100 M EUR en 2025 con la escisión de los helados (2,0 veces el EBITDA subyacente) y subió a 26.000 M en junio de 2026 (2,3 veces) por el dividendo y la recompra de 1.500 M del 1S26; la empresa espera volver a ≈2 veces a final de año [1, 5]. Los 15.700 M USD en efectivo de McCormick reducirán la deuda y financiarán recompras de 6.000 M EUR en 2026-2029 [4]. El circulante comercial es negativo (Unilever cobra antes de pagar a sus proveedores), así que crecer libera caja.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2025-2025: FCF </w:t>
      </w:r>
      <w:r>
        <w:rPr>
          <w:b/>
          <w:bCs/>
        </w:rPr>
        <w:t xml:space="preserve">5.921</w:t>
      </w:r>
      <w:r>
        <w:t xml:space="preserve">, conversión </w:t>
      </w:r>
      <w:r>
        <w:rPr>
          <w:b/>
          <w:bCs/>
        </w:rPr>
        <w:t xml:space="preserve">103 %</w:t>
      </w:r>
      <w:r>
        <w:t xml:space="preserve"> del beneficio neto; adquisiciones 0, dividendos 0, recompras 1.500.</w:t>
      </w:r>
    </w:p>
    <w:p>
      <w:pPr>
        <w:spacing w:after="100"/>
      </w:pPr>
      <w:r>
        <w:t xml:space="preserve">En 2025 el flujo de las operaciones continuadas antes de impuestos fue de 10.772 M EUR (10.913 M en 2024), con 2.720 M de impuestos y 1.465 M de inversión neta: la caja libre de la empresa, después de intereses, fue de 5.921 M (6.304 M en 2024), un 100 % de conversión del beneficio neto; sin los costes de la escisión, 6.300 M [1, 16]. Los intereses netos pagados (≈666 M) salen por diferencia. La inversión es ≈2,9 % de las ventas, muy cerca de la amortización (≈1.450 M, estimación propia a partir de la deuda neta sobre EBITDA subyacente): casi todo es mantenimiento. En el 1S26 la caja libre fue de 1.500 M (1.100 M en el 1S25) por mejor circulante [11].</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Las cuentas de 2025 se presentan con los helados como operación interrumpida: el beneficio neto total de 2025 (≈10.000 M) incluye 3.798 M de beneficio de la escisión, que no se repite [8]. La diferencia entre lo subyacente y lo publicado es grande y recurrente (≈1.000 M al año de reestructuración y separación) [1]. La conversión de beneficio en caja es del 100 % [1]. No pudimos leer las notas del informe anual desde la nube, así que no calculamos los indicadores de calidad con series completas; los del motor salen incompletos y no se interpretan.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reestructuración recurrentes fuera del resultado subyacente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≈1.060 M en 2025 entre subyacente y publicado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efectivo del 29,4 % frente al 25,7 % subyacente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la separación de los helados [8]</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7,2 %.</w:t>
      </w:r>
    </w:p>
    <w:p>
      <w:pPr>
        <w:spacing w:after="100"/>
      </w:pPr>
      <w:r>
        <w:t xml:space="preserve">El ROIC subyacente que publica la empresa (beneficio operativo subyacente después de impuestos sobre capital invertido medio, con fondo de comercio) fue del 16,2 % en 2025 y del 15,9 % en 2024 sin helados: 7.492 M sobre 39.502 M [7]. Frente a un WACC del orden del 6,5 %, crea valor con holgura (≈9-10 puntos).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financieras líquidas de ≈6.100 M EUR a 30-jun-2026 (estimación: deuda bruta de 32.110 M menos deuda neta de 26.000 M) [5, 15]; además, 14.000 M EUR aproximados (15.700 M USD) en efectivo al cerrar la operación con McCormick a mediados de 2027 [4].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Pensiones: Unilever tiene planes con superávit y otros con déficit; no se pudo obtener la cifra neta de 2025 desde la nube (hueco). Litigios y garantías sin importe material conocido. Los minoritarios cotizados (Hindustan Unilever, 38 % en manos de terceros; Unilever Indonesia, Pakistán, Nigeria) son el principal pasivo asimilable a deuda fuera de la deuda financiera [2].</w:t>
      </w:r>
    </w:p>
    <w:p>
      <w:pPr>
        <w:pStyle w:val="Heading1"/>
      </w:pPr>
      <w:r>
        <w:t xml:space="preserve">12. Asignación de capital</w:t>
      </w:r>
    </w:p>
    <w:p>
      <w:pPr>
        <w:pStyle w:val="Confianza"/>
        <w:spacing w:after="100"/>
      </w:pPr>
      <w:r>
        <w:t xml:space="preserve">Confianza: Media</w:t>
      </w:r>
    </w:p>
    <w:p>
      <w:pPr>
        <w:spacing w:after="100"/>
      </w:pPr>
      <w:r>
        <w:t xml:space="preserve">Dividendo trimestral creciente (4T25: 0,4664 EUR, +3 %) y recompras: 1.500 M EUR en 2025 y otros 1.500 M en el 1S26 [1, 5]. Con el efectivo de McCormick la empresa prevé recompras de 6.000 M EUR en 2026-2029 y reducir deuda hacia ≈2 veces el EBITDA [4, 5]. Prioridades declaradas: invertir en las marcas, dividendo, adquisiciones pequeñas en belleza y bienestar y devolver el exceso.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The Magnum Ice Cream Company (helados)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acciones (1 TMICC por cada 5 Unilever)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6-dic-2025; beneficio contable de 3.798 M [8,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Alimentación a McCormick (Reverse Morris Trust)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15.700 M USD en efectivo + 29.100 M USD en acciones de McCormick; 55,1 % para los accionistas de Unilever y 9,9 % para Unilever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cierre previsto a mediados de 2027 [4]</w:t>
            </w:r>
          </w:p>
        </w:tc>
      </w:tr>
    </w:tbl>
    <w:p>
      <w:pPr>
        <w:spacing w:after="160" w:before="0"/>
      </w:pPr>
    </w:p>
    <w:p>
      <w:pPr>
        <w:spacing w:after="100"/>
      </w:pPr>
      <w:r>
        <w:t xml:space="preserve">La dirección actual (Fernandez y Phatak, desde 2025) ha concentrado la cartera: helados fuera en 2025, alimentación en 2027 y el resto centrado en las Power Brands [4, 5]. La caja se devuelve al accionista (3.000 M de recompras en 18 meses) a costa de subir la deuda a 2,3 veces; el efectivo de McCormick la bajará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Fernando Fernandez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su carrera en Unilever; antes, director financiero y presidente de Belleza y Bienestar. Sustituyó a Hein Schumacher en marzo de 2025 [19, 20]. Desde entonces el crecimiento subyacente pasó del 3,5 % (2025) al 4,8 % (1S26) con más volumen [1,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Srinivas Phatak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Ascendido desde dentro del grupo al nombrarse a Fernandez; reelegido con el 99,17 % en la junta de 2026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Ian Meakins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Reelegido con el 97,47 % en la junta de 2026 [30].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subyacente en el rango del 3-5 % y mejora modesta del margen subyacente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3,5 % y margen del 20,0 % (+60 pb)</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Feb-26: parte baja del rango del 4-6 % y mejora modesta del margen; jul-26: dentro del 4-6 % con ≈3 % de volumen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4,8 % y margen del 20,3 %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nuevo (CEO y CFO desde 2025) y ha cumplido lo prometido en 2025 y en el 1S26, cuando subió la guía [1, 5]. El cambio de CEO de 2025 fue abrupto (Schumacher llevaba menos de dos años) y la agenda de cartera (helados fuera, alimentación a McCormick) la empujó el consejo con Nelson Peltz dentro [28]. La credibilidad depende ahora del 2S26 y del día del inversor del 4-nov-2026 [31].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Meakins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Fernando Fernandez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Srinivas Phatak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Adrian Hennah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Kilsby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Ruby Lu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Judith McKenna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Benoît Potier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Nelson Peltz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(Trian)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Zoe Yujnovich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cobra un fijo de 1,8 M EUR desde su nombramiento, con bono anual y plan de acciones por rendimiento [19]. En la junta de 2025 el informe de remuneración solo obtuvo el 72,29 % a favor (≈27,7 % en contra de los votos emitidos): la empresa reconoció en su declaración posterior que el fijo de entrada de Fernandez fue uno de los motivos de queja en 22 reuniones con accionistas [32]. En 2026 el apoyo volvió al 97,63 % (informe) y al 95,69 % (nueva política) [30]. No pudimos leer las métricas del variable ni la cifra total del ejercicio.</w:t>
      </w:r>
    </w:p>
    <w:p>
      <w:pPr>
        <w:pStyle w:val="Heading2"/>
      </w:pPr>
      <w:r>
        <w:t xml:space="preserve">Operaciones vinculadas, estructura de control y defensas</w:t>
      </w:r>
    </w:p>
    <w:p>
      <w:pPr>
        <w:spacing w:after="100"/>
      </w:pPr>
      <w:r>
        <w:t xml:space="preserve">Sin accionista de control y una acción, un voto (Unilever PLC cotiza en Londres, Ámsterdam y como ADR en Nueva York). Trian, del consejero Nelson Peltz, es el accionista activista que impulsó la separación de negocios [28]. La operación con McCormick no se votó en junta: las reglas de cotización británicas de 2024 ya no lo exigen, y varios accionistas lo criticaron en la junta de 2026 [29].</w:t>
      </w:r>
    </w:p>
    <w:p>
      <w:pPr>
        <w:pStyle w:val="Heading2"/>
      </w:pPr>
      <w:r>
        <w:t xml:space="preserve">Señales de alerta</w:t>
      </w:r>
    </w:p>
    <w:p>
      <w:pPr>
        <w:pStyle w:val="ListParagraph"/>
        <w:numPr>
          <w:ilvl w:val="0"/>
          <w:numId w:val="2"/>
        </w:numPr>
        <w:spacing w:after="60"/>
      </w:pPr>
      <w:r>
        <w:t xml:space="preserve">Rechazo del 27,7 % al informe de remuneración en la junta de 2025 (corregido en 2026) [30, 32]</w:t>
      </w:r>
    </w:p>
    <w:p>
      <w:pPr>
        <w:pStyle w:val="ListParagraph"/>
        <w:numPr>
          <w:ilvl w:val="0"/>
          <w:numId w:val="2"/>
        </w:numPr>
        <w:spacing w:after="60"/>
      </w:pPr>
      <w:r>
        <w:t xml:space="preserve">Cambio de CEO en marzo de 2025 tras menos de dos años de Schumacher [19]</w:t>
      </w:r>
    </w:p>
    <w:p>
      <w:pPr>
        <w:pStyle w:val="ListParagraph"/>
        <w:numPr>
          <w:ilvl w:val="0"/>
          <w:numId w:val="2"/>
        </w:numPr>
        <w:spacing w:after="60"/>
      </w:pPr>
      <w:r>
        <w:t xml:space="preserve">Operación de 44.800 M USD con McCormick sin voto de la junta; salida de Fundsmith (Terry Smith) [28, 29]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Feb-2026: crecimiento subyacente de 2026 en la parte baja del rango plurianual del 4-6 % y mejora modesta del margen subyacente desde el 20,0 % [1]. 30-abr-2026: sin cambios [33]. 29-jul-2026: guía elevada a «dentro del 4-6 %» con ≈3 % de volumen, un 2S26 del 4-5 % con más precio, mejora modesta del margen y deuda neta de ≈2 veces el EBITDA subyacente a final de año [34]. Recompras de 6.000 M EUR en 2026-2029 con el efectivo de McCormick [4]. Día del inversor el 4-nov-2026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previo al 1S26 citado por Webull (sin número de analistas)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47,10 – 70,08</w:t>
            </w:r>
          </w:p>
        </w:tc>
      </w:tr>
    </w:tbl>
    <w:p>
      <w:pPr>
        <w:spacing w:after="160" w:before="0"/>
      </w:pPr>
    </w:p>
    <w:p>
      <w:pPr>
        <w:pStyle w:val="Heading2"/>
      </w:pPr>
      <w:r>
        <w:t xml:space="preserve">Revisiones de estimaciones</w:t>
      </w:r>
    </w:p>
    <w:p>
      <w:pPr>
        <w:spacing w:after="100"/>
      </w:pPr>
      <w:r>
        <w:t xml:space="preserve">Una sola fuente con objetivos completos (Simply Wall St: 52,29 GBP de media, 39,79-59,20 GBP, 20 analistas), convertidos a EUR con el tipo del BCE del 12-oct [36, 37]; Webull daba 52,77 GBP con 18 analistas [35] y MarketBeat, con un panel de 6, 39,21 GBP en mayo [38]. Tras el 1S26 hubo subidas de objetivos (TD Cowen, de 67 a 76 USD por ADR) [13]. El consenso de BPA de 2026 (≈3,04 EUR antes del 1S26) no se pudo actualizar ni completar para 2027-2028 desde la nube.</w:t>
      </w:r>
    </w:p>
    <w:p>
      <w:pPr>
        <w:pStyle w:val="Heading1"/>
      </w:pPr>
      <w:r>
        <w:t xml:space="preserve">18. Comparables cotizados</w:t>
      </w:r>
    </w:p>
    <w:p>
      <w:pPr>
        <w:pStyle w:val="Confianza"/>
        <w:spacing w:after="100"/>
      </w:pPr>
      <w:r>
        <w:t xml:space="preserve">Confianza: Baja</w:t>
      </w:r>
    </w:p>
    <w:p>
      <w:pPr>
        <w:spacing w:after="100"/>
      </w:pPr>
      <w:r>
        <w:t xml:space="preserve">Grandes grupos europeos y estadounidenses de consumo envasado con marcas propias y presencia mundial, a la misma fecha (14-oct-2026), tomados de los informes del repositorio del mismo día (Nestlé y L'Oréal, con sus fuentes de MarketScreener) [26, 27]: alimentación y nutrición (Nestlé, Danone, Mondelez, Kraft Heinz, General Mills) y belleza (L'Oréal, Beiersdorf). Faltan P&amp;G, Colgate, Reckitt, Henkel y Haleon, cuyo PER a 12 meses no apareció con fecha en las búsquedas.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Kraft Heinz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General Mills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188"/>
        <w:gridCol w:w="1188"/>
        <w:gridCol w:w="1056"/>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 / 18,1x / 19,4x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Unilever cotiza a 18,4 veces el BPA publicado de los próximos 12 meses (≈16,5 veces nuestro BPA subyacente de 2027e), en línea con la mediana de los comparables (18,1 veces) [26, 27]. L'Oréal (26,2 veces) tiene prima por crecimiento y belleza pura; Kraft Heinz y General Mills (11,6-11,8 veces), descuento por alimentación sin crecimiento. Si Unilever se queda en belleza, cuidado personal y hogar, su múltiplo natural está entre Beiersdorf (19,6) y L'Oréal, no en la alimentación: es el argumento alcista de la separación. Usaríamos 18 veces para el conjunto.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Alimentación de Unilever (Knorr, Hellmann's)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McCormick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44.800 M USD (15.700 M en efectivo y 29.100 M en acciones), convertidos a ≈38.000 M EUR; sobre ≈12.900 M EUR de ventas de 2025, ≈2,9 veces (estimación propia, perímetro algo menor) [3,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ekaterra (té de Unilever)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CVC Capital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4.500 M EUR [18]</w:t>
            </w:r>
          </w:p>
        </w:tc>
      </w:tr>
    </w:tbl>
    <w:p>
      <w:pPr>
        <w:spacing w:after="160" w:before="0"/>
      </w:pPr>
    </w:p>
    <w:p>
      <w:pPr>
        <w:spacing w:after="160" w:before="0"/>
      </w:pPr>
    </w:p>
    <w:p>
      <w:pPr>
        <w:spacing w:after="100"/>
      </w:pPr>
      <w:r>
        <w:t xml:space="preserve">La operación de referencia es la propia venta de la alimentación: ≈38.000 M EUR por un negocio de ≈12.900 M EUR de ventas en 2025 [3, 4]. No encontramos múltiplos de EBITDA publicados con fecha y fuente de otras operaciones del sector; por eso las transacciones no pesan en la valoración. Unilever, con ≈120.000 M EUR de capitalización, no es candidata realista a una compra entera.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El ejercicio 2026e queda fijo en +1,0 %: dos trimestres publicados con +0,5 % de facturación (crecimiento subyacente del 4,8 % y ≈4 puntos de divisa en contra) [5, 11]. Para 2027e-2029e proyectamos un 4,0-4,5 %, en la parte media-baja del rango plurianual del 4-6 % de la empresa [1] y por encima del 3,5 % de 2025 [1], porque las Power Brands (78 % de las ventas) crecen un 6 % [5]. Bajamos al 3,0 % en 2032e, cerca del terminal.</w:t>
      </w:r>
    </w:p>
    <w:p>
      <w:pPr>
        <w:keepNext/>
        <w:spacing w:after="100"/>
      </w:pPr>
      <w:r>
        <w:rPr>
          <w:b/>
          <w:bCs/>
        </w:rPr>
        <w:t xml:space="preserve">Márgenes.</w:t>
      </w:r>
    </w:p>
    <w:p>
      <w:pPr>
        <w:spacing w:after="100"/>
      </w:pPr>
      <w:r>
        <w:t xml:space="preserve">Margen EBITDA del 22,3 % en 2026e subiendo al 23,0 % en 2029e. Es un margen entre el publicado (20,8 % en 2025: 10.487 M) y el subyacente (≈22,9 %): restamos ≈1 punto de ventas por la reestructuración, que en Unilever se repite cada año [1, 8]. La subida de 70 pb en tres años es similar a la de 2025 (+60 pb de margen subyacente) [1] y a la guía de «mejora modesta» [34].</w:t>
      </w:r>
    </w:p>
    <w:p>
      <w:pPr>
        <w:keepNext/>
        <w:spacing w:after="100"/>
      </w:pPr>
      <w:r>
        <w:rPr>
          <w:b/>
          <w:bCs/>
        </w:rPr>
        <w:t xml:space="preserve">Inversión y circulante.</w:t>
      </w:r>
    </w:p>
    <w:p>
      <w:pPr>
        <w:spacing w:after="100"/>
      </w:pPr>
      <w:r>
        <w:t xml:space="preserve">Amortización del 3,0 % de las ventas (≈1.450 M en 2025, estimación propia) e inversión del 3,2 %, algo más que la amortización por las altas de derechos de uso (arrendamientos ≈1.490 M) [1, 16]. El circulante comercial de Unilever es negativo; lo dejamos en 0 % de las ventas para no generar caja que no podemos comprobar.</w:t>
      </w:r>
    </w:p>
    <w:p>
      <w:pPr>
        <w:keepNext/>
        <w:spacing w:after="100"/>
      </w:pPr>
      <w:r>
        <w:rPr>
          <w:b/>
          <w:bCs/>
        </w:rPr>
        <w:t xml:space="preserve">Coste del capital.</w:t>
      </w:r>
    </w:p>
    <w:p>
      <w:pPr>
        <w:spacing w:after="100"/>
      </w:pPr>
      <w:r>
        <w:t xml:space="preserve">Tasa libre: Bund a 10 años del 3,53 % [47], porque los flujos van en euros. Beta 0,75, entre la de Nestlé (0,65) y la de L'Oréal (0,85) de los informes del mismo día [26, 27]; prima de mercado del 5,5 % y 0,5 puntos adicionales por la exposición a emergentes (≈60 % de las ventas). Coste de la deuda antes de impuestos del 3,5 % (el medio contable ronda el 2 %, pero la nueva deuda cuesta más) y 18 % de deuda a valor de mercado. WACC del 7,16 %.</w:t>
      </w:r>
    </w:p>
    <w:p>
      <w:pPr>
        <w:keepNext/>
        <w:spacing w:after="100"/>
      </w:pPr>
      <w:r>
        <w:rPr>
          <w:b/>
          <w:bCs/>
        </w:rPr>
        <w:t xml:space="preserve">Valor terminal.</w:t>
      </w:r>
    </w:p>
    <w:p>
      <w:pPr>
        <w:spacing w:after="100"/>
      </w:pPr>
      <w:r>
        <w:t xml:space="preserve">Gordon con un 2,5 % de crecimiento: 2 % de inflación del euro y medio punto real por los emergentes, por debajo de la tasa libre menos medio punto (3,03 %). El valor terminal pesa un 76 % del valor, normal para un negocio maduro.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 M (1 % del NOPAT)</w:t>
            </w:r>
          </w:p>
        </w:tc>
      </w:tr>
    </w:tbl>
    <w:p>
      <w:pPr>
        <w:spacing w:after="160" w:before="0"/>
      </w:pPr>
    </w:p>
    <w:p>
      <w:pPr>
        <w:spacing w:after="100"/>
      </w:pPr>
      <w:r>
        <w:t xml:space="preserve">La proyección apenas necesita inversión neta de la amortización (reinversión acumulada de 809 M, el 1 % del NOPAT, con un capex bruto medio del 3,2 % de las ventas). En un negocio de activos ligeros, el crecimiento medio del 3,5 %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≈3 % de volumen y 4-5 % de crecimiento subyacente en el 2S26; la divisa resta ≈3,5 puntos (1S26: +0,5 % de facturación con +4,8 % subyacente)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en línea con 2026 y precio moderado, como en el 1S26 (0,6 puntos) que la empresa espera subir en el 2S26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2 %, igual que en 2025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2 %, el de 2025 (1,5 %) más la mezcla hacia belleza y bienestar.</w:t>
            </w:r>
          </w:p>
        </w:tc>
      </w:tr>
    </w:tbl>
    <w:p>
      <w:pPr>
        <w:spacing w:after="160" w:before="0"/>
      </w:pPr>
    </w:p>
    <w:p>
      <w:pPr>
        <w:spacing w:after="100"/>
      </w:pPr>
      <w:r>
        <w:t xml:space="preserve">El crecimiento proyectado (3,5 % de media) no necesita capital: la reinversión es de ≈1 % del beneficio operativo después de impuestos (inversión apenas por encima de la amortización y circulante negativo), así que el motor no hace la prueba de financiación; la hacemos a mano. El crecimiento sale de volumen y precio de marcas ya establecidas, con el gasto publicitario dentro del margen. Unilever creció un 3,5 % en 2025 y un 4,8 % en el 1S26 con un ROIC subyacente del 16,2 % [7], y su precio aportó 2,0 puntos en 2025 [1]: la proyección está dentro de lo que ya hace. La cuota no se puede medir (hueco), pero un 4 % anual es el crecimiento del mercado de belleza y cuidado personal (≈4,3 % previsto) [23].</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20,6 % (base: 23,0 %)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7,2 %)</w:t>
            </w:r>
          </w:p>
        </w:tc>
      </w:tr>
    </w:tbl>
    <w:p>
      <w:pPr>
        <w:spacing w:after="160" w:before="0"/>
      </w:pPr>
    </w:p>
    <w:p>
      <w:pPr>
        <w:spacing w:after="100"/>
      </w:pPr>
      <w:r>
        <w:t xml:space="preserve">El DCF da 65,96 EUR por acción, un 18,1 % sobre el precio (55,85 EUR, 4.718 p), con un WACC del 7,16 % y un valor terminal que pesa el 76 %. El DCF inverso dice que el precio descuenta un crecimiento del 1,4 % anual en 2027e-2032e (frente al 3,9 % de nuestro base) o un margen EBITDA del 20,6 % (frente al 23,0 %), y una rentabilidad implícita del 7,8 %. Es una exigencia baja: Unilever creció un 3,5 % subyacente en 2025 y un 4,8 % en el 1S26 [1, 5], y su margen subyacente ya está en el 20,0-20,3 %. El mercado no paga por la mejora de volumen: castiga la incertidumbre de la reorganización (helados en 2025, alimentación en 2027) y la divisa de los emergentes, que se come el crecimiento en euros. Con una beta de 0,75, la diferencia entre la rentabilidad implícita (7,8 %) y el WACC (7,16 %) es pequeña: el valor depende sobre todo de que el crecimiento en euros vuelva al 4 %.</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frena al bajar los precios de las materias primas y la marca blanca gana en Europa; la divisa sigue restando 3-4 puntos y el crecimiento en euros se queda en el 2-3 % con el margen un punto por debajo, como en 2023-24 tras las subidas de precio.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subyacente del 4-5 % con ≈3 % de volumen, divisa neutral desde 2027 y mejora del margen de 70 pb hasta 2029; la operación con McCormick cierra a mediados de 2027 sin cambiar el valor.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Power Brands sostienen un 6 % y belleza y bienestar gana peso: crecimiento en la parte alta del 4-6 % y margen subyacente hacia el 21-22 %, como prometerá el día del inversor de noviembre.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EUR) · precio actual 55,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63,93 EUR (+14,5 %).</w:t>
      </w:r>
    </w:p>
    <w:p>
      <w:pPr>
        <w:spacing w:after="100"/>
      </w:pPr>
      <w:r>
        <w:t xml:space="preserve">El bajista vale 50,44 EUR (−9,7 %) y el alcista 73,36 EUR (+31,4 %), con el base en 65,96 EUR (+18,1 %): la asimetría sobre el valor intrínseco es favorable. Pero a 12 meses la asimetría es menor (1,62), porque el múltiplo del base ya es el actual (16,5 veces) y el bajista lo baja a 14,0 veces.</w:t>
      </w:r>
    </w:p>
    <w:p>
      <w:pPr>
        <w:pStyle w:val="Heading1"/>
      </w:pPr>
      <w:r>
        <w:t xml:space="preserve">22. Suma de partes</w:t>
      </w:r>
    </w:p>
    <w:p>
      <w:pPr>
        <w:pStyle w:val="Confianza"/>
        <w:spacing w:after="100"/>
      </w:pPr>
      <w:r>
        <w:t xml:space="preserve">Confianza: Baja</w:t>
      </w:r>
    </w:p>
    <w:p>
      <w:pPr>
        <w:spacing w:after="100"/>
      </w:pPr>
      <w:r>
        <w:t xml:space="preserve">No aplica: los cuatro grupos de negocio tienen márgenes parecidos y no publicamos su resultado (hueco). La alimentación sale en 2027 a un precio de mercado.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EUR) · precio actual 55,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62,72 EUR (+12,3 % sobre 55,85).</w:t>
      </w:r>
    </w:p>
    <w:p>
      <w:pPr>
        <w:spacing w:after="100"/>
      </w:pPr>
      <w:r>
        <w:t xml:space="preserve">El DCF pesa el 50 % porque Unilever es un negocio estable con flujos previsibles; los comparables, el 25 %, con poco peso por estar incompletos (siete empresas, solo PER) y mezclar alimentación y belleza; los escenarios, el 25 %. Las transacciones no pesan: la única de referencia es la propia venta de la alimentación, sin múltiplo de EBITDA publicado. La síntesis da 62,72 EUR (+12,3 %). Los comparables por PER dan entre 44,08 y 58,98 EUR, por debajo del DCF: el mercado valora hoy el consumo básico con PER de 17-19 veces, y Unilever cotiza a 18,4 veces el BPA publicado de los próximos 12 meses.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(16.5x) a mitad de camino hacia la mediana de 5 años (19.2x)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r>
    </w:tbl>
    <w:p>
      <w:pPr>
        <w:spacing w:after="160" w:before="0"/>
      </w:pPr>
    </w:p>
    <w:p>
      <w:pPr>
        <w:spacing w:after="100"/>
      </w:pPr>
      <w:r>
        <w:rPr>
          <w:b/>
          <w:bCs/>
        </w:rPr>
        <w:t xml:space="preserve">Objetivo a 12 meses (ponderado):</w:t>
      </w:r>
      <w:r>
        <w:t xml:space="preserve"> 63,02 EUR (5.323,80 GBp) · rentabilidad +16,2 % (base +18,1 %) · señal Mantener.</w:t>
      </w:r>
    </w:p>
    <w:p>
      <w:pPr>
        <w:spacing w:after="100"/>
      </w:pPr>
      <w:r>
        <w:t xml:space="preserve">Para comparar, con la regla v2 (historia al cierre, mismo precio): 14,0x / 16,5x / 18,7x, 9,1 % Mantener. Decide la regla vigente (v3 con tope ×1,1; METODO-VIGENTE.md).</w:t>
      </w:r>
    </w:p>
    <w:p>
      <w:pPr>
        <w:keepNext/>
        <w:spacing w:after="100"/>
      </w:pPr>
      <w:r>
        <w:rPr>
          <w:b/>
          <w:bCs/>
        </w:rPr>
        <w:t xml:space="preserve">Frente al consenso (solo contraste).</w:t>
      </w:r>
    </w:p>
    <w:p>
      <w:pPr>
        <w:spacing w:after="100"/>
      </w:pPr>
      <w:r>
        <w:t xml:space="preserve">El consenso de BPA de 2026 era ≈3,04 EUR antes del 1S26 [35]; no tenemos el de 2028e. Nuestro BPA de 2028e (3,60 EUR) supone un 5,3 % anual desde los 3,08 EUR de 2025, la mitad que el +9,5 % a tipo constante de 2025, por la divisa. El objetivo medio de los analistas (61,90 EUR, 5.229 p) está un 4 % por encima de nuestro objetivo ponderado (59,09 EUR) y dentro de nuestro rango (46,48-71,06 EUR): la diferencia es de múltiplo, no de beneficio.</w:t>
      </w:r>
    </w:p>
    <w:p>
      <w:pPr>
        <w:keepNext/>
        <w:spacing w:after="100"/>
      </w:pPr>
      <w:r>
        <w:rPr>
          <w:b/>
          <w:bCs/>
        </w:rPr>
        <w:t xml:space="preserve">Del valor intrínseco al objetivo a 12 meses.</w:t>
      </w:r>
    </w:p>
    <w:p>
      <w:pPr>
        <w:spacing w:after="100"/>
      </w:pPr>
      <w:r>
        <w:t xml:space="preserve">Nuestro valor intrínseco (62,72 EUR de la síntesis) queda un 6 % por encima del objetivo a 12 meses (59,09 EUR). La distancia es pequeña: para cerrarla basta que el mercado pague por Unilever su PER mediano de cinco años (17,9 veces) en lugar del actual (16,5), algo que puede pasar si el día del inversor del 4-nov-2026 fija objetivos creíbles para la empresa sin alimentación y el 3T26 (28-oct) confirma el volumen.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del volumen (≈3 %) y del precio en el 2S26 (guía del 4-5 %)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(Capital Markets Day)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 la empresa sin alimentación: crecimiento, margen y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subyacente frente al 20,0 % de 2025 y deuda neta frente a ≈2 veces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McCormick y aprobaciones de competencia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retraso o cambio de condiciones de la operación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Mediados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operación con McCormick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Cobro de 15.700 M USD, reparto del 55,1 % de la nueva McCormick y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emergentes (India, Indonesia, Brasil, Turquía, Argentina) frente al euro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(escenario bajista: −9,7 %)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local para compensar la inflación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subyacente y facturación mayor de 4 puntos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y distracción por la separación de la alimentación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dedicado y McCormick asume la integración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del cierre más allá de mediados de 2027 o volumen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del volumen a niveles de 2025 (1,5 %) al subir precios en el 2S26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Power Brands con inversión publicitaria al alza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3T26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 blanca y marcas digitales en Europa y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emergentes y de belleza de prestigio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con volumen negativo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 alza por recompras (2,3 veces el EBITDA en junio)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de McCormick; la empresa apunta a ≈2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sobre EBITDA subyacente por encima de 2,5 veces [5]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decisiones de cartera impulsadas por un activista sin voto de la junta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Apoyo del 93-99 % a los consejeros en la junta de 2026 [30]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venta o fusión sin votación</w:t>
            </w:r>
          </w:p>
        </w:tc>
      </w:tr>
    </w:tbl>
    <w:p>
      <w:pPr>
        <w:spacing w:after="160" w:before="0"/>
      </w:pPr>
    </w:p>
    <w:p>
      <w:pPr>
        <w:pStyle w:val="Heading2"/>
      </w:pPr>
      <w:r>
        <w:t xml:space="preserve">Pre-mortem</w:t>
      </w:r>
    </w:p>
    <w:p>
      <w:pPr>
        <w:spacing w:after="100"/>
      </w:pPr>
      <w:r>
        <w:t xml:space="preserve">Octubre de 2029: la acción ha perdido un 40 %. La operación con McCormick se retrasó hasta 2028 por las autoridades de competencia y el mercado castigó la «Unilever restante» con un múltiplo de 14 veces mientras la nueva McCormick cotizaba con descuento por su deuda. Entretanto, el volumen volvió al 1-2 % en cuanto la empresa subió precios en el 2S26 para compensar la divisa, y el margen dejó de subir porque hubo que reinvertir en publicidad para defender cuota frente a la marca blanca en Europa. La rupia, la lira y el peso siguieron restando 4 puntos al año, de modo que el BPA en euros se quedó plano en ≈3,1 EUR durante tres años. Las señales que lo habrían anticipado: un volumen del 3T26 por debajo del 2 %, una guía de 2027 sin mejora de margen y la diferencia entre crecimiento subyacente y facturación por encima de 4 puntos.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más afectan a las cifras son los plásticos de un solo uso (impuestos y normas de envases en la UE y el Reino Unido, que suben el coste del envase), el abastecimiento de aceite de palma sin deforestación (reglamento europeo de deforestación) y la reputación de las marcas en salud (alimentación con alto contenido en grasa, azúcar o sal), que deja de ser material tras vender la alimentación.</w:t>
      </w:r>
    </w:p>
    <w:p>
      <w:pPr>
        <w:pStyle w:val="Heading2"/>
      </w:pPr>
      <w:r>
        <w:t xml:space="preserve">Controversias</w:t>
      </w:r>
    </w:p>
    <w:p>
      <w:pPr>
        <w:spacing w:after="100"/>
      </w:pPr>
      <w:r>
        <w:t xml:space="preserve">Sin sanciones relevantes encontradas en 2023-2026 en esta búsqueda. La controversia más visible es de gobierno: la operación con McCormick no se sometió a votación de la junta y varios accionistas lo criticaron en mayo de 2026 [29].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Perímetro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margen tendrá la Unilever sin alimentación y qué objetivos dará el día del inversor del 4-nov?</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múltiplo de la empresa que queda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y 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volumen se pierde al subir precios en el 2S26?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base supone ≈2,5 % de volumen con 1,5-2 %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McCormick</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tiene el negocio de alimentación que se traspasa y a qué múltiplo se vendió?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operación se trata como neutral en valor por falta de ese dato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efecto divisa se recupera con precio en los países de inflación alta?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divisa restó ≈4 puntos en 2025 y en el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dejan de existir los ≈1.000 M anuales de costes fuera del resultado subyacente?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margen publicado del subyacente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mantienen los 6.000 M de recompras si se retrasa el cobro de McCormick?</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ya está en 2,3 veces el EBITDA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Twelfth Magpie (antes Motley Fool UK): artículos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«Estoy harto del precio de Unilever, ¿vendo?»: la acción llevaba más de un 25 % de caída desde el máximo de 5.526 p de febrero y el inversor de largo plazo duda de la reorganización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Twelfth Magpie: análisis tras el 1T26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Defiende la acción como compra defensiva para la cuenta ISA: la reestructuración enturbia el beneficio, pero la caja sigue entrando y hay 6.000 M de recompras hasta 2029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(ii view)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prudente de 2026 (parte baja del 4-6 %) frenó la acción; valor de calidad sin catalizador inmediato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sectorial (FoodNavigator, Food Manufacture) y comentarios de inversores institucionales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a la operación con McCormick por estructura y por no votarse; Terry Smith vende toda su posición y acusa a la empresa de perseguir rupturas impulsadas por activistas [28,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Sure Dividend (análisis para inversores de dividendos)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1S26: crecimiento con volumen, PER de 16,8 por debajo de su media de 10 años (19,3), pero rentabilidad esperada modesta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Operación con McCormick y separación de la alimentación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cayó ≈14 % desde el 17-mar por la operación [44]; en valor, Unilever cobra 15.700 M USD en efectivo y retiene el 9,9 % más el 55,1 % para sus accionistas, a ≈2,9 veces ventas: no destruye valor en las cifras, pero alarga la incertidumbre hasta mediados de 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del volumen bajo Fernandez</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confirman: volumen +4,2 % en el 1S26 frente a +1,5 % en 2025 [5].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Acción cara o barata frente a su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un PER bajo su media de diez años [45]; otros, un valor sin catalizador [43]. Nuestro PER sobre el BPA de 2027e (≈16) está por debajo de su mediana de cinco años.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por dividendo de ≈3,3 % y 6.000 M de recompras en 2026-2029 [42].</w:t>
            </w:r>
          </w:p>
        </w:tc>
      </w:tr>
    </w:tbl>
    <w:p>
      <w:pPr>
        <w:spacing w:after="160" w:before="0"/>
      </w:pPr>
    </w:p>
    <w:p>
      <w:pPr>
        <w:spacing w:after="100"/>
      </w:pPr>
      <w:r>
        <w:t xml:space="preserve">El sentimiento de los particulares y de los gestores británicos se agrió en primavera por la operación con McCormick (salida de Terry Smith, críticas en la junta) y ha mejorado desde los resultados del 1S26, cuando la acción subió cerca de un 7 % en un día. No hay euforia ni capitulación: el debate es si la reorganización distrae del negocio. No contradice al consenso de analistas, mayoritariamente comprador, y señala un riesgo que el informe recoge: la incertidumbre sobre el perímetro hasta mediados de 2027.</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Fuentes: 47 (20 primarias); citas distintas en el texto: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Múltiplos frente a su historia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amortizaciones y resultado financiero 2021-2023; serie sin helados antes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informe anual 2025 y del PDF de históricos sin helados: solo devolvió el índice; 2) proveedores de datos (Stockopedia, Kalkine): solo ventas, EBIT y beneficio, con cifras que no cuadran entre sí; 3) 20-F y 6-K en la SEC: extractos sin las líneas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2021-2024, circulante, fondo de comercio, vencimientos de la deuda y pensiones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abre desde la nube); 2) proveedores de datos (Weiss, Stock Analysis, Kalkine): cifras sueltas y en divisas dudosas; 3) informe semestral 2026: solo la deuda neta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flujos 2021-2024 sin helados, dividendos pagados,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 de resultados 2025 (solo 2025 y la caja libre de 2024); 2) 6-K de 2024 (cifras con helados); 3) proveedores de datos con cifras en USD de otra definición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cada grupo de negocio e historia de segmentos;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Highlights del 4T25 (solo ventas); 2) nota de prensa del 1S26; 3) presentación de resultados 2025: el extracto no trae márgenes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abre); 2) folleto de bonos (no buscado: cupo de búsquedas compartido); 3) prensa: sin extracto con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del mercado, cuidado del hogar, CR5 y cuota de Unilever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Euromonitor y del informe anual (cuotas): sin extracto; 2) consultoras de mercado (IMARC, Persistence, SIS): solo belleza y cuidado personal, con perímetros distintos; 3) búsqueda de cuota en prensa: nada citable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PER y cifras de P&amp;G, Colgate, Reckitt, Henkel: solo páginas sin fecha; 2) informes del repositorio del mismo día (Nestlé, L'Oréal): sin ingresos y márgenes de esos rivales; 3) cupo de búsquedas compartido: se prioriza la valoración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buscadas en MSCI/Sustainalytics (cupo); 2) informe anual no accesible; 3) sin fuente secundaria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significativos, operaciones de directivos, comisiones del consejo, remuneración total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remuneración 2025 (solo el índice en el extracto); 2) avisos de voto y de operaciones de directivos en RNS: sin extractos de 2026; 3) proveedores (Simply Wall St) con cifras contradictorias (5,12 y 5,63 M EUR), no usadas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a Yahoo bloqueado; 3) búsquedas: solo precios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cierre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cierres anuales en peniques (solo ADR ajustado de Macrotrends y un cierre sin fecha de InvestSmart); 3) búsqueda en prensa del cierre de cada año: nada. El PER histórico de la revisión a 12 meses sale del PER medio anual de Sure Dividend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ventas, EBITDA y BPA 2027-2028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PDF de consenso de la empresa (solo el índice); 2) MarketScreener (extracto sin cifras fiables); 3) Webull y Simply Wall St: solo 2026 y objetivos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LSE Chat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web de hilos de Reddit y Seeking Alpha sobre Unilever en sep-oct 2026: solo páginas de previsiones algorítmicas; 2) LSE Chat (da 403 según las lecciones; WebFetch bloqueado); 3) búsqueda de Motley Fool UK reciente: lo último es de mayo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Q4 and Full Year 2025 Results – Full Announcement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https://www.unilever.com/files/ir-q4-2025-full-announcement.pdf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2025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https://www.unilever.com/files/unilever-annual-report-and-accounts-2025.pdf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highlights: key figures by Business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https://www.unilever.com/files/ir-q4-2025-highlights.pdf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announcement: agrees $44.8bn combination of its Foods business with McCormick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https://www.hl.co.uk/shares/share-research/unilever-announcement-agrees-448bn-sale-of-its-foods-business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Desire at scale powering strong H1 performance (nota de prensa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https://www.unilever.com/news/press-and-media/press-releases/2026/desire-at-scale-powering-strong-h1-performance/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Q1 sales 12.6 bln eur, down 3.3%, up underlying 3.8%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Radiocor / Borsa Italiana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https://www.borsaitaliana.it/borsa/notizie/radiocor/finance/dettaglio/unilever-q1-sales-126-bln-eur-down-33-up-underlying-38-nRC_30042026_0857_213491294.html?lang=en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2025 (ROIC subyacente)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https://www.sec.gov/Archives/edgar/data/217410/000021741026000007/ul-20251231.htm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Full Year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https://www.investegate.co.uk/announcement/rns/unilever--ulvr/2025-full-year-results/9426818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ULVR – Unilever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https://www.stockopedia.com/share-prices/unilever-LON:ULVR/income-statement/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PLC (LSE:ULVR) financials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https://kalkinemedia.com/uk/companies/lse-ulvr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 Half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FCA NSM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https://data.fca.org.uk/artefacts/NSM/RNS/707c14fb-96cc-4f48-beb2-bdfb2657c226.html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Q1 2026 trading statement: underlying sales 3.8% (exp. 3.7%)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https://www.newsquawk.com/headlines/unilever-ulvr-ln-q1-2026-trading-statement-underlying-sales-38-exp-37-fy26-outlook-unchanged-with-usg-at-lower-end-of-4-6-and-modest-margin-improvement-expected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soars 6.71% in pre-market as H1 earnings crush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https://www.itiger.com/news/1100603450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(UL)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https://www.fool.com/earnings/call-transcripts/2026/07/29/unilever-ul-q2-2026-earnings-call-transcript/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PLC (UL)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https://stockanalysis.com/stocks/ul/financials/balance-sheet/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Q2 2026 Results Full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https://www.unilever.com/files/unilever-q2-2026-results-full-announcement.pdf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to consolidate shares on 8-for-9 ratio after Magnum demerger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Checkout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https://www.checkout.ie/a-brands/unilever-to-consolidate-shares-on-8-for-9-ratio-after-magnum-demerger-222876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https://en.wikipedia.org/wiki/Unilever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board update (25-feb-2025): Fernando Fernandez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https://www.unilever.com/news/press-and-media/press-releases/2025/unilever-board-update-25-02-25/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https://www.sec.gov/Archives/edgar/data/217410/000165495425001878/a2814y.htm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Magnum Ice Cream Company demerger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https://www.unilever.com/investors/the-magnum-ice-cream-company-demerger/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McCormick to acquire Unilever's food business in $44.8B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NJBIZ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https://njbiz.com/mccormick-unilever-food-business-44-8b-deal/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Beauty and personal care products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https://www.imarcgroup.com/beauty-personal-care-products-market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Beauty and personal care product market, global (Persistence Market Research)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https://www.giiresearch.com/report/infi2056148-global-beauty-personal-care-products-market.html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sales rise as Power Brands drive volume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Retail Gazette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https://www.retailgazette.co.uk/?p=203665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L'Oréal del repositorio (14-oct-2026): comparables con sus fuentes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(MarketScreener y otros)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informes/loreal-2026-10-14/datos.json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Nestlé del repositorio (14-oct-2026): comparables con sus fuentes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(MarketScreener y otros)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informes/nestle-2026-10-14/datos.json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shaken by investor exit as McCormick deal unsettles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FoodNavigator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https://www.foodnavigator.com/Article/2026/05/14/unilever-40bn-mccormick-deal-sparks-investor-exit-and-shareholder-backlash/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shareholders confront bosses with concerns over tie-up with US rival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LBC / 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https://www.lbc.co.uk/article/94b74b3d7379480187ac2c9dce7e5931-5HjdZ5w_2/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(13-may-2026) y registro de voto de Robeco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Investegate; Robeco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https://www.investegate.co.uk/announcement/rns/unilever--ulvr/result-of-agm/9567069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Events calendar (3T26 el 28-oct; Capital Markets Day el 4-nov-2026)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https://www.unilever.com/investors/results-events/upcoming-results/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re AGM vote (30-oct-2025)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ticker.app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https://www.ticker.app/lse/ULVR/rns/2025-10-30/Statement-re-AGM-Vote/5396F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Trading Statement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https://www.investegate.co.uk/announcement/rns/unilever--ulvr/q1-2026-trading-statement/9545280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 Half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https://www.investegate.co.uk/announcement/rns/unilever--ulvr/2026-first-half-results/9689925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consenso y objetivos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https://www.webull.com/news/15321978773971968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PLC valuation: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https://simplywall.st/stocks/gb/household/lse-ulvr/unilever-shares/valuation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12-oct-2026 (0,84478 GBP por EUR;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https://www.ecb.europa.eu/stats/policy_and_exchange_rates/euro_reference_exchange_rates/html/eurofxref-graph-gbp.en.html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(LON:ULVR)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https://www.marketbeat.com/stocks/LON/ULVR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PLC ULVR: cotización (4.718 p a las 16:27 del 13-oct-2026; rango de 52 semanas 3.644-5.526 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 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https://www.londonstockexchange.com/stock/ULVR/unilever-plc/company-page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(30-sep-2026): 2.154.327.953 acciones con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https://www.sec.gov/Archives/edgar/data/0000217410/000021741026000040/a995totalvotingrights-01.htm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 fed up with the Unilever share price. Do I sell my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https://www.twelfthmagpie.com/2026/05/22/im-fed-up-with-the-unilever-share-price-do-i-sell-my-stock/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Are Unilever shares the perfect ISA buy for troubled times after Q1 impresses?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https://www.twelfthmagpie.com/2026/04/30/are-unilever-shares-the-perfect-isa-buy-for-troubled-times-after-q1-impresses/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Unilever's cautious outlook holds back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https://www.ii.co.uk/analysis-commentary/ii-view-unilevers-cautious-outlook-holds-back-shares-ii538124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shares plummet following McCormick megamerger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FoodNavigator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https://www.foodnavigator.com/Article/2026/04/15/unilever-shares-plummet-following-mccormick-megamerger-announcement/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(UL) – Sure Analysis Research Database, 20-ago-2026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Sure Dividend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https://www.suredividend.com/wp-content/uploads/2026/08/UL-2026-08-20.pdf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3,53 %), serie BBSIS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77,4 %</w:t>
      </w:r>
      <w:r>
        <w:t xml:space="preserve"> · Secciones con menos del 60 % de campos cubiertos: </w:t>
      </w:r>
      <w:r>
        <w:rPr>
          <w:b/>
          <w:bCs/>
        </w:rPr>
        <w:t xml:space="preserve">gobierno, bolsa, multiplos_historicos</w:t>
      </w:r>
      <w:r>
        <w:t xml:space="preserve"> · Generado el 14 oct 2026.</w:t>
      </w:r>
    </w:p>
    <w:p>
      <w:pPr>
        <w:pStyle w:val="Nota"/>
        <w:spacing w:after="100"/>
      </w:pPr>
      <w:r>
        <w:t xml:space="preserve">Análisis hecho desde la nube con la red limitada a la búsqueda web: la web de la empresa, la SEC y los proveedores de datos no se pudieron abrir, así que las cifras salen de los extractos de búsqueda de los comunicados de resultados, del 20-F y de la prensa financiera, cruzadas cuando fue posible; la confianza es menor que en un análisis normal y lo que no cuadró está en null y en los huecos. Cuentas en EUR (NIIF); la acción cotiza en peniques (GBp) en Londres: precio de 4.718 p del cierre del 13-oct-2026 [39] (la sesión del 14 no había cerrado), convertido con el tipo del BCE del 12-oct (0,84478 GBP por EUR: 0,0118374 EUR por penique) [37]. Acciones con voto a 30-sep-2026 (2.154,3 M, sin autocartera) [40]. 2021-2023 incluyen los helados y vienen de proveedores de datos; 2024-2025 son las operaciones continuadas reexpresadas [1]. Las acciones se agruparon 8 por 9 el 9-dic-2025 [17]. La proyección es la del perímetro actual, con la alimentación: la operación con McCormick (cierre previsto a mediados de 2027) se trata como neutral en valor, porque el accionista recibe el 55,1 % de la nueva McCormick y Unilever cobra 15.700 M USD y retiene el 9,9 % [4]. Minoritarios del puente a valor estimado (beneficio de minoritarios × 20), no contable.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Unilever PLC (ULVR)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55,85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(43,14 – 65,41)</c:v>
                </c:pt>
                <c:pt idx="1">
                  <c:v>Precio objetivo de los analistas (47,10 – 70,08)</c:v>
                </c:pt>
                <c:pt idx="2">
                  <c:v>Comparables: PER NTM (44,08 – 58,98)</c:v>
                </c:pt>
                <c:pt idx="3">
                  <c:v>DCF (WACC y g ± 0,5) (52,89 – 86,13)</c:v>
                </c:pt>
                <c:pt idx="4">
                  <c:v>Escenarios (bajista – alcista) (50,44 – 73,36)</c:v>
                </c:pt>
                <c:pt idx="5">
                  <c:v>DCF con la prima implícita del mercado (4,2 %)</c:v>
                </c:pt>
                <c:pt idx="6">
                  <c:v>Precio actual (55,85)</c:v>
                </c:pt>
              </c:strCache>
            </c:strRef>
          </c:cat>
          <c:val>
            <c:numRef>
              <c:f>Hoja1!$B$2:$B$8</c:f>
              <c:numCache>
                <c:formatCode>#,##0.0</c:formatCode>
                <c:ptCount val="7"/>
                <c:pt idx="0">
                  <c:v>43.14</c:v>
                </c:pt>
                <c:pt idx="1">
                  <c:v>47.1</c:v>
                </c:pt>
                <c:pt idx="2">
                  <c:v>44.08</c:v>
                </c:pt>
                <c:pt idx="3">
                  <c:v>52.89</c:v>
                </c:pt>
                <c:pt idx="4">
                  <c:v>50.44</c:v>
                </c:pt>
                <c:pt idx="5">
                  <c:v>71.61</c:v>
                </c:pt>
                <c:pt idx="6">
                  <c:v>55.57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(43,14 – 65,41)</c:v>
                </c:pt>
                <c:pt idx="1">
                  <c:v>Precio objetivo de los analistas (47,10 – 70,08)</c:v>
                </c:pt>
                <c:pt idx="2">
                  <c:v>Comparables: PER NTM (44,08 – 58,98)</c:v>
                </c:pt>
                <c:pt idx="3">
                  <c:v>DCF (WACC y g ± 0,5) (52,89 – 86,13)</c:v>
                </c:pt>
                <c:pt idx="4">
                  <c:v>Escenarios (bajista – alcista) (50,44 – 73,36)</c:v>
                </c:pt>
                <c:pt idx="5">
                  <c:v>DCF con la prima implícita del mercado (4,2 %)</c:v>
                </c:pt>
                <c:pt idx="6">
                  <c:v>Precio actual (55,85)</c:v>
                </c:pt>
              </c:strCache>
            </c:strRef>
          </c:cat>
          <c:val>
            <c:numRef>
              <c:f>Hoja1!$C$2:$C$8</c:f>
              <c:numCache>
                <c:formatCode>#,##0.0</c:formatCode>
                <c:ptCount val="7"/>
                <c:pt idx="0">
                  <c:v>22.269999999999996</c:v>
                </c:pt>
                <c:pt idx="1">
                  <c:v>22.979999999999997</c:v>
                </c:pt>
                <c:pt idx="2">
                  <c:v>14.899999999999999</c:v>
                </c:pt>
                <c:pt idx="3">
                  <c:v>33.239999999999995</c:v>
                </c:pt>
                <c:pt idx="4">
                  <c:v>22.92</c:v>
                </c:pt>
                <c:pt idx="5">
                  <c:v>26.200000000000003</c:v>
                </c:pt>
                <c:pt idx="6">
                  <c:v>0.5600000000000023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Belleza y Bienestar</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12800</c:v>
                </c:pt>
              </c:numCache>
            </c:numRef>
          </c:val>
        </c:ser>
        <c:ser>
          <c:idx val="1"/>
          <c:order val="1"/>
          <c:tx>
            <c:strRef>
              <c:f>Hoja1!$C$1</c:f>
              <c:strCache>
                <c:ptCount val="1"/>
                <c:pt idx="0">
                  <c:v>Cuidado Personal</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13200</c:v>
                </c:pt>
              </c:numCache>
            </c:numRef>
          </c:val>
        </c:ser>
        <c:ser>
          <c:idx val="2"/>
          <c:order val="2"/>
          <c:tx>
            <c:strRef>
              <c:f>Hoja1!$D$1</c:f>
              <c:strCache>
                <c:ptCount val="1"/>
                <c:pt idx="0">
                  <c:v>Hogar</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11600</c:v>
                </c:pt>
              </c:numCache>
            </c:numRef>
          </c:val>
        </c:ser>
        <c:ser>
          <c:idx val="3"/>
          <c:order val="3"/>
          <c:tx>
            <c:strRef>
              <c:f>Hoja1!$E$1</c:f>
              <c:strCache>
                <c:ptCount val="1"/>
                <c:pt idx="0">
                  <c:v>Alimentación</c:v>
                </c:pt>
              </c:strCache>
            </c:strRef>
          </c:tx>
          <c:spPr>
            <a:solidFill>
              <a:srgbClr val="EDA100"/>
            </a:solidFill>
            <a:ln w="12700">
              <a:solidFill>
                <a:srgbClr val="FFFFFF"/>
              </a:solidFill>
            </a:ln>
          </c:spPr>
          <c:invertIfNegative val="0"/>
          <c:cat>
            <c:strRef>
              <c:f>Hoja1!$A$2</c:f>
              <c:strCache>
                <c:ptCount val="1"/>
                <c:pt idx="0">
                  <c:v>2025</c:v>
                </c:pt>
              </c:strCache>
            </c:strRef>
          </c:cat>
          <c:val>
            <c:numRef>
              <c:f>Hoja1!$E$2</c:f>
              <c:numCache>
                <c:formatCode>#,##0</c:formatCode>
                <c:ptCount val="1"/>
                <c:pt idx="0">
                  <c:v>12900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Belleza y Bienestar</c:v>
                </c:pt>
                <c:pt idx="1">
                  <c:v>Cuidado Personal</c:v>
                </c:pt>
                <c:pt idx="2">
                  <c:v>Hogar</c:v>
                </c:pt>
                <c:pt idx="3">
                  <c:v>Alimentación</c:v>
                </c:pt>
              </c:strCache>
            </c:strRef>
          </c:cat>
          <c:val>
            <c:numRef>
              <c:f>Hoja1!$B$2:$B$5</c:f>
              <c:numCache>
                <c:formatCode>General</c:formatCode>
                <c:ptCount val="4"/>
                <c:pt idx="0">
                  <c:v>25.3</c:v>
                </c:pt>
                <c:pt idx="1">
                  <c:v>26.1</c:v>
                </c:pt>
                <c:pt idx="2">
                  <c:v>23</c:v>
                </c:pt>
                <c:pt idx="3">
                  <c:v>25.5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Unilever</c:v>
                </c:pt>
                <c:pt idx="1">
                  <c:v>Procter &amp; Gamble</c:v>
                </c:pt>
                <c:pt idx="2">
                  <c:v>L'Oréal</c:v>
                </c:pt>
                <c:pt idx="3">
                  <c:v>Nestlé</c:v>
                </c:pt>
                <c:pt idx="4">
                  <c:v>Beiersdorf</c:v>
                </c:pt>
                <c:pt idx="5">
                  <c:v>Henkel</c:v>
                </c:pt>
                <c:pt idx="6">
                  <c:v>Colgate-Palmolive</c:v>
                </c:pt>
              </c:strCache>
            </c:strRef>
          </c:cat>
          <c:val>
            <c:numRef>
              <c:f>Hoja1!$B$2:$B$8</c:f>
              <c:numCache>
                <c:formatCode>0.0"%"</c:formatCode>
                <c:ptCount val="7"/>
                <c:pt idx="0">
                  <c:v>17.9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52444</c:v>
                </c:pt>
                <c:pt idx="1">
                  <c:v>60073</c:v>
                </c:pt>
                <c:pt idx="2">
                  <c:v>59604</c:v>
                </c:pt>
                <c:pt idx="3">
                  <c:v>52479</c:v>
                </c:pt>
                <c:pt idx="4">
                  <c:v>50503</c:v>
                </c:pt>
                <c:pt idx="5">
                  <c:v>51008</c:v>
                </c:pt>
                <c:pt idx="6">
                  <c:v>53048</c:v>
                </c:pt>
                <c:pt idx="7">
                  <c:v>55436</c:v>
                </c:pt>
                <c:pt idx="8">
                  <c:v>57930</c:v>
                </c:pt>
                <c:pt idx="9">
                  <c:v>60247</c:v>
                </c:pt>
                <c:pt idx="10">
                  <c:v>62356</c:v>
                </c:pt>
                <c:pt idx="11">
                  <c:v>64227</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4">
                  <c:v>10487</c:v>
                </c:pt>
                <c:pt idx="5">
                  <c:v>11375</c:v>
                </c:pt>
                <c:pt idx="6">
                  <c:v>11989</c:v>
                </c:pt>
                <c:pt idx="7">
                  <c:v>12695</c:v>
                </c:pt>
                <c:pt idx="8">
                  <c:v>13324</c:v>
                </c:pt>
                <c:pt idx="9">
                  <c:v>13857</c:v>
                </c:pt>
                <c:pt idx="10">
                  <c:v>14342</c:v>
                </c:pt>
                <c:pt idx="11">
                  <c:v>14772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20.8</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16.6</c:v>
                </c:pt>
                <c:pt idx="1">
                  <c:v>17.9</c:v>
                </c:pt>
                <c:pt idx="2">
                  <c:v>16.4</c:v>
                </c:pt>
                <c:pt idx="3">
                  <c:v>16.8</c:v>
                </c:pt>
                <c:pt idx="4">
                  <c:v>17.9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11.5</c:v>
                </c:pt>
                <c:pt idx="1">
                  <c:v>12.7</c:v>
                </c:pt>
                <c:pt idx="2">
                  <c:v>10.9</c:v>
                </c:pt>
                <c:pt idx="3">
                  <c:v>10.4</c:v>
                </c:pt>
                <c:pt idx="4">
                  <c:v>11.3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1T26</c:v>
                </c:pt>
                <c:pt idx="1">
                  <c:v>2T26</c:v>
                </c:pt>
              </c:strCache>
            </c:strRef>
          </c:cat>
          <c:val>
            <c:numRef>
              <c:f>Hoja1!$B$2:$B$3</c:f>
              <c:numCache>
                <c:formatCode>0.0"%"</c:formatCode>
                <c:ptCount val="2"/>
                <c:pt idx="0">
                  <c:v>-3.3</c:v>
                </c:pt>
                <c:pt idx="1">
                  <c:v>4.5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1T26</c:v>
                </c:pt>
                <c:pt idx="1">
                  <c:v>2T26</c:v>
                </c:pt>
              </c:strCache>
            </c:strRef>
          </c:cat>
          <c:val>
            <c:numRef>
              <c:f>Hoja1!$C$2:$C$3</c:f>
              <c:numCache>
                <c:formatCode>0.0"%"</c:formatCode>
                <c:ptCount val="2"/>
                <c:pt idx="0">
                  <c:v>3.8</c:v>
                </c:pt>
                <c:pt idx="1">
                  <c:v>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5921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c:f>
              <c:strCache>
                <c:ptCount val="1"/>
                <c:pt idx="0">
                  <c:v>2025</c:v>
                </c:pt>
              </c:strCache>
            </c:strRef>
          </c:cat>
          <c:val>
            <c:numRef>
              <c:f>Hoja1!$C$2</c:f>
              <c:numCache>
                <c:formatCode>#,##0</c:formatCode>
                <c:ptCount val="1"/>
                <c:pt idx="0">
                  <c:v>5732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15.9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7.2</c:v>
                </c:pt>
                <c:pt idx="1">
                  <c:v>7.2</c:v>
                </c:pt>
                <c:pt idx="2">
                  <c:v>7.2</c:v>
                </c:pt>
                <c:pt idx="3">
                  <c:v>7.2</c:v>
                </c:pt>
                <c:pt idx="4">
                  <c:v>7.2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36.9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Recompras</c:v>
                </c:pt>
              </c:strCache>
            </c:strRef>
          </c:tx>
          <c:spPr>
            <a:solidFill>
              <a:srgbClr val="2A78D6"/>
            </a:solidFill>
            <a:ln w="12700">
              <a:noFill/>
            </a:ln>
          </c:spPr>
          <c:invertIfNegative val="0"/>
          <c:cat>
            <c:strRef>
              <c:f>Hoja1!$A$2</c:f>
              <c:strCache>
                <c:ptCount val="1"/>
                <c:pt idx="0">
                  <c:v>2025</c:v>
                </c:pt>
              </c:strCache>
            </c:strRef>
          </c:cat>
          <c:val>
            <c:numRef>
              <c:f>Hoja1!$B$2</c:f>
              <c:numCache>
                <c:formatCode>#,##0</c:formatCode>
                <c:ptCount val="1"/>
                <c:pt idx="0">
                  <c:v>1500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Otro externo</c:v>
                </c:pt>
              </c:strCache>
            </c:strRef>
          </c:cat>
          <c:val>
            <c:numRef>
              <c:f>Hoja1!$B$2:$B$4</c:f>
              <c:numCache>
                <c:formatCode>0</c:formatCode>
                <c:ptCount val="3"/>
                <c:pt idx="0">
                  <c:v>7</c:v>
                </c:pt>
                <c:pt idx="1">
                  <c:v>2</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Unilever</c:v>
                </c:pt>
                <c:pt idx="1">
                  <c:v>Nestlé</c:v>
                </c:pt>
                <c:pt idx="2">
                  <c:v>L'Oréal</c:v>
                </c:pt>
                <c:pt idx="3">
                  <c:v>Beiersdorf</c:v>
                </c:pt>
                <c:pt idx="4">
                  <c:v>Danone</c:v>
                </c:pt>
                <c:pt idx="5">
                  <c:v>Mondelez</c:v>
                </c:pt>
                <c:pt idx="6">
                  <c:v>Kraft Heinz</c:v>
                </c:pt>
                <c:pt idx="7">
                  <c:v>General Mills</c:v>
                </c:pt>
              </c:strCache>
            </c:strRef>
          </c:cat>
          <c:val>
            <c:numRef>
              <c:f>Hoja1!$B$2:$B$9</c:f>
              <c:numCache>
                <c:formatCode>0.0"x"</c:formatCode>
                <c:ptCount val="8"/>
                <c:pt idx="3">
                  <c:v>9.4</c:v>
                </c:pt>
                <c:pt idx="5">
                  <c:v>14</c:v>
                </c:pt>
                <c:pt idx="6">
                  <c:v>8.4</c:v>
                </c:pt>
                <c:pt idx="7">
                  <c:v>6.6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7212</c:v>
                </c:pt>
                <c:pt idx="1">
                  <c:v>7619</c:v>
                </c:pt>
                <c:pt idx="2">
                  <c:v>8086</c:v>
                </c:pt>
                <c:pt idx="3">
                  <c:v>8493</c:v>
                </c:pt>
                <c:pt idx="4">
                  <c:v>8832</c:v>
                </c:pt>
                <c:pt idx="5">
                  <c:v>9141</c:v>
                </c:pt>
                <c:pt idx="6">
                  <c:v>9416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42761</c:v>
                </c:pt>
                <c:pt idx="1">
                  <c:v>134929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55,85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50.44</c:v>
                </c:pt>
                <c:pt idx="1">
                  <c:v>65.96</c:v>
                </c:pt>
                <c:pt idx="2">
                  <c:v>73.36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55,85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(43,14 – 65,41)</c:v>
                </c:pt>
                <c:pt idx="1">
                  <c:v>Precio objetivo de los analistas (47,10 – 70,08)</c:v>
                </c:pt>
                <c:pt idx="2">
                  <c:v>Comparables: PER NTM (44,08 – 58,98)</c:v>
                </c:pt>
                <c:pt idx="3">
                  <c:v>DCF (WACC y g ± 0,5) (52,89 – 86,13)</c:v>
                </c:pt>
                <c:pt idx="4">
                  <c:v>Escenarios (bajista – alcista) (50,44 – 73,36)</c:v>
                </c:pt>
                <c:pt idx="5">
                  <c:v>DCF con la prima implícita del mercado (4,2 %)</c:v>
                </c:pt>
                <c:pt idx="6">
                  <c:v>Precio actual (55,85)</c:v>
                </c:pt>
              </c:strCache>
            </c:strRef>
          </c:cat>
          <c:val>
            <c:numRef>
              <c:f>Hoja1!$B$2:$B$8</c:f>
              <c:numCache>
                <c:formatCode>#,##0.0</c:formatCode>
                <c:ptCount val="7"/>
                <c:pt idx="0">
                  <c:v>43.14</c:v>
                </c:pt>
                <c:pt idx="1">
                  <c:v>47.1</c:v>
                </c:pt>
                <c:pt idx="2">
                  <c:v>44.08</c:v>
                </c:pt>
                <c:pt idx="3">
                  <c:v>52.89</c:v>
                </c:pt>
                <c:pt idx="4">
                  <c:v>50.44</c:v>
                </c:pt>
                <c:pt idx="5">
                  <c:v>71.61</c:v>
                </c:pt>
                <c:pt idx="6">
                  <c:v>55.57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(43,14 – 65,41)</c:v>
                </c:pt>
                <c:pt idx="1">
                  <c:v>Precio objetivo de los analistas (47,10 – 70,08)</c:v>
                </c:pt>
                <c:pt idx="2">
                  <c:v>Comparables: PER NTM (44,08 – 58,98)</c:v>
                </c:pt>
                <c:pt idx="3">
                  <c:v>DCF (WACC y g ± 0,5) (52,89 – 86,13)</c:v>
                </c:pt>
                <c:pt idx="4">
                  <c:v>Escenarios (bajista – alcista) (50,44 – 73,36)</c:v>
                </c:pt>
                <c:pt idx="5">
                  <c:v>DCF con la prima implícita del mercado (4,2 %)</c:v>
                </c:pt>
                <c:pt idx="6">
                  <c:v>Precio actual (55,85)</c:v>
                </c:pt>
              </c:strCache>
            </c:strRef>
          </c:cat>
          <c:val>
            <c:numRef>
              <c:f>Hoja1!$C$2:$C$8</c:f>
              <c:numCache>
                <c:formatCode>#,##0.0</c:formatCode>
                <c:ptCount val="7"/>
                <c:pt idx="0">
                  <c:v>22.269999999999996</c:v>
                </c:pt>
                <c:pt idx="1">
                  <c:v>22.979999999999997</c:v>
                </c:pt>
                <c:pt idx="2">
                  <c:v>14.899999999999999</c:v>
                </c:pt>
                <c:pt idx="3">
                  <c:v>33.239999999999995</c:v>
                </c:pt>
                <c:pt idx="4">
                  <c:v>22.92</c:v>
                </c:pt>
                <c:pt idx="5">
                  <c:v>26.200000000000003</c:v>
                </c:pt>
                <c:pt idx="6">
                  <c:v>0.5600000000000023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