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{{identificacion.nombre}}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{{identificacion.ambito}} · {{identificacion.codigos}}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{{meta.fecha_corte|fecha}}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{{meta.divisa}}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{{meta.unidades}}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{{resumen.conclusion}}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{{mercado.tamano_actual|0}} ({{mercado.anio_base}})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{{mercado.tcac_historico_pct|pct}}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{{mercado.tcac_previsto_pct|pct}}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{{competencia.cr5_pct|pct0}}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{{economia.margen_ebitda_mediano_pct|pct}}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{{cotizadas.ev_ebitda_mediano|x}}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{{ciclo.ciclicidad}}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{{resumen.confianza}}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{{resumen.conclusion}}</w:t>
      </w:r>
    </w:p>
    <w:p>
      <w:pPr>
        <w:spacing w:after="100"/>
      </w:pPr>
      <w:r>
        <w:t xml:space="preserve">{{texto:resumen.tesis}}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{{lista:resumen.a_favor}}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{{lista:resumen.en_contra}}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{{texto:resumen.donde_invertir}}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{{identificacion.confianza}}</w:t>
      </w:r>
    </w:p>
    <w:p>
      <w:pPr>
        <w:spacing w:after="100"/>
      </w:pPr>
      <w:r>
        <w:t xml:space="preserve">{{texto:identificacion.definicion}}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{{?identificacion.codigos}}Códigos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{{identificacion.codigos}}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{{?identificacion.ambito}}Ámbito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{{identificacion.ambito}}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{{lista:identificacion.subsectores}}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{{texto:identificacion.excluido}}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{{mercado.confianza}}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{{?mercado.tamano_actual}}Tamaño ({{mercado.anio_base}})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{{mercado.tamano_actual|0}} {{meta.unidades}} {{meta.divisa}}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{{?mercado.medida}}Medida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{{mercado.medida}}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{{?mercado.tcac_historico_pct}}TCAC histórico ({{mercado.periodo_historico}})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{{mercado.tcac_historico_pct|pct}}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{{?mercado.tcac_previsto_pct}}TCAC previsto ({{mercado.periodo_previsto}})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{{mercado.tcac_previsto_pct|pct}}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{{grafico:mercado}}</w:t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{{mercado.estimaciones[].fuente}}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{{mercado.estimaciones[].tamano|0}}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{{mercado.estimaciones[].anio}}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{{mercado.estimaciones[].tcac_pct|pct}}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{{mercado.estimaciones[].perimetro}}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{{texto:mercado.comentario}}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{{segmentacion.confianza}}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{{segmentacion.segmentos[].nombre}}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{{segmentacion.segmentos[].peso_pct|pct}}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{{segmentacion.segmentos[].crecimiento_pct|+pct}}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{{segmentacion.segmentos[].comentario}}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{{grafico:segmentos}}</w:t>
      </w:r>
    </w:p>
    <w:p>
      <w:pPr>
        <w:keepNext w:val="false"/>
        <w:spacing w:after="160" w:before="120"/>
        <w:jc w:val="center"/>
      </w:pPr>
      <w:r>
        <w:t xml:space="preserve">{{grafico:crecimiento_segmentos}}</w:t>
      </w:r>
    </w:p>
    <w:p>
      <w:pPr>
        <w:keepNext w:val="false"/>
        <w:spacing w:after="160" w:before="120"/>
        <w:jc w:val="center"/>
      </w:pPr>
      <w:r>
        <w:t xml:space="preserve">{{grafico:geografias}}</w:t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{{texto:segmentacion.clientes}}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{{cadena_valor.confianza}}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{{cadena_valor.eslabones[].eslabon}}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{{cadena_valor.eslabones[].que_hace}}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{{cadena_valor.eslabones[].margen_ebitda_pct|pct}}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{{cadena_valor.eslabones[].actores}}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{{grafico:cadena}}</w:t>
      </w:r>
    </w:p>
    <w:p>
      <w:pPr>
        <w:spacing w:after="100"/>
      </w:pPr>
      <w:r>
        <w:t xml:space="preserve">{{texto:cadena_valor.captura}}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{{drivers.confianza}}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{{drivers.items[].driver}}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{{drivers.items[].efecto}}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{{drivers.items[].horizonte}}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{{drivers.items[].evidencia}}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{{texto:drivers.tendencias}}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{{competencia.confianza}}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{{?competencia.estructura}}Estructura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{{competencia.estructura}}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{{?competencia.cr5_pct}}Cuota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{{competencia.cr5_pct|pct0}}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{{?competencia.hhi}}Índice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{{competencia.hhi|0}}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{{?competencia.numero_empresas}}Número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{{competencia.numero_empresas}}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{{competencia.cuotas[].empresa}}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{{competencia.cuotas[].cuota_pct|pct}}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{{competencia.cuotas[].pais}}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{{competencia.cuotas[].propiedad}}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{{grafico:cuotas}}</w:t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{{texto:competencia.barreras}}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{{texto:competencia.dinamica}}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{{porter.confianza}}</w:t>
      </w:r>
    </w:p>
    <w:p>
      <w:pPr>
        <w:keepNext w:val="false"/>
        <w:spacing w:after="160" w:before="120"/>
        <w:jc w:val="center"/>
      </w:pPr>
      <w:r>
        <w:t xml:space="preserve">{{grafico:porter}}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{{porter.fuerzas[].fuerza}}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{{porter.fuerzas[].intensidad|0}}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{{porter.fuerzas[].justificacion}}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{{texto:porter.conclusion}}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{{economia.confianza}}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{{economia.metricas[].metrica}}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{{economia.metricas[].mediana}}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{{economia.metricas[].cuartil_superior}}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{{economia.metricas[].comentario}}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{{texto:economia.modelo_ingresos}}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{{ciclo.confianza}}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{{ciclo.ciclicidad}}</w:t>
      </w:r>
    </w:p>
    <w:p>
      <w:pPr>
        <w:keepNext w:val="false"/>
        <w:spacing w:after="160" w:before="120"/>
        <w:jc w:val="center"/>
      </w:pPr>
      <w:r>
        <w:t xml:space="preserve">{{grafico:ciclo}}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{{ciclo.sensibilidades[].variable}}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{{ciclo.sensibilidades[].efecto}}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{{ciclo.sensibilidades[].comentario}}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{{texto:ciclo.historico}}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{{regulacion.confianza}}</w:t>
      </w:r>
    </w:p>
    <w:p>
      <w:pPr>
        <w:spacing w:after="100"/>
      </w:pPr>
      <w:r>
        <w:t xml:space="preserve">{{texto:regulacion.marco}}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{{regulacion.cambios[].norma}}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{{regulacion.cambios[].estado}}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{{regulacion.cambios[].fecha}}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{{regulacion.cambios[].impacto}}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{{tecnologia.confianza}}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{{tecnologia.disrupciones[].tecnologia}}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{{tecnologia.disrupciones[].madurez}}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{{tecnologia.disrupciones[].plazo}}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{{tecnologia.disrupciones[].impacto}}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{{tecnologia.disrupciones[].comentario}}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{{texto:tecnologia.comentario}}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{{operaciones.confianza}}</w:t>
      </w:r>
    </w:p>
    <w:p>
      <w:pPr>
        <w:keepNext w:val="false"/>
        <w:spacing w:after="160" w:before="120"/>
        <w:jc w:val="center"/>
      </w:pPr>
      <w:r>
        <w:t xml:space="preserve">{{grafico:actividad}}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{{operaciones.transacciones[].fecha}}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{{operaciones.transacciones[].objetivo}}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{{operaciones.transacciones[].comprador}}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{{operaciones.transacciones[].valor|0}}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{{operaciones.transacciones[].ev_ebitda|x}}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{{operaciones.transacciones[].comentario}}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{{texto:operaciones.multiplos}}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{{texto:operaciones.capital_privado}}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{{texto:operaciones.consolidacion}}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{{cotizadas.confianza}}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{{cotizadas.empresas[].nombre}}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{{cotizadas.empresas[].pais}}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{{cotizadas.empresas[].capitalizacion|0}}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{{cotizadas.empresas[].crecimiento_pct|+pct}}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{{cotizadas.empresas[].margen_ebitda_pct|pct}}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{{cotizadas.empresas[].ev_ebitda|x}}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{{cotizadas.empresas[].per|x}}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{{grafico:cotizadas_mapa}}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{{cotizadas.multiplos[].metrica}}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{{cotizadas.multiplos[].actual|x}}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{{cotizadas.multiplos[].media_10a|x}}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{{cotizadas.multiplos[].mercado|x}}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t xml:space="preserve">{{grafico:multiplos}}</w:t>
      </w:r>
    </w:p>
    <w:p>
      <w:pPr>
        <w:spacing w:after="100"/>
      </w:pPr>
      <w:r>
        <w:t xml:space="preserve">{{texto:cotizadas.comentario}}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{{esg.confianza}}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{{texto:esg.riesgos}}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{{texto:esg.oportunidades}}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{{texto:esg.marco}}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{{riesgos.confianza}}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{{riesgos.items[].riesgo}}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{{riesgos.items[].probabilidad}}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{{riesgos.items[].impacto}}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{{riesgos.items[].explicacion}}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{{riesgos.items[].senal}}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{{oportunidades.confianza}}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{{#}}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{{oportunidades.items[].oportunidad}}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{{oportunidades.items[].donde}}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{{oportunidades.items[].vehiculo}}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{{oportunidades.items[].por_que}}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{{indicadores.confianza}}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{{indicadores.items[].indicador}}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{{indicadores.items[].valor}}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{{indicadores.items[].tendencia}}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{{indicadores.items[].frecuencia}}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{{indicadores.items[].fuente}}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{{fuentes[].id}}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{{fuentes[].titulo}}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{{fuentes[].editor}}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{{fuentes[].fecha|fecha}}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{{fuentes[].url}}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{{_meta.cobertura|pct}}</w:t>
      </w:r>
      <w:r>
        <w:t xml:space="preserve"> · Secciones con menos del 60 % de campos cubiertos: </w:t>
      </w:r>
      <w:r>
        <w:rPr>
          <w:b/>
          <w:bCs/>
        </w:rPr>
        <w:t xml:space="preserve">{{_meta.secciones_flojas}}</w:t>
      </w:r>
      <w:r>
        <w:t xml:space="preserve"> · Generado el {{_meta.generado|fecha}}.</w:t>
      </w:r>
    </w:p>
    <w:p>
      <w:pPr>
        <w:pStyle w:val="Nota"/>
        <w:spacing w:after="100"/>
      </w:pPr>
      <w:r>
        <w:t xml:space="preserve">{{texto:meta.limitaciones}}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{{meta.fecha_corte|fecha}}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{{identificacion.nombre}} · {{identificacion.ambito}}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2026-10-14T17:04:42.785Z</dcterms:created>
  <dcterms:modified xsi:type="dcterms:W3CDTF">2026-10-14T17:04:42.785Z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