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Qt Group Oyj</w:t>
      </w:r>
    </w:p>
    <w:p>
      <w:pPr>
        <w:spacing w:after="60"/>
        <w:rPr>
          <w:color w:val="52514E"/>
          <w:sz w:val="22"/>
          <w:szCs w:val="22"/>
        </w:rPr>
      </w:pPr>
      <w:r>
        <w:rPr>
          <w:color w:val="52514E"/>
          <w:sz w:val="22"/>
          <w:szCs w:val="22"/>
        </w:rPr>
        <w:t xml:space="preserve">QTCOM · Nasdaq Helsinki · ISIN FI4000198031 · Tecnología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34,28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50,61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+47,6 % (base +42,1 %)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33,50 EUR · mercado 41,04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870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Qt Group Oyj</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QTCOM / FI4000198031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Helsinki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Helsinki 25 / Stoxx Europe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 Software (herramientas de desarrollo para sistemas embebidos)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Espoo (Finlandia) · 2016 (escisión de Digia; tecnología Qt desde 1995, Trolltech)</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https://www.qt.io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34,28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18,04 – 40,70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50,61 EUR</w:t>
      </w:r>
      <w:r>
        <w:t xml:space="preserve"> frente a 34,28 · Rentabilidad a 12 meses </w:t>
      </w:r>
      <w:r>
        <w:rPr>
          <w:b/>
          <w:bCs/>
        </w:rPr>
        <w:t xml:space="preserve">+47,6 % (base +42,1 %)</w:t>
      </w:r>
      <w:r>
        <w:t xml:space="preserve"> · Valor intrínseco 33,50 EUR · con la prima implícita del mercado: 41,04 (+19,7 %) · Alcista / bajista +15,2 % / -37,3 %</w:t>
      </w:r>
    </w:p>
    <w:p>
      <w:pPr>
        <w:spacing w:after="100"/>
      </w:pPr>
      <w:r>
        <w:rPr>
          <w:b/>
        </w:rPr>
        <w:t xml:space="preserve">La recomendación y por qué.</w:t>
      </w:r>
      <w:r>
        <w:t xml:space="preserve"> Mantener, con convicción baja. La regla a 12 meses da mucho: un objetivo de 50,61 EUR (nuestro BPA publicado de 2028e × el PER de la regla común), +47,6 % ponderado y +42,1 % en el base, frente a 34,28 EUR (cierre del 21-oct-2026). Pero el valor intrínseco es de 33,50 EUR, un 2,3 % bajo el precio, y la regla de compra exige las tres cosas. La razón de fondo: el objetivo a 12 meses supone que el BPA pasa de 1,11 EUR en 2026e a 2,03 en 2028e (reorganización, IAR y crecimiento del 8 %) y que el mercado vuelve a pagar 24 veces; el DCF, con un WACC del 10,4 % y un margen que no vuelve al máximo de 2024 por la IA y la competencia gratuita, dice que el precio ya paga ese negocio. Compraríamos por debajo de 33,50 EUR. La convicción es baja porque las reglas discrepan (la regla a 12 meses y la prima del mercado dicen Comprar; el DCF con nuestro WACC, Mantener) y porque el precio está a solo un 2,3 % del valor intrínseco; la subiría un margen de 2027 confirmado cerca del 30 % sin pérdida de puestos por la IA, y la bajaría una caída del ARR orgánico.</w:t>
      </w:r>
    </w:p>
    <w:p>
      <w:pPr>
        <w:spacing w:after="100"/>
      </w:pPr>
      <w:r>
        <w:rPr>
          <w:b/>
        </w:rPr>
        <w:t xml:space="preserve">El negocio.</w:t>
      </w:r>
      <w:r>
        <w:t xml:space="preserve"> Qt vende las herramientas con las que los fabricantes programan los aparatos con pantalla o chip: el marco Qt de interfaces gráficas, herramientas de prueba y, desde octubre de 2025, los compiladores de IAR [1]. Cobra por puesto de programador (66 % de las ventas) y una regalía por cada aparato fabricado con Qt (26 %), con un margen bruto casi total [1]. Depende de la automoción y de la electrónica: las regalías subieron un 26 % en 2025 y bajaron un 17 % en el primer semestre de 2026 [3]. Calidad: ROIC del 17,7 % en 2025 según el motor (+7,3 puntos sobre el WACC: pasa), aunque con todo el capital de IAR es del 11-12 %, casi el WACC. Sostenibilidad del crecimiento: «Sí» (6,6 % anual frente al 10,8 % del mercado).</w:t>
      </w:r>
    </w:p>
    <w:p>
      <w:pPr>
        <w:spacing w:after="100"/>
      </w:pPr>
      <w:r>
        <w:rPr>
          <w:b/>
        </w:rPr>
        <w:t xml:space="preserve">Finanzas.</w:t>
      </w:r>
      <w:r>
        <w:t xml:space="preserve"> Las ventas crecieron un 22 % anual de 2020 a 2025, pero el orgánico cayó al 2,6 % en 2025 y el beneficio por acción pasó de 2,26 EUR en 2024 a 1,25 en 2025 y 0,90 en los 12 meses a junio de 2026, con 10 M de costes no recurrentes y la amortización de IAR [1, 3]. Deuda neta de 84 M (1,6 veces el EBITDA de 12 meses) tras pagar ≈ 205 M por IAR; flujo libre de ≈ 26 M al año [3]. Guía de 2026: ventas +10 % o más y margen EBITA de al menos el 15 %.</w:t>
      </w:r>
    </w:p>
    <w:p>
      <w:pPr>
        <w:spacing w:after="100"/>
      </w:pPr>
      <w:r>
        <w:rPr>
          <w:b/>
        </w:rPr>
        <w:t xml:space="preserve">Equipo y gobierno.</w:t>
      </w:r>
      <w:r>
        <w:t xml:space="preserve"> Juha Varelius dirige desde 2016 y creció muy bien hasta 2024, pero lleva tres años sin cumplir la guía de ventas y en 2025 avisó de beneficios [10]. El presidente (Robert Ingman, 21,6 %) compró 52.000 acciones a ≈ 26 EUR en mayo [17]. Incentivos ligados a las ventas, no al rendimiento del capital.</w:t>
      </w:r>
    </w:p>
    <w:p>
      <w:pPr>
        <w:spacing w:after="100"/>
      </w:pPr>
      <w:r>
        <w:rPr>
          <w:b/>
        </w:rPr>
        <w:t xml:space="preserve">Valoración.</w:t>
      </w:r>
      <w:r>
        <w:t xml:space="preserve"> DCF 33,09 EUR (−3,5 %); el precio descuenta un 7,2 % de crecimiento anual frente a nuestro 6,6 %. Con la prima del mercado (4,2 %) el DCF vale 42,21 EUR. Bajista 21,49 y alcista 39,50: asimetría desfavorable en valor intrínseco. Cotiza a 21,8 veces el BPA de los próximos 12 meses, frente a 28-65 veces en su historia y 24,4 de mediana de los comparables.</w:t>
      </w:r>
    </w:p>
    <w:p>
      <w:pPr>
        <w:spacing w:after="100"/>
      </w:pPr>
      <w:r>
        <w:rPr>
          <w:b/>
        </w:rPr>
        <w:t xml:space="preserve">Riesgos y catalizadores.</w:t>
      </w:r>
      <w:r>
        <w:t xml:space="preserve"> El riesgo central es la IA: puede reducir los puestos de programador y abaratar las interfaces con herramientas gratuitas, o hacer más necesarias las pruebas y herramientas certificadas de Qt. Después, la automoción y la electrónica, Flutter y Unity/Unreal, el margen de 2027 y el precio pagado por IAR. Catalizador: resultados del 3T26 el 29-oct. La acción ha subido un 47 % en tres meses (aviso P1), con causa en el semestral y las compras del presidente.</w:t>
      </w:r>
    </w:p>
    <w:p>
      <w:pPr>
        <w:spacing w:after="100"/>
      </w:pPr>
      <w:r>
        <w:rPr>
          <w:b/>
        </w:rPr>
        <w:t xml:space="preserve">Qué cambiaría la decisión.</w:t>
      </w:r>
      <w:r>
        <w:t xml:space="preserve"> Comprar por debajo de 33,50 EUR; vender por encima de 56,23. Una guía de 2027 con margen EBITA cercano al 30 % y un ARR orgánico de dos dígitos subirían el valor intrínseco por encima del precio; renovaciones a la baja por la IA o un margen de 2027 por debajo del 25 % llevarían al bajista.</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50,61 EUR</w:t>
      </w:r>
      <w:r>
        <w:t xml:space="preserve"> (rentabilidad +47,6 % (base +42,1 %)) · Valor intrínseco: 33,50 EUR (-2,3 % sobre 34,28) · con la prima implícita del mercado: 41,04 (+19,7 %)</w:t>
      </w:r>
    </w:p>
    <w:p>
      <w:pPr>
        <w:spacing w:after="100"/>
      </w:pPr>
      <w:r>
        <w:t xml:space="preserve">Qt es un buen negocio pasando un mal momento: herramientas de software casi sin coste variable, clientes que se quedan una década porque cambiar de plataforma certificada es caro y un ROIC sin fondo de comercio del 35 %. En 2025 se juntaron el frenazo del crecimiento (orgánico del 2,6 %), una compra cara (IAR, ≈ 205 M) y el miedo a que la IA haga innecesaria parte de lo que vende; el BPA cayó a la mitad y la acción llegó a caer un 89 % desde el máximo de 2021 [1, 20].</w:t>
      </w:r>
    </w:p>
    <w:p>
      <w:pPr>
        <w:spacing w:after="100"/>
      </w:pPr>
      <w:r>
        <w:t xml:space="preserve">El precio de hoy (34,28 EUR) ya descuenta la recuperación: la reorganización y el ahorro de IAR devolverían el margen EBITDA al 29-30 % en 2027-2028 y el BPA a ≈ 2 EUR. Si eso pasa y el mercado paga 24 veces, la acción sube un 40 %; pero el DCF dice que con un 10,4 % de coste de capital ese negocio vale lo que cuesta. La IA decide entre las dos lecturas.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1,57 = 30,14 · 24,0x × 2,03 = 48,72 · 32,4x × 2,31 = 74,84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 / 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 (nuestro base +42,2 %)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 / -37,3 %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10,4 %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33,50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33,50 y 56,23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56,23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33,50 EUR: Comprar (ponderada ≥ 15 %, base ≥ 12 % y valor intrínseco por encima).</w:t>
      </w:r>
    </w:p>
    <w:p>
      <w:pPr>
        <w:pStyle w:val="ListParagraph"/>
        <w:numPr>
          <w:ilvl w:val="0"/>
          <w:numId w:val="2"/>
        </w:numPr>
        <w:spacing w:after="60"/>
      </w:pPr>
      <w:r>
        <w:t xml:space="preserve">Precio por encima de 56,23 EUR: Vender.</w:t>
      </w:r>
    </w:p>
    <w:p>
      <w:pPr>
        <w:pStyle w:val="ListParagraph"/>
        <w:numPr>
          <w:ilvl w:val="0"/>
          <w:numId w:val="2"/>
        </w:numPr>
        <w:spacing w:after="60"/>
      </w:pPr>
      <w:r>
        <w:t xml:space="preserve">Guía de 2027 con margen EBITA ≥ 28 % y ARR orgánico ≥ 10 %: subir márgenes y revisar al alza el valor intrínseco.</w:t>
      </w:r>
    </w:p>
    <w:p>
      <w:pPr>
        <w:pStyle w:val="ListParagraph"/>
        <w:numPr>
          <w:ilvl w:val="0"/>
          <w:numId w:val="2"/>
        </w:numPr>
        <w:spacing w:after="60"/>
      </w:pPr>
      <w:r>
        <w:t xml:space="preserve">Renovaciones o precio por puesto a la baja por la IA: pasar al bajista.</w:t>
      </w:r>
    </w:p>
    <w:p>
      <w:pPr>
        <w:pStyle w:val="ListParagraph"/>
        <w:numPr>
          <w:ilvl w:val="0"/>
          <w:numId w:val="2"/>
        </w:numPr>
        <w:spacing w:after="60"/>
      </w:pPr>
      <w:r>
        <w:t xml:space="preserve">Deterioro del fondo de comercio de IAR: revisar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vuelve al ≈ 30 % en 2027 (consenso: EBITDA de 79,7 M) y que el crecimiento orgánico se recupera; los analistas, en mantener de media con objetivo de 34,25 EUR, no ven más recorrido.</w:t>
      </w:r>
    </w:p>
    <w:p>
      <w:pPr>
        <w:keepNext/>
        <w:spacing w:after="100"/>
      </w:pPr>
      <w:r>
        <w:rPr>
          <w:b/>
          <w:bCs/>
        </w:rPr>
        <w:t xml:space="preserve">Lo que creemos nosotros.</w:t>
      </w:r>
    </w:p>
    <w:p>
      <w:pPr>
        <w:spacing w:after="100"/>
      </w:pPr>
      <w:r>
        <w:t xml:space="preserve">Coincidimos en la recuperación del margen, algo menos que el consenso (30,5 % frente a 32,7 % en 2028e), y vemos la IA como un riesgo real para la venta por puesto, que la empresa misma reconoce al prever el cobro por capacidad.</w:t>
      </w:r>
    </w:p>
    <w:p>
      <w:pPr>
        <w:keepNext/>
        <w:spacing w:after="100"/>
      </w:pPr>
      <w:r>
        <w:rPr>
          <w:b/>
          <w:bCs/>
        </w:rPr>
        <w:t xml:space="preserve">Por qué podemos tener razón.</w:t>
      </w:r>
    </w:p>
    <w:p>
      <w:pPr>
        <w:spacing w:after="100"/>
      </w:pPr>
      <w:r>
        <w:t xml:space="preserve">El orgánico de 2025 (2,6 %) llegó antes que la IA generativa en las herramientas embebidas; las renovaciones estables protegen la base pero no los proyectos nuevos, que son el crecimiento [1, 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4,2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Recuperación del beneficio</w:t>
      </w:r>
      <w:r>
        <w:t xml:space="preserve">: ahorro de ≥ 20 M al año y 3 M de IAR; el BPA podría casi duplicarse de 2026 a 2028.</w:t>
      </w:r>
    </w:p>
    <w:p>
      <w:pPr>
        <w:pStyle w:val="ListParagraph"/>
        <w:numPr>
          <w:ilvl w:val="0"/>
          <w:numId w:val="2"/>
        </w:numPr>
        <w:spacing w:after="60"/>
      </w:pPr>
      <w:r>
        <w:rPr>
          <w:b/>
        </w:rPr>
        <w:t xml:space="preserve">Clientes cautivos</w:t>
      </w:r>
      <w:r>
        <w:t xml:space="preserve">: plataformas certificadas para 5-10 años; renovaciones estables y ARR de 160 M.</w:t>
      </w:r>
    </w:p>
    <w:p>
      <w:pPr>
        <w:pStyle w:val="ListParagraph"/>
        <w:numPr>
          <w:ilvl w:val="0"/>
          <w:numId w:val="2"/>
        </w:numPr>
        <w:spacing w:after="60"/>
      </w:pPr>
      <w:r>
        <w:rPr>
          <w:b/>
        </w:rPr>
        <w:t xml:space="preserve">Barata para su historia</w:t>
      </w:r>
      <w:r>
        <w:t xml:space="preserve">: 21,8 veces el BPA de 12 meses frente a 28-65 veces; 4,1 veces ventas frente a 4,7 pagadas por IAR.</w:t>
      </w:r>
    </w:p>
    <w:p>
      <w:pPr>
        <w:pStyle w:val="ListParagraph"/>
        <w:numPr>
          <w:ilvl w:val="0"/>
          <w:numId w:val="2"/>
        </w:numPr>
        <w:spacing w:after="60"/>
      </w:pPr>
      <w:r>
        <w:rPr>
          <w:b/>
        </w:rPr>
        <w:t xml:space="preserve">Compras del presidente</w:t>
      </w:r>
      <w:r>
        <w:t xml:space="preserve">: Ingman (21,6 %) compró 52.000 acciones en mayo de 2026.</w:t>
      </w:r>
    </w:p>
    <w:p>
      <w:pPr>
        <w:pStyle w:val="ListParagraph"/>
        <w:numPr>
          <w:ilvl w:val="0"/>
          <w:numId w:val="2"/>
        </w:numPr>
        <w:spacing w:after="60"/>
      </w:pPr>
      <w:r>
        <w:rPr>
          <w:b/>
        </w:rPr>
        <w:t xml:space="preserve">Más pruebas con más código</w:t>
      </w:r>
      <w:r>
        <w:t xml:space="preserve">: Squish, Axivion e IAR ganan si la IA genera más software que hay que certificar.</w:t>
      </w:r>
    </w:p>
    <w:p>
      <w:pPr>
        <w:pStyle w:val="Heading2"/>
      </w:pPr>
      <w:r>
        <w:t xml:space="preserve">En contra</w:t>
      </w:r>
    </w:p>
    <w:p>
      <w:pPr>
        <w:pStyle w:val="ListParagraph"/>
        <w:numPr>
          <w:ilvl w:val="0"/>
          <w:numId w:val="2"/>
        </w:numPr>
        <w:spacing w:after="60"/>
      </w:pPr>
      <w:r>
        <w:rPr>
          <w:b/>
        </w:rPr>
        <w:t xml:space="preserve">Riesgo de IA en la venta por puesto</w:t>
      </w:r>
      <w:r>
        <w:t xml:space="preserve">: la empresa prevé pasar a cobrar por capacidad o uso.</w:t>
      </w:r>
    </w:p>
    <w:p>
      <w:pPr>
        <w:pStyle w:val="ListParagraph"/>
        <w:numPr>
          <w:ilvl w:val="0"/>
          <w:numId w:val="2"/>
        </w:numPr>
        <w:spacing w:after="60"/>
      </w:pPr>
      <w:r>
        <w:rPr>
          <w:b/>
        </w:rPr>
        <w:t xml:space="preserve">Crecimiento orgánico débil</w:t>
      </w:r>
      <w:r>
        <w:t xml:space="preserve">: 2,6 % en 2025; regalías −17 % en el primer semestre de 2026.</w:t>
      </w:r>
    </w:p>
    <w:p>
      <w:pPr>
        <w:pStyle w:val="ListParagraph"/>
        <w:numPr>
          <w:ilvl w:val="0"/>
          <w:numId w:val="2"/>
        </w:numPr>
        <w:spacing w:after="60"/>
      </w:pPr>
      <w:r>
        <w:rPr>
          <w:b/>
        </w:rPr>
        <w:t xml:space="preserve">IAR cara</w:t>
      </w:r>
      <w:r>
        <w:t xml:space="preserve">: prima del 66 %; el ROIC con todo el capital cae al 11-12 %, casi el WACC.</w:t>
      </w:r>
    </w:p>
    <w:p>
      <w:pPr>
        <w:pStyle w:val="ListParagraph"/>
        <w:numPr>
          <w:ilvl w:val="0"/>
          <w:numId w:val="2"/>
        </w:numPr>
        <w:spacing w:after="60"/>
      </w:pPr>
      <w:r>
        <w:rPr>
          <w:b/>
        </w:rPr>
        <w:t xml:space="preserve">Dirección sin crédito</w:t>
      </w:r>
      <w:r>
        <w:t xml:space="preserve">: tres años sin cumplir la guía de ventas.</w:t>
      </w:r>
    </w:p>
    <w:p>
      <w:pPr>
        <w:pStyle w:val="ListParagraph"/>
        <w:numPr>
          <w:ilvl w:val="0"/>
          <w:numId w:val="2"/>
        </w:numPr>
        <w:spacing w:after="60"/>
      </w:pPr>
      <w:r>
        <w:rPr>
          <w:b/>
        </w:rPr>
        <w:t xml:space="preserve">Valor intrínseco bajo el precio</w:t>
      </w:r>
      <w:r>
        <w:t xml:space="preserve">: DCF de 33,09 EUR; bajista −37 %.</w:t>
      </w:r>
    </w:p>
    <w:p>
      <w:pPr>
        <w:pStyle w:val="Heading2"/>
      </w:pPr>
      <w:r>
        <w:t xml:space="preserve">Qué tiene que pasar para que la tesis funcione</w:t>
      </w:r>
    </w:p>
    <w:p>
      <w:pPr>
        <w:spacing w:after="100"/>
      </w:pPr>
      <w:r>
        <w:t xml:space="preserve">La tesis depende de que la reorganización devuelva el margen EBITDA al 29-30 % en 2027 y de que la IA no reduzca las renovaciones de puestos. La señal en contra sería un ARR orgánico creciendo menos del 5 %, una guía de 2027 con margen EBITA por debajo del 25 % o licencias de distribución por debajo de 45 M al año.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(orgánico y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 M (+32,1 % con IAR; ≈ +11 %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Orgánico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está quitando puestos.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(1S26); guía 2026 ≥ 15 %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distribución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M (2025); −17 % en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a automoción y electrónica.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 la baja en 2026 (suscripción)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crecimiento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Justifica los 205 M pagados.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Covenants del préstamo de IAR.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12,6x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38,1x / 21,3x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Qt nació en 1994-1995 en Oslo como producto de Trolltech, un marco para escribir una sola vez interfaces gráficas que funcionan en varios sistemas (la base del escritorio KDE en Linux). Nokia compró Trolltech en 2008 para sus móviles y, al abandonar ese camino, vendió el negocio de Qt a la finlandesa Digia en 2011-2012. En 2016 Digia separó Qt en una sociedad cotizada propia, Qt Group, con Juha Varelius al frente [1]. Desde entonces se especializó en aparatos con pantalla (coches, medicina, industria, electrónica), pasó de licencias perpetuas a suscripciones y regalías por dispositivo, y compró herramientas de prueba (froglogic en 2021, Axivion en 2022) y de compilación para microcontroladores (IAR en 2025) [1, 10]. Tras una década de crecimiento del 20 % anual, en 2025 el crecimiento orgánico cayó al 2,6 % y la empresa avisó de beneficios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versión pública de Qt, de la noruega Trolltech.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Nokia compra Trolltech.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Digia compra a Nokia el negocio de Qt.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Digia: Qt Group cotiza en Nasdaq Helsinki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froglogic (Squish); la acción toca máximos (133,6 EUR al cierre del año) [10,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Axivion (análisis estático de código)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beneficios (17-oct) y compra de I.A.R. Systems por ≈ 205 M EUR, la mayor de su historia [7,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Reorganización (hasta 200 puestos, ≥ 20 M de ahorro), nueva directora financiera y ARR de 160 M [3, 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Qt Group (Espoo, Finlandia) vende herramientas para programar los aparatos con pantalla o chip: el marco Qt para crear interfaces gráficas que funcionan igual en un coche, un equipo médico o una lavadora; herramientas para probar y revisar el código (Squish, Axivion, Coco); y, desde octubre de 2025, los compiladores y depuradores de IAR para microcontroladores [1]. Tenía 1.136 empleados a final de 2025 en 17 oficinas de 11 países [1].</w:t>
      </w:r>
    </w:p>
    <w:p>
      <w:pPr>
        <w:pStyle w:val="Heading2"/>
      </w:pPr>
      <w:r>
        <w:t xml:space="preserve">Cómo gana dinero</w:t>
      </w:r>
    </w:p>
    <w:p>
      <w:pPr>
        <w:spacing w:after="100"/>
      </w:pPr>
      <w:r>
        <w:t xml:space="preserve">Cobra de dos formas. 1) Licencias de desarrollador: cada programador que usa Qt o IAR paga una suscripción anual por puesto (141,8 M EUR en 2025, con consultoría) [1]. 2) Licencias de distribución: una regalía por cada dispositivo que el cliente fabrica con Qt dentro (56,8 M en 2025, 26 % de las ventas), que depende de la producción de coches, equipos y electrónica [1]. Más mantenimiento de licencias perpetuas (17,7 M). El margen bruto es casi total (materiales y servicios: 2,4 % de las ventas); el coste es la plantilla (gasto de personal de 111 M en 2025) [1]. La empresa espera cobrar más por capacidad o uso y menos por puesto a medida que la IA cambia la programación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desarrollador y consultoría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resultado publicado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distribución (regalías por dispositivo)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resultado publicado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Mantenimiento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resultado publicado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desarrollador y consultoría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distribución (regalías por dispositivo)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Mantenimiento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pasa del 10 % de las ventas [1]. Vende a fabricantes de coches y proveedores de automoción, de equipos médicos, de automatización industrial y de electrónica de consumo, más aeroespacial y defensa [1, 3]. Los programadores pagan licencias por puesto (renovaciones estables, con retención alta en Europa y América según la dirección) y los fabricantes pagan regalías por cada aparato que sale de su fábrica con Qt: esa parte sigue los ciclos de producción de coches y electrónica [3]. Qt también se distribuye con licencia abierta (LGPL/GPL): quien acepta publicar su código puede usarla gratis, y eso limita el precio que se puede cobrar a clientes pequeños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IAR; sin IAR, 127,1 M en dic-25 (+8,3 %)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distribución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Bajaron un 17,4 % en el primer semestre de 2026 (27,9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(2024,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que provocó el aviso de beneficios de octubre de 2025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(2025); 12,6 %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al menos 15 %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IAR; la reorganización recorta hasta 200 puestos [3, 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relevante: las herramientas de software con las que los fabricantes programan los dispositivos con pantalla o microcontrolador (sistemas embebidos): marcos para crear interfaces gráficas (Qt), compiladores y depuradores para microcontroladores (IAR) y herramientas de prueba y calidad de código (Squish, Axivion, Coco) [1]. Los clientes son fabricantes de coches y proveedores de automoción, equipos médicos, automatización industrial, electrónica de consumo, aeroespacial y defensa [1, 3]. No hay estudio público de ese perímetro: se mide con el mercado de software embebido, que es más amplio (incluye sistemas operativos y middleware)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19.200-21.000 M USD de software embebido en 2025 según Grand View Research y Global Market Insights [11, 12]; el perímetro de Qt es una fracción de ese mercado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Desaceleración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oftware embebido,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pantallas y software en coches, equipos médicos e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«coche definido por software» y la digitalización de máquinas suben el número de pantallas y de líneas de código por aparato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seguridad y certificación (ISO 26262, IEC 62304, ciberseguridad de la 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Exigen herramientas certificadas y pruebas trazables, el terreno de IAR, Axivion y Squish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producción de automoción y electrónica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regalías de distribución siguen el volumen de fabricación de los clientes: +26 % en 2025 y −17 % en el primer semestre de 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en la programación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código exige más prueba y certificación; pero la IA abarata escribir interfaces con herramientas gratuitas y empuja la venta por puesto hacia el cobro por uso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Alternativas abiertas y motores de videojuegos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(Google), Slint y LVGL gratuitos; Unity y Unreal entran en paneles de coche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con más recursos (Google con Flutter, Unity, Epic) y alternativas gratuitas; el crecimiento orgánico de Qt bajó al 2,6 %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pasa del 10 %, pero los fabricantes de coches negocian regalías por volumen y pueden cambiar de herramienta en la siguiente plataforma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el talento de programación; materiales y servicios son el 2,4 %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marco de interfaces nuevo tarda años en madurar y certificarse, pero la IA y el código abierto bajan la barrera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Navegador y tecnologías web en las pantallas, Android Automotive, herramientas propias de los fabricantes de chips y la IA que genera interfaces [1, 3].</w:t>
            </w:r>
          </w:p>
        </w:tc>
      </w:tr>
    </w:tbl>
    <w:p>
      <w:pPr>
        <w:spacing w:after="160" w:before="0"/>
      </w:pPr>
    </w:p>
    <w:p>
      <w:pPr>
        <w:pStyle w:val="Heading2"/>
      </w:pPr>
      <w:r>
        <w:t xml:space="preserve">Ciclo</w:t>
      </w:r>
    </w:p>
    <w:p>
      <w:pPr>
        <w:spacing w:after="100"/>
      </w:pPr>
      <w:r>
        <w:t xml:space="preserve">La demanda de herramientas sigue a los proyectos nuevos de los clientes, que se retrasan por la geopolítica, los aranceles y la crisis de la automoción europea; la dirección dice que los clientes son prudentes con las decisiones de largo plazo [3]. Las regalías siguen a la producción de coches y aparatos. 2026: Europa y América estables, Asia floja [3].</w:t>
      </w:r>
    </w:p>
    <w:p>
      <w:pPr>
        <w:pStyle w:val="Heading2"/>
      </w:pPr>
      <w:r>
        <w:t xml:space="preserve">Regulación</w:t>
      </w:r>
    </w:p>
    <w:p>
      <w:pPr>
        <w:spacing w:after="100"/>
      </w:pPr>
      <w:r>
        <w:t xml:space="preserve">Las normas de seguridad funcional (ISO 26262 en coches, IEC 62304 en equipos médicos, IEC 61508 en industria) y la Ley de Ciberresiliencia de la UE exigen herramientas y procesos certificados: favorecen a proveedores con certificación como IAR y Axivion [1]. Controles de exportación a algunos países y entidades [1]. Licencia abierta de Qt (LGPL/GPL): fija lo que se puede hacer sin pagar.</w:t>
      </w:r>
    </w:p>
    <w:p>
      <w:pPr>
        <w:pStyle w:val="Heading2"/>
      </w:pPr>
      <w:r>
        <w:t xml:space="preserve">Tendencias y disrupción</w:t>
      </w:r>
    </w:p>
    <w:p>
      <w:pPr>
        <w:spacing w:after="100"/>
      </w:pPr>
      <w:r>
        <w:t xml:space="preserve">Tres tendencias: más software y pantallas en cada aparato (coche, médico, industria) [11]; consolidación de herramientas en suites (Qt compró froglogic, Axivion e IAR; Siemens compró Altair; Synopsys, Ansys) [1]; y la IA, que hace más rápido escribir código e interfaces y lleva a cobrar por uso en vez de por puesto, como ya hace IAR [3]. Qt sale de la automoción hacia edificios, defensa y medicina: SAUTER la eligió en 2026 para las pantallas de automatización de edificios [3,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marcos multiplataforma de interfaces para sistemas embebidos con pantalla; con IAR, uno de los principales proveedores independientes de compiladores para microcontroladores. Cuota ≈ 1,2 % del mercado amplio de software embebido (estimación propia: 232 M EUR de ventas frente a ≈ 20.800 M USD)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 erosión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Unity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videojuegos que vende para paneles de coche e industria; pérdidas operativas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Epic Games (Unreal Engine,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Unreal para cuadros de mando y pantallas de coche de alta gama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(Flutter, gratuito)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abierto y gratuito que gana uso en aparatos embebidos; lo citan como amenaza los inversores de Qt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BlackBerry (QNX)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 operativo en tiempo real de automoción; socio y competidor parcial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 (Keil)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Compiladores Keil para microcontroladores, rival directo de IAR [9,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ThunderSoft (Kanzi)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300496.SZ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Kanzi, herramienta de interfaces de automoción, fuerte con fabricantes chinos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Slint y LVGL (abiertas)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 Hungría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Marcos de interfaces abiertos y ligeros para microcontroladores, gratuitos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Green Hills Software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Compiladores certificados y sistemas operativos para seguridad; rival de IAR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programadores, código abierto y ecosistema de componentes de 30 años; quien aprende Qt lo pide en el siguiente proyecto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plataforma de coche o de equipo médico se programa y certifica para 5-10 años: cambiar de marco obliga a reescribir y recertificar; renovaciones estables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de seguridad de IAR y Axivion; marca Qt entre programadores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Flutter y las alternativas abiertas son gratuitas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caben pocos proveedores especializados (compiladores para microcontroladores) [7].</w:t>
            </w:r>
          </w:p>
        </w:tc>
      </w:tr>
    </w:tbl>
    <w:p>
      <w:pPr>
        <w:spacing w:after="160" w:before="0"/>
      </w:pPr>
    </w:p>
    <w:p>
      <w:pPr>
        <w:pStyle w:val="Heading2"/>
      </w:pPr>
      <w:r>
        <w:t xml:space="preserve">Amenazas</w:t>
      </w:r>
    </w:p>
    <w:p>
      <w:pPr>
        <w:spacing w:after="100"/>
      </w:pPr>
      <w:r>
        <w:t xml:space="preserve">Lo que más puede erosionar el foso: 1) la IA, que abarata escribir interfaces con herramientas gratuitas (Flutter, web, LVGL) y reduce el número de programadores por proyecto, la base de la venta por puesto; 2) Flutter y los motores de videojuegos (Unity, Unreal) en las pantallas de coche; 3) los fabricantes de coches chinos, que usan herramientas locales (Kanzi) o propias, y Android Automotive en el infoentretenimiento [1, 3]. A favor: los costes de cambio de una plataforma certificada y la exigencia de herramientas certificadas, que la IA no elimina.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2020-2025: ingresos </w:t>
      </w:r>
      <w:r>
        <w:rPr>
          <w:b/>
          <w:bCs/>
        </w:rPr>
        <w:t xml:space="preserve">22,2 %</w:t>
      </w:r>
      <w:r>
        <w:t xml:space="preserve">, EBITDA </w:t>
      </w:r>
      <w:r>
        <w:rPr>
          <w:b/>
          <w:bCs/>
        </w:rPr>
        <w:t xml:space="preserve">26,0 %</w:t>
      </w:r>
      <w:r>
        <w:t xml:space="preserve">, BPA </w:t>
      </w:r>
      <w:r>
        <w:rPr>
          <w:b/>
          <w:bCs/>
        </w:rPr>
        <w:t xml:space="preserve">19,6 %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79,5 M EUR en 2020 a 216,3 M en 2025 (TCAC del 22,2 %), pero el crecimiento se ha frenado: +15,7 % en 2024 y +3,5 % en 2025 (+6,6 % a tipo constante y solo +2,6 % orgánico a tipo constante) [1]. En los 12 meses a junio de 2026 las ventas fueron de 231,8 M con IAR [3]. El negocio tiene tres fuentes: licencias de desarrollador y consultoría (puestos de programador, cobrados por adelantado; 141,8 M en 2025, −6,8 %), licencias de distribución (regalías por cada dispositivo que el cliente fabrica con Qt; 56,8 M en 2025, +26,4 %, «excepcionalmente altas» según la empresa) y mantenimiento (17,7 M, +48 % por IAR) [1, 3]. El EBITDA (NIIF) subió de 19,4 M en 2020 a 74,6 M en 2024 (35,7 % de las ventas) y cayó a 55,8 M en 2025 (25,8 %; 28,5 % sin los 5,8 M de costes de la compra de IAR) por la falta de crecimiento con una plantilla que se había dimensionado para crecer un 15-25 % [1, 7]. En el primer semestre de 2026 el EBITA cayó a 14,3 M (12,6 %) con 4,3 M de reorganización [3]. Beneficio neto: de 57,3 M (2,26 EUR por acción) en 2024 a 31,8 M (1,25) en 2025 y 22,8 M (0,90) en los últimos 12 meses [1, 3].</w:t>
      </w:r>
    </w:p>
    <w:p>
      <w:pPr>
        <w:pStyle w:val="Heading2"/>
      </w:pPr>
      <w:r>
        <w:t xml:space="preserve">Ajustes y partidas no recurrentes</w:t>
      </w:r>
    </w:p>
    <w:p>
      <w:pPr>
        <w:spacing w:after="100"/>
      </w:pPr>
      <w:r>
        <w:t xml:space="preserve">La empresa publica el EBITA (resultado operativo antes de amortizar los intangibles de las compras): 51,8 M EUR en 2025 (24,0 %) frente a 71,2 M en 2024 (34,1 %) [1]. La amortización de esos intangibles (PPA) fue de 9,3 M en 2025 y de ≈ 6,8 M solo en el primer semestre de 2026 (≈ 13,5 M al año con IAR) [3]. No recurrentes dentro del EBITDA: 5,8 M de costes de la compra de IAR en 2025 (1,7 M en el 3T y 4,1 M en el 4T) y 4,3 M de reorganización en el 2T26 [3, 5, 6]; se devuelven al EBITDA del motor. La remuneración en acciones es pequeña en la cuenta (0,6 M de gasto en 2025 y −1,2 M en 2024 por reversión), pero el plan de 2019 se liquidó en 2022 con 23,3 M de impuestos y parte en caja que hundieron el flujo operativo de ese año [1]. El BPA de la regla a 12 meses y su historia son los PUBLICADOS (NIIF, con la amortización de PPA): el consenso de MarketScreener está en esa base, Inderes publica un BPA ajustado sin PPA.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del trimestre = EBITA + amortización sin PPA (cálculo propio con las cifras de cada informe). Crecimiento a tipo constante: 3T25 −0,2 %, 4T25 +18,6 % (orgánico +6,1 %), 1T26 +18,4 %, 2T26 +20,9 % [3, 4, 5, 6]. El 2T26 (6-ago-2026) dio ventas de 61,3 M EUR y EBITA de 9,3 M (15,1 %) con 4,3 M de reorganización, por encima de lo que esperaba Inderes; el ARR (ingresos recurrentes anualizados) llegó a 160,4 M (+32,1 % a tipo constante con IAR; 127,1 M en diciembre sin IAR) [3]. La guía de 2026 se mantiene: ventas +10 % o más a tipo constante y margen EBITA de al menos el 15 % [3]. La empresa espera que las licencias de distribución bajen en 2026 tras un 2025 «excepcionalmente alto», que el paso de IAR a suscripción presione sus ventas en 2026, y que la venta por puesto evolucione con la IA hacia un cobro por capacidad o uso [3]. Dirección: el negocio es estable, los clientes retrasan proyectos nuevos por el entorno, hay más actividad en defensa y medicina y nuevos clientes de electrónica de consumo; APAC flojo [3]. Transcripción con preguntas de analistas no disponible (Seeking Alpha cerrado; la conferencia fue en finés e inglés en Inderes).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I.A.R. Systems Group (compiladores y depuradores para microcontroladores, Suecia) consolidada desde el 17-oct-2025: 8,1 M EUR de ventas en el 4T25 [1]. Oferta de 180 SEK por acción, ≈ 205 M EUR en caja, financiada con un préstamo de 150 M [1, 9]. El LTM a junio de 2026 incluye nueve meses de IAR y la base de 2025 solo dos y medio: el crecimiento de 12 meses mezcla perímetros (la empresa no publica cifras pro forma).; 2022: Axivion (análisis estático de código, Alemania), comprada el 11-ago-2022 por 44,1 M EUR (25,8 en caja, 8,3 en acciones y 10,0 de pago aplazado), con 5,0 M de ventas en 2021 [1, 10].; 2021: froglogic (pruebas automáticas de interfaces, Squish; Alemania) por 37,5 M EUR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2024 el balance tenía caja neta (64,9 M EUR y sin deuda) [1]. La compra de IAR lo cambió: deuda financiera de 134,4 M a final de 2025 (más 8,8 M de arrendamientos) y 40,1 M de caja; 84 M de deuda neta en junio de 2026 (≈ 1,6 veces el EBITDA de 12 meses) [1, 3]. El activo está dominado por el fondo de comercio (166,9 M) y los intangibles de las compras (119,1 M en junio): 286 M de 432 M de activo total [3]. El circulante es pequeño porque los clientes pagan por adelantado (pasivos de contrato de 31,7 M) y las licencias cobradas a plazos (activos de contrato de 12,4 M) se compensan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141</w:t>
      </w:r>
      <w:r>
        <w:t xml:space="preserve">, conversión </w:t>
      </w:r>
      <w:r>
        <w:rPr>
          <w:b/>
          <w:bCs/>
        </w:rPr>
        <w:t xml:space="preserve">72 %</w:t>
      </w:r>
      <w:r>
        <w:t xml:space="preserve"> del beneficio neto; adquisiciones 253, dividendos 0, recompras 17.</w:t>
      </w:r>
    </w:p>
    <w:p>
      <w:pPr>
        <w:spacing w:after="100"/>
      </w:pPr>
      <w:r>
        <w:t xml:space="preserve">El flujo operativo fue de 40,2 M EUR en 2025 y 53,7 M en 2024; en 2022 fue negativo (−3,9 M) por la liquidación del plan de acciones de 2019 (impuestos y parte en caja: 23,3 M) [1]. La inversión es mínima (1,1 M en 2025, 0,5 % de las ventas) y los arrendamientos 2,6 M: el flujo libre es alto, ≈ 26,5 M en los 12 meses a junio de 2026 (11 % de las ventas) [1, 3]. La caja se ha ido a compras (195,3 M en 2025 por IAR; 25,8 M en 2022 y 24 M en 2021) y a recompras en 2020-2021 (16,4 M); nunca ha pagado dividendo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Oy 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con tres cosas que mirar. 1) Las licencias de plazo fijo se reconocen enteras al entregarlas y las regalías de distribución dependen de los informes de producción de los clientes: el cuarto trimestre concentra un tercio de las ventas y casi todo el beneficio (4T25: 77,1 M de ventas y 28,7 M de EBITDA) y los activos de contrato (12,4 M) son ventas reconocidas antes de facturar [1, 5]. 2) La amortización de los intangibles comprados (≈ 13,5 M al año con IAR) separa el EBITA de la empresa del EBIT y del BPA publicados [3]. 3) La remuneración en acciones: el plan de 2019 costó en 2022 ≈ 23 M en caja e impuestos y 15,4 M al consejero delegado; los planes actuales son pequeños (hasta 214.000 acciones, 0,8 %)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concentradas en el cuarto trimestre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plazo fijo reconocidas al entregarlas: el 4T25 dio 77,1 M de 216,3 M y el 51 % del EBITDA del año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EBITA frente a EBIT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guía con EBITA (sin la amortización de PPA, ≈ 13,5 M al año); el BPA publicado sí la lleva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de distribución que dependen de informes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56,8 M en 2025 (+26 %), «excepcionalmente altas»; la empresa espera menos en 2026 y bajaron un 17 % en el primer semestre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liquidada en caja (2022)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2019: ≈ 23 M de salida de caja e impuestos en 2022; los planes de hoy son pequeños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e intangibles = 66 %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286 M de 432 M en junio de 2026; la prueba de deterioro de 2025 usa crecimientos del 8-19 % y márgenes EBIT del 15-23 % [1,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167 M en 2025 (el 49 % del capital invertido medio); ha subido más de un 5 % en 3 de 5 años: comprador en serie. ROIC publicado 17,7 %; sin fondo de comercio, 34,8 %.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12,1 % · </w:t>
      </w:r>
      <w:r>
        <w:rPr>
          <w:b/>
          <w:bCs/>
        </w:rPr>
        <w:t xml:space="preserve">WACC</w:t>
      </w:r>
      <w:r>
        <w:t xml:space="preserve">: 10,4 %.</w:t>
      </w:r>
    </w:p>
    <w:p>
      <w:pPr>
        <w:spacing w:after="100"/>
      </w:pPr>
      <w:r>
        <w:t xml:space="preserve">Hasta 2024 Qt era un negocio excepcional: ROIC del 35-45 % con un capital invertido de ≈ 110 M EUR, porque vende software sin apenas inversión y cobra por adelantado [1]. La compra de IAR lo cambió. El ROIC del motor para 2025 es del 17,7 % (NOPAT de 38 M sobre un capital medio de 215 M), ≈ 7,3 puntos sobre el WACC del 10,4 %, y pasa el umbral de calidad (+5). Pero el capital medio solo lleva dos meses y medio de IAR: con el capital de final de 2025 (≈ 316 M, con 167 M de fondo de comercio y 126 M de intangibles) el ROIC de 2025 sería ≈ 12 %, y con el resultado de los 12 meses a junio de 2026 (EBIT de 34 M más 10 M de no recurrentes, después de impuestos ≈ 35 M) ≈ 11 %: casi igual al WACC [1, 3]. Sin fondo de comercio, el ROIC sigue siendo del 35 %: el negocio es bueno, lo caro fue comprarlo. Para volver a crear valor con margen, la reorganización y el crecimiento tienen que llevar el EBITA hacia el 30 %: con el margen de nuestro 2028e (EBITA ≈ 28 %, 80 M), el ROIC volvería al ≈ 19 %.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42,4 M EUR a 30-jun-2026; deuda con intereses de 126,6 M (con ≈ 8,8 M de arrendamientos), tras devolver 15 M en el 2T26 [3]. El préstamo de la compra de IAR (150 M) tiene covenants de solvencia y rentabilidad, que se cumplen [1]. Avales por 2,7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Liquidación forzosa de los minoritarios de IAR: 5,1 M EUR en devengos a 31-dic-2025 [1]. Pasivos de contrato (cobros por adelantado): 25,9 M a corto y 5,8 M a largo en 2025 [1]. Sin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Sin dividendo: la caja se reinvierte en crecimiento y compras. La junta de 2026 autorizó recomprar y emitir hasta 2 M de acciones cada una (≈ 8 %) [1]. Tras IAR, la prioridad es devolver deuda (15 M devueltos en el 2T26; vencimientos de 33,4 M en 2026 y 32,6 M en 2027)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froglogic (Squish, pruebas automáticas de interfaces)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línea de calidad de software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Axivion (análisis estático de código)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(25,8), acciones (8,3) y pago aplazado (10,0)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8,8 veces las ventas de 2021; hoy integrada con NVIDIA Halos para automoción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I.A.R. Systems Group (compiladores, depuradores y herramientas para microcontroladores)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de 150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del 66 %; 122,5 M de fondo de comercio; ventas de IAR en descenso en 2026 por el paso a suscripción; se cierran sus productos de seguridad [1, 3, 9].</w:t>
            </w:r>
          </w:p>
        </w:tc>
      </w:tr>
    </w:tbl>
    <w:p>
      <w:pPr>
        <w:spacing w:after="160" w:before="0"/>
      </w:pPr>
    </w:p>
    <w:p>
      <w:pPr>
        <w:spacing w:after="100"/>
      </w:pPr>
      <w:r>
        <w:t xml:space="preserve">La empresa crece comprando herramientas que se venden a los mismos programadores de sistemas embebidos: froglogic y Axivion (pruebas y análisis de código) y en 2025 IAR, la mayor compra de su historia (≈ 205 M EUR, el 95 % de las ventas de Qt de un año) [1, 9]. Pagó ≈ 4,7 veces las ventas y ≈ 13,2 veces el EBITDA de IAR de 2024, con una prima del 66 %, justo cuando su propio crecimiento se paraba [7, 9]. El capital invertido pasó de ≈ 114 M en 2024 a ≈ 300 M en 2025, y el ROIC cayó del ≈ 45 % a ≈ 12 % [1]. Las recompras de 2020-2021 (16,4 M a 30-130 EUR por acción) se hicieron cerca de máximos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Juha Varelius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Digia (2008-2016) y de Qt desde la escisión de 2016. Llevó las ventas de 39 M EUR a 216 M y el margen EBITA al 34 % en 2024; también la compra de IAR y el aviso de beneficios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Zetterberg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IAR; interina desde el 6-feb-2026 y fija desde el 7-abr-2026, tras la salida de Jouni Lintunen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Thilak Ramanna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unidad de negocio Qt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 la unidad Qt desde enero de 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Karin Schreil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sénior, unidad de negocio IAR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4-may-2026, tras la salida de Cecilia Wachtmeister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Erik Rehn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 ventas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noviembre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+20-30 % a tipo constante; margen EBITA 20-30 %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+16,4 %; 30,6 %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+20-30 % a tipo constante; margen EBITA 25-35 %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 34,1 %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+15-25 % y margen EBITA 30-40 % (rebajada en abril a +10-20 % y en octubre a +3-10 % y 20-30 %)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+6,6 %; 24,0 %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+10 % o más a tipo constante; margen EBITA de al menos el 15 % (reiterada en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+19,6 % y EBITA del 12,6 %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una trayectoria de crecimiento muy buena hasta 2024 y una credibilidad dañada desde entonces: tres años seguidos por debajo de la guía de ventas, en 2025 con dos rebajas y un aviso de beneficios [1, 10]. La dirección dimensionó la plantilla para crecer un 20 % y tuvo que reorganizar en abril de 2026 (hasta 200 puestos) [1]. Mucho cambio en la cúpula en 2026: director financiero, responsables de las dos unidades y de ventas [3, 16]. El consejero delegado lleva 18 años al frente (Digia y Qt) y tiene el 1,6 % de las acciones.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Ingman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Mikko Marsio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Elina Anckar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Marika Auramo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Matti Heikkonen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Jouni Toijala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1,36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Ingman Group (Robert Ingman)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 fundador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52.000 acciones el 19-20 de mayo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Skandinaviska Enskilda Banken (custodio)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30-jun-2026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Ilmarinen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30-jun-2026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Varma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30-jun-2026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5 % en may-jun 2026, sobre todo con instrumentos financieros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Juha Varelius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400.982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Ingman Development Oy Ab (sociedad del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Ingman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0,45 M EUR en 2025, casi todo fijo: sin variable por no cumplir los objetivos [1]. Ratio frente al coste medio por empleado: ≈ 3,9 veces. El riesgo está en los planes de acciones: con el plan de 2019 recibió acciones por 15,4 M en 2022 y vendió opciones por 26,8 M [1]. El plan 2025-2027 (hasta 214.000 acciones para la dirección) se liga a las ventas de 2027 con un umbral de margen EBITA, no al rendimiento del capital: premia crecer, también comprando, y es una de las críticas de los inversores [1].</w:t>
      </w:r>
    </w:p>
    <w:p>
      <w:pPr>
        <w:pStyle w:val="Heading2"/>
      </w:pPr>
      <w:r>
        <w:t xml:space="preserve">Operaciones vinculadas, estructura de control y defensas</w:t>
      </w:r>
    </w:p>
    <w:p>
      <w:pPr>
        <w:spacing w:after="100"/>
      </w:pPr>
      <w:r>
        <w:t xml:space="preserve">Sin accionista de control: Ingman Group es el de referencia con el 21,6 % y su dueño preside el consejo desde 2016 [1, 3]. Una acción, un voto; consejo elegido cada año; presidente separado del consejero delegado; cinco de seis consejeros independientes; comisión de auditoría de independientes [15]. La junta autorizó recomprar y emitir hasta 2 M de acciones (≈ 8 %) [15]. Sin operaciones vinculadas relevantes [1]. Goldman Sachs cruzó varias veces el 5 % en mayo-junio de 2026, sobre todo con instrumentos financieros (préstamo de valores, no una inversión estable) [19]. El presidente y su sociedad compraron 52.000 acciones a ≈ 26 EUR en mayo de 2026: son las únicas operaciones de directivos publicadas en MFN en los últimos 12 meses [17, 18].</w:t>
      </w:r>
    </w:p>
    <w:p>
      <w:pPr>
        <w:pStyle w:val="Heading2"/>
      </w:pPr>
      <w:r>
        <w:t xml:space="preserve">Señales de alerta</w:t>
      </w:r>
    </w:p>
    <w:p>
      <w:pPr>
        <w:pStyle w:val="ListParagraph"/>
        <w:numPr>
          <w:ilvl w:val="0"/>
          <w:numId w:val="2"/>
        </w:numPr>
        <w:spacing w:after="60"/>
      </w:pPr>
      <w:r>
        <w:t xml:space="preserve">Tres años sin cumplir la guía de ventas y aviso de beneficios en octubre de 2025 [10].</w:t>
      </w:r>
    </w:p>
    <w:p>
      <w:pPr>
        <w:pStyle w:val="ListParagraph"/>
        <w:numPr>
          <w:ilvl w:val="0"/>
          <w:numId w:val="2"/>
        </w:numPr>
        <w:spacing w:after="60"/>
      </w:pPr>
      <w:r>
        <w:t xml:space="preserve">Cambio de director financiero (febrero-abril de 2026) y de los responsables de las dos unidades en 2026 [3, 16].</w:t>
      </w:r>
    </w:p>
    <w:p>
      <w:pPr>
        <w:pStyle w:val="ListParagraph"/>
        <w:numPr>
          <w:ilvl w:val="0"/>
          <w:numId w:val="2"/>
        </w:numPr>
        <w:spacing w:after="60"/>
      </w:pPr>
      <w:r>
        <w:t xml:space="preserve">Incentivos de la dirección ligados a las ventas de 2027, no al rendimiento del capital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(26-feb-2026, reiterada el 13-may y el 6-ago): ventas +10 % o más a tipo constante y margen EBITA de al menos el 15 % [3]. La empresa espera menos licencias de distribución que en 2025 y presión en las ventas de IAR por el paso a suscripción; la reorganización (≥ 20 M EUR de ahorro anual, completo en 2027) apoya el margen del segundo semestre [3,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 analistas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 – 38,00</w:t>
            </w:r>
          </w:p>
        </w:tc>
      </w:tr>
    </w:tbl>
    <w:p>
      <w:pPr>
        <w:spacing w:after="160" w:before="0"/>
      </w:pPr>
    </w:p>
    <w:p>
      <w:pPr>
        <w:pStyle w:val="Heading2"/>
      </w:pPr>
      <w:r>
        <w:t xml:space="preserve">Revisiones de estimaciones</w:t>
      </w:r>
    </w:p>
    <w:p>
      <w:pPr>
        <w:spacing w:after="100"/>
      </w:pPr>
      <w:r>
        <w:t xml:space="preserve">Al alza tras el semestral: el BPA de 2026 de Yahoo pasó de 0,74 EUR hace 90 días a 1,13 y el de 2027 de 1,23 a 1,89 [21]. Recomendaciones: SEB a comprar con 40 EUR (25-sep), Inderes acumular con 38 (7-ago), OP comprar con 40 (7-ago), Danske vender con 15 (22-abr) [22, 26]. Ojo con la base: MarketScreener da BPA publicado (NIIF) y Yahoo mezcla; Inderes publica un BPA ajustado sin amortización de PPA de 1,53 / 2,51 / 2,84 EUR para 2026-2028 [26].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es muy volátil (volatilidad del 48,7 % a un año y del 56 % a 60 sesiones) y ha perdido mucho: −89,7 % desde el máximo de octubre de 2021 hasta marzo de 2026, −13,5 % en 12 meses frente a +15,2 % del índice [20]. Pasó de 133,6 EUR al cierre de 2021 (≈ 98 veces el beneficio del año siguiente) a 18,04 en marzo de 2026, con el frenazo del crecimiento, el aviso de beneficios y el miedo a la IA; desde entonces sube un 90 % por el semestral, las compras de Ingman y la reorganización [20]. Betas: 2,0 mensual a cinco años, 1,59 semanal a cinco años y 1,21 semanal a dos años frente al Stoxx Europe 600 [20].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+46,6 % / +79,0 % / -11,6 %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 / +90,0 %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beneficios del 17-oct-2025 (guía de 2025 rebajada a +3-10 % y EBITA del 20-30 %) y resultados del 3T25 el 30-oct (ventas −3,5 %)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 33 EUR a 18,04 el 23-mar: −9,6 % el 29-ene el mismo día que SAP cayó un 16 % (miedo a la IA en el software), Danske a mantener (30-ene), guía cauta de 2026 el 26-feb (−8,2 %) y −7,0 % el 2-mar [4,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hasta 200 puestos (20-abr, −4,8 %) y Danske a vender con objetivo de 15 EUR (22-abr, −7,7 %) [8,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(13-may; +6,5 % y +11,6 % el 15-may), compras de 52.000 acciones del presidente y su sociedad (19-20 de mayo, +9,4 %) y SEB a comprar [4, 17,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sin noticia propia de la empresa (mayor caída de un mes hasta el 2-jul); tres búsquedas (comunicados de MFN, foro de Inderes, prensa) sin causa concreta: devolución de la subida de mayo con el sector de software [20,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Semestral del 6-ago (ventas +19,6 %, ARR +32 %, guía reiterada): +26,7 % en el día; Inderes, OP y SEB suben objetivos [3,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29-oct-2026 (el consenso de Yahoo espera 0,03 EUR por acción y 47,6 M de ventas)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 sube a comprar con objetivo de 40 EUR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Semestral: ventas del 2T +19,6 %, EBITA del 15,1 % con 4,3 M de reorganización, ARR de 160,4 M; guía de 2026 reiterada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Data I/O firma una carta de intención no vinculante para comprar los productos de seguridad de IAR que Qt cierra (≈ 3 M de ahorro al año)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(Robert Ingman) y su sociedad compran 52.000 acciones por 1,36 M EUR a ≈ 26,2 EUR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ahorro de al menos 20 M EUR al año, hasta 200 puestos, coste de 4,3 M en el 2T26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 Zetterberg, directora financiera fija tras la salida de Jouni Lintunen en febrero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y guía de 2026 (ventas +10 % o más, EBITA de al menos el 15 %)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beneficios: guía de 2025 rebajada por segunda vez; cierre de la compra de IAR el mismo día [7,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Salta el aviso P1 (subida fuerte, +47 % en tres meses), que no cambia la señal por sí solo (regla 13). La subida tiene causas en hechos de la empresa: un semestral mejor de lo esperado, la reorganización, compras del presidente y subidas de recomendación; parte de un mínimo de 18 EUR al que llevaron el aviso de beneficios y el miedo a la IA en el software [3, 17, 26]. La acción sigue un 16 % por debajo del máximo de 52 semanas y un 81 % por debajo del de cinco años. El tramo de junio-julio (−24 %) no tiene causa propia encontrada. No hay colocaciones, ampliaciones, litigios ni votaciones con fecha que puedan mover el precio más de un 5 % en contra; los resultados del 3T26 (29-oct) no retrasan nada (regla 11), aunque el trimestre es estacionalmente el más flojo.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PER adelantado = precio de cierre de cada ejercicio (Yahoo [20]) ÷ BPA publicado del ejercicio siguiente [1]. El de 2025 usa nuestro BPA de 2026e (en propio). Se excluye 2021 (98 veces: burbuja del software con tipos cero, el pico de la acción). El de 2024 (53,8) está inflado porque el BPA de 2025 cayó por la compra de IAR y el frenazo. El múltiplo de Qt ha sido siempre de crecimiento (28-65 veces); hoy, tras caer un 75 % desde 2021, cotiza a ≈ 20-22 veces el beneficio de los próximos 12 meses, el nivel de un software maduro.</w:t>
      </w:r>
    </w:p>
    <w:p>
      <w:pPr>
        <w:pStyle w:val="Heading1"/>
      </w:pPr>
      <w:r>
        <w:t xml:space="preserve">18. Comparables cotizados</w:t>
      </w:r>
    </w:p>
    <w:p>
      <w:pPr>
        <w:pStyle w:val="Confianza"/>
        <w:spacing w:after="100"/>
      </w:pPr>
      <w:r>
        <w:t xml:space="preserve">Confianza: Media</w:t>
      </w:r>
    </w:p>
    <w:p>
      <w:pPr>
        <w:spacing w:after="100"/>
      </w:pPr>
      <w:r>
        <w:t xml:space="preserve">Empresas de software de ingeniería y de herramientas para programar productos (Synopsys, Cadence, PTC, Dassault, Nemetschek, Autodesk), BlackBerry por QNX (software de automoción) y Vitec (software nórdico) [21]. Ninguna es igual: Qt es mucho más pequeña, más cíclica (regalías) y crece menos que las de diseño de chips. Fuera: Unity (PER sin sentido, pérdidas operativas), JFrog (EBITDA negativo), Arm (PER de 73 veces por la IA) y ThunderSoft (servicios con margen EBITDA del 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BlackBerry (QNX)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Vitec Software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23,2x / 42,1x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24,4x / 28,2x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7,2x / 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Qt cotiza a 18,2 veces el BPA de 2027 de Yahoo y a 18,2 veces el EBITDA de 12 meses (con 10,1 M de no recurrentes dentro), frente a una mediana de 24,4 veces de PER adelantado de los comparables [21]. Cuidado: los comparables de EE. UU. publican BPA ajustado (sin pagos en acciones ni amortización de compras), así que su PER en base NIIF sería más alto, y el de Qt también está en BPA del consenso con mezcla de bases. Con crecimiento del 8-10 % y márgenes en recuperación, la mediana es una referencia razonable pero exigente para Qt; la regla a 12 meses la usa solo en el alcista.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I.A.R. Systems Group (compiladores para microcontroladores)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Qt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 SEK por acción, 2.293 M SEK; múltiplos sobre las cifras de IAR de 2024 (ventas de 487 M SEK, EBITDA del 35,8 %) y el valor de las acciones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10.000 M USD de valor de empresa sobre 665,8 M USD de ventas de 2024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Axivion (análisis estático de código)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Qt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pago aplazado y acciones; ventas de 5,0 M en 2021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froglogic (pruebas de interfaces)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no publicadas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58,45 – 105,47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herramientas de software se pagan caras: 4,7-15 veces las ventas. A 4,0 veces sus ventas de 12 meses (valor de empresa de ≈ 930 M EUR), Qt cotiza por debajo de lo que ella misma pagó por IAR y muy por debajo de Altair. Con un accionista de referencia del 21,6 % (Ingman) que acaba de comprar más, una opa hostil es difícil; una amistosa de un grupo industrial o de software de ingeniería es posible pero no hay ninguna señal.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(+11,0 %, fijo): la guía es de +10 % o más a tipo constante; IAR todo el año suma ≈ 12,5 puntos, las licencias de distribución bajan (−17 % en el primer semestre) y el tipo de cambio resta ≈ 2,5 puntos; el consenso espera +11,2 % [3, 22]. Después, +8,5 % en 2027e (IAR vuelve a crecer tras el paso a suscripción, ARR de 160 M con +32 % y ≈ +11 % orgánico) y bajada hasta el 4 % en 2033e: por debajo del 10,8 % previsto para el software embebido [11] y del 22 % anual de 2020-2025, porque la IA, Flutter y las alternativas abiertas presionan el precio por puesto y el orgánico de 2025 fue del 2,6 % [1, 3].</w:t>
      </w:r>
    </w:p>
    <w:p>
      <w:pPr>
        <w:keepNext/>
        <w:spacing w:after="100"/>
      </w:pPr>
      <w:r>
        <w:rPr>
          <w:b/>
          <w:bCs/>
        </w:rPr>
        <w:t xml:space="preserve">Márgenes.</w:t>
      </w:r>
    </w:p>
    <w:p>
      <w:pPr>
        <w:spacing w:after="100"/>
      </w:pPr>
      <w:r>
        <w:t xml:space="preserve">Margen EBITDA del 24 % en 2026e (con 4,3 M de reorganización; consenso 24,1 % [22]) que sube al 29 % en 2027e con el ahorro completo de ≥ 20 M y 3 M de los productos de seguridad de IAR [3, 8] y al 32,5 % desde 2031e. Es menos que el 35,7 % de 2024 y que el 35,8 % de IAR en 2024 [1, 9], y más que el 28,5 % de 2025 sin no recurrentes: suponemos que Qt recupera la mayor parte, no todo, de su rentabilidad, porque la presión de precio por la IA y la competencia gratuita no desaparece.</w:t>
      </w:r>
    </w:p>
    <w:p>
      <w:pPr>
        <w:keepNext/>
        <w:spacing w:after="100"/>
      </w:pPr>
      <w:r>
        <w:rPr>
          <w:b/>
          <w:bCs/>
        </w:rPr>
        <w:t xml:space="preserve">Inversión y circulante.</w:t>
      </w:r>
    </w:p>
    <w:p>
      <w:pPr>
        <w:spacing w:after="100"/>
      </w:pPr>
      <w:r>
        <w:t xml:space="preserve">Capex del 1,8-2,0 % de las ventas = inversión (0,5 % en 2025) más pagos de arrendamientos (1,2 %) [1]; depreciación del 2 %. Circulante del 15 % de las ventas (clientes y activos de contrato menos proveedores y cobros por adelantado: ≈ 16 % en 2025). No se proyectan compras nuevas.</w:t>
      </w:r>
    </w:p>
    <w:p>
      <w:pPr>
        <w:keepNext/>
        <w:spacing w:after="100"/>
      </w:pPr>
      <w:r>
        <w:rPr>
          <w:b/>
          <w:bCs/>
        </w:rPr>
        <w:t xml:space="preserve">Coste del capital.</w:t>
      </w:r>
    </w:p>
    <w:p>
      <w:pPr>
        <w:spacing w:after="100"/>
      </w:pPr>
      <w:r>
        <w:t xml:space="preserve">Tasa libre del 3,44 % (Bund a 10 años, 21-oct-2026 [23]); beta de 1,35, entre la ajustada semanal a cinco años (1,40) y la semanal a dos años (1,21) frente al Stoxx Europe 600 (la mensual a cinco años, 2,0, recoge la burbuja de 2021) [20]; prima del 5,5 % más 0,5 puntos por tamaño y liquidez (2,5 M EUR al día); coste de la deuda del 3,8 % (préstamo bancario de la compra de IAR) y peso de la deuda del 12 %. WACC del 10,36 %. La prueba de deterioro de la empresa usa un 9,8 % antes de impuestos [1]. Con la prima implícita del mercado (4,2 % [24]) el WACC baja al 8,8 % y el DCF sube a 42,21 EUR.</w:t>
      </w:r>
    </w:p>
    <w:p>
      <w:pPr>
        <w:keepNext/>
        <w:spacing w:after="100"/>
      </w:pPr>
      <w:r>
        <w:rPr>
          <w:b/>
          <w:bCs/>
        </w:rPr>
        <w:t xml:space="preserve">Valor terminal.</w:t>
      </w:r>
    </w:p>
    <w:p>
      <w:pPr>
        <w:spacing w:after="100"/>
      </w:pPr>
      <w:r>
        <w:t xml:space="preserve">Crecimiento a perpetuidad del 2,5 %: el software embebido crece más que la economía, pero la IA y la competencia gratuita frenan el precio. El múltiplo de salida implícito es de 9,4 veces el EBITDA, muy por debajo de los 17-45 a los que cotizan los comparables [21]: el terminal es prudente. Pesa un 61 %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(reinvierte el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77,6 % (histórico: 12,1 %)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 frente al 7,1 %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(hoy: 1,2 %)</w:t>
            </w:r>
          </w:p>
        </w:tc>
      </w:tr>
    </w:tbl>
    <w:p>
      <w:pPr>
        <w:spacing w:after="160" w:before="0"/>
      </w:pPr>
    </w:p>
    <w:p>
      <w:pPr>
        <w:spacing w:after="100"/>
      </w:pPr>
      <w:r>
        <w:t xml:space="preserve">La proyección apenas necesita inversión neta de la amortización (reinversión acumulada de 18 M, el 3 % del NOPAT, con un capex bruto medio del 1,9 % de las ventas). En un negocio de activos ligeros, el crecimiento medio del 7,1 % tiene que salir de subir precios y de ganar volumen sin capital nuevo, y la prueba es el poder de precios y la cuota (1,0 % del mercado en 2033e, frente al 1,2 %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Perímetro de IAR todo el año (≈ +12,5 puntos) menos tipo de cambio (≈ −2,5) en «otros»; volumen orgánico del 1 %: licencias de desarrollador estables, distribución a la baja tras un 2025 excepcional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(nuevos proyectos en defensa, medicina, electrónica de consumo e industria; IAR vuelve a crecer en suscripción), precio del 1,5 % y 1 punto por la recuperación de IAR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y precio del 2 %, en línea con el consenso (+8,7 %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5,5 % y precio del 2 %: por debajo del mercado de software embebido (10,8 %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5 % y precio del 2 %: la cuota en el mercado amplio baja del 1,25 % al ≈ 1 %.</w:t>
            </w:r>
          </w:p>
        </w:tc>
      </w:tr>
    </w:tbl>
    <w:p>
      <w:pPr>
        <w:spacing w:after="160" w:before="0"/>
      </w:pPr>
    </w:p>
    <w:p>
      <w:pPr>
        <w:spacing w:after="100"/>
      </w:pPr>
      <w:r>
        <w:t xml:space="preserve">El crecimiento proyectado (6,6 % anual en 2027e-2033e) está muy por debajo del histórico (22 % anual en 2020-2025, con compras) y del mercado (10,8 % según Grand View Research [11]), y no necesita capital: la inversión es del 2 % de las ventas y los clientes pagan por adelantado. La cuota implícita en el mercado amplio baja del 1,25 % al ≈ 1 % (mercado de 2033e en EUR a 1,1228 USD por EUR [11, 30]). El motor da también «Sí». El riesgo no es de capacidad sino de demanda: que la IA y las herramientas gratuitas reduzcan los puestos de programador y el precio. Lo recoge el bajista (−3 puntos de crecimiento y −4 de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 (base: 32,5 %)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10,4 %)</w:t>
            </w:r>
          </w:p>
        </w:tc>
      </w:tr>
    </w:tbl>
    <w:p>
      <w:pPr>
        <w:spacing w:after="160" w:before="0"/>
      </w:pPr>
    </w:p>
    <w:p>
      <w:pPr>
        <w:spacing w:after="100"/>
      </w:pPr>
      <w:r>
        <w:t xml:space="preserve">El DCF da 33,09 EUR por acción, un 3,5 % bajo el precio, con un WACC del 10,36 % y un terminal que pesa el 61 %. El DCF inverso dice que el precio descuenta un 7,2 % de crecimiento anual en 2027e-2033e con nuestro margen, frente al 6,6 % de nuestro base: el mercado espera algo más que nosotros, sin margen de seguridad. La tasa decide: con la prima de riesgo que pide hoy el mercado (4,2 %, WACC del 8,8 %) el DCF vale 42,21 EUR (+23 %). La sensibilidad es alta: ± 0,5 puntos de WACC y de crecimiento terminal dan 29,63-37,54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hace que los clientes escriban interfaces con Flutter, tecnologías web o código generado, y necesitan menos puestos de Qt; los fabricantes de coches chinos usan herramientas locales; las regalías siguen a la baja con la crisis de la automoción europea; IAR no recupera el crecimiento tras el paso a suscripción. Crecimiento 3 puntos menor y margen 4 puntos menor que el base (EBITDA final del 28,5 %).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8-8,5 % en 2027e-2028e que se modera al 4 % en 2033e; la reorganización y el ahorro de IAR devuelven el margen EBITDA al 29 % en 2027e y al 32,5 % desde 2031e, por debajo del máximo de 2024 (35,7 %).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se convierte en la plataforma certificada para el software generado con IA (pruebas, análisis de código, compiladores certificados) y cobra por capacidad; defensa, medicina y electrónica de consumo compensan la automoción: 2 puntos más de crecimiento y de margen (EBITDA final del 34,5 %).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34,2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31,79 EUR (-7,3 %).</w:t>
      </w:r>
    </w:p>
    <w:p>
      <w:pPr>
        <w:spacing w:after="100"/>
      </w:pPr>
      <w:r>
        <w:t xml:space="preserve">La asimetría del valor intrínseco es desfavorable: el alcista vale 39,50 EUR (+15,2 %) y el bajista 21,49 (−37,3 %); ponderados, 31,79 (−7,3 %). El margen es la palanca: 4 puntos menos de margen son un 13 % menos de EBITDA, y el terminal pesa el 61 %. Con la prima del mercado la asimetría se da la vuelta (alcista 50,44, bajista 26,71): Qt es una acción de tasa.</w:t>
      </w:r>
    </w:p>
    <w:p>
      <w:pPr>
        <w:pStyle w:val="Heading1"/>
      </w:pPr>
      <w:r>
        <w:t xml:space="preserve">22. Suma de partes</w:t>
      </w:r>
    </w:p>
    <w:p>
      <w:pPr>
        <w:pStyle w:val="Confianza"/>
        <w:spacing w:after="100"/>
      </w:pPr>
      <w:r>
        <w:t xml:space="preserve">Confianza: Media</w:t>
      </w:r>
    </w:p>
    <w:p>
      <w:pPr>
        <w:spacing w:after="100"/>
      </w:pPr>
      <w:r>
        <w:t xml:space="preserve">No aplica: las unidades Qt e IAR venden herramientas a los mismos programadores de sistemas embebidos, con los mismos clientes y canales, y la empresa no publica el resultado de cada una [1, 3].</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34,2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33,50 EUR (-2,3 % sobre 34,28).</w:t>
      </w:r>
    </w:p>
    <w:p>
      <w:pPr>
        <w:spacing w:after="100"/>
      </w:pPr>
      <w:r>
        <w:t xml:space="preserve">Pesos: DCF 45 %, escenarios 40 % y comparables 15 %. El DCF es el método principal para un negocio con poca inversión y flujos previsibles; los escenarios recogen la asimetría (bajista −37 %, alcista +15 %). Los comparables pesan poco porque son empresas mucho mayores, que crecen más (Synopsys, Cadence) y publican BPA ajustado: a su mediana Qt valdría 39,26 EUR (+14,5 %). Las transacciones (IAR, Altair, Axivion: 4,7-15 veces las ventas) no pesan, pero recuerdan que estas herramientas se compran caras: a 4,1 veces las ventas, Qt cotiza por debajo de lo que pagó por IAR. Valor objetivo de 33,50 EUR (−2,3 %): el precio está en el centro del rango del DCF (29,63-37,54).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(21.8x) × 1.1 (tope: la mediana de 5 años, 32x,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+118,3 %</w:t>
            </w:r>
          </w:p>
        </w:tc>
      </w:tr>
    </w:tbl>
    <w:p>
      <w:pPr>
        <w:spacing w:after="160" w:before="0"/>
      </w:pPr>
    </w:p>
    <w:p>
      <w:pPr>
        <w:spacing w:after="100"/>
      </w:pPr>
      <w:r>
        <w:rPr>
          <w:b/>
          <w:bCs/>
        </w:rPr>
        <w:t xml:space="preserve">Objetivo a 12 meses (ponderado):</w:t>
      </w:r>
      <w:r>
        <w:t xml:space="preserve"> 50,61 EUR · rentabilidad +47,6 % (base +42,1 %) · señal Mantener.</w:t>
      </w:r>
    </w:p>
    <w:p>
      <w:pPr>
        <w:spacing w:after="100"/>
      </w:pPr>
      <w:r>
        <w:t xml:space="preserve">Para comparar, con la regla v2 (historia al cierre, mismo precio): 18,5x / 21,8x / 28,3x, 33,4 % Mantener; con el tope anterior del base (×1,3, 14-oct mediodía): 62,5 %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publicado de 2026e (1,11 EUR) está entre MarketScreener (1,00) y Yahoo (1,13); el de 2027e (1,68) y el de 2028e (2,03) quedan un 5 % y un 10 % por debajo de MarketScreener (1,76 y 2,25), que da un EBITDA de 2028e de 93,1 M (32,7 %) frente a nuestros 85,8 M (30,5 %) [22]. Inderes, en BPA ajustado sin PPA, da 2,84 EUR en 2028e [27]. La distancia con el objetivo medio de los analistas (34,25 EUR, en mantener) está en el múltiplo y en el horizonte: ellos valoran hoy con 2026-2027 y prudencia por la IA; la regla común aplica a nuestro BPA de 2028e un PER de 24 veces, por encima del actual (21,8) porque la historia de Qt es de 28-65 veces.</w:t>
      </w:r>
    </w:p>
    <w:p>
      <w:pPr>
        <w:keepNext/>
        <w:spacing w:after="100"/>
      </w:pPr>
      <w:r>
        <w:rPr>
          <w:b/>
          <w:bCs/>
        </w:rPr>
        <w:t xml:space="preserve">Del valor intrínseco al objetivo a 12 meses.</w:t>
      </w:r>
    </w:p>
    <w:p>
      <w:pPr>
        <w:spacing w:after="100"/>
      </w:pPr>
      <w:r>
        <w:t xml:space="preserve">El objetivo a 12 meses (50,61 EUR ponderado) da un +47,6 % y el base (48,72 EUR) un +42,1 %, sin dividendo, pero el valor intrínseco (33,50 EUR) queda un 2,3 % bajo el precio: la regla dice Mantener. Las dos cifras no se contradicen sino que miden cosas distintas: la regla a 12 meses supone que el BPA casi se duplica de 1,11 a 2,03 EUR en dos años (reorganización, IAR, crecimiento del 8 %) y que el mercado paga por él un PER de 24, todavía bajo para la historia de Qt; el DCF, con un WACC del 10,4 % y márgenes que no vuelven al máximo, dice que el precio de hoy ya paga ese negocio. Para comprar haría falta un precio por debajo de 33,50 EUR (−2,3 %), con el que se cumplirían también la ponderada y el base. Vender (ponderada ≤ −10 %) solo por encima de 56,23 EUR. Crecimiento del BPA base: +35 % anual de 2026e a 2028e, desde un 2026 deprimido por la reorganización y la PPA; de 2024 (2,26 EUR) a 2028e el BPA no crece.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ahorro de la reorganización; consenso de BPA de 0,03 EUR; el 3T es estacionalmente el más flojo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2027-02-18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margen EBITA de 2027 se acerca al 30 %, confirma la recuperación que la regla da por hecha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productos de seguridad de IAR a Data 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 3 M al año y foco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IAR vuelve a crecer tras el paso a suscripción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IAR de nuevo al alza y ARR más alto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precio por puesto a cobro por capacidad o uso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el ingreso si la IA reduce programadores; riesgo de transición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coches y electrónica (regalías)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de distribución (26 % de las ventas) siguen la producción de los clientes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de un grupo industrial o de software de ingeniería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herramientas se compran a 5-15 veces ventas; Qt cotiza a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genera interfaces con herramientas gratuitas y reduce los puestos de programador, la base de la venta de licencias de desarrollador (66 %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 −40 %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certificada para coches y medicina; pruebas y análisis de código (más código, más pruebas); paso a cobro por capacidad o uso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las renovaciones o del ARR orgánico; bajada de precio por puesto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la automoción y de la electrónica de consumo (regalías por dispositivo y proyectos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hacia medicina, industria, defensa y edificios (SAUTER) [3,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distribución por debajo de 45 M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Flutter, de las alternativas abiertas (Slint, LVGL) y de Unity y Unreal en las pantallas de coche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de plataformas certificadas para 5-10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una plataforma de un fabricante de coches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reorganización no devuelve el EBITDA al 29-30 %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del objetivo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 20 M anunciado y 3 M de IAR; consenso aún más optimista [8,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 un margen EBITA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IAR: precio alto (prima del 66 %, ≈ 13 veces el EBITDA) y ventas a la baja en 2026 por el paso a suscripción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IAR tenía un margen EBITDA del 36 %; suscripción mayoritaria en las reservas [3,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(167 M) o ventas de IAR que no vuelven a crecer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tres años sin cumplir la guía de ventas y cambio de director financiero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prudente y reiterada; compras del presidente [10,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rebaja de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tras IAR: 84 M de deuda neta y covenants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 26 M al año; vencimientos de 33 M al año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y volatilidad: beta de 1,2-2,0 y caídas del 50-89 %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±30 % en un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de 21,8 sobre el BPA de 12 meses, bajo para su historia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Caídas del software europeo por la IA, como el 29-ene-2026</w:t>
            </w:r>
          </w:p>
        </w:tc>
      </w:tr>
    </w:tbl>
    <w:p>
      <w:pPr>
        <w:spacing w:after="160" w:before="0"/>
      </w:pPr>
    </w:p>
    <w:p>
      <w:pPr>
        <w:pStyle w:val="Heading2"/>
      </w:pPr>
      <w:r>
        <w:t xml:space="preserve">Pre-mortem</w:t>
      </w:r>
    </w:p>
    <w:p>
      <w:pPr>
        <w:spacing w:after="100"/>
      </w:pPr>
      <w:r>
        <w:t xml:space="preserve">Octubre de 2028: la acción ha perdido un 40 %. Los asistentes de IA generaron en 2027 interfaces completas en Flutter y tecnologías web a partir de un dibujo, y los fabricantes de electrónica e industria dejaron de renovar puestos de Qt; los coches chinos usaron herramientas locales y los europeos recortaron proyectos. Las regalías siguieron a la baja con la producción, IAR no volvió a crecer y el margen se quedó en el 25 %. El BPA de 2028 fue de 1,50 EUR en vez de 2,03 y el mercado pagó 18 veces. La señal temprana: un ARR orgánico creciendo menos del 5 % y una guía de 2027 con margen EBITA por debajo del 25 %.</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−35 % a +15 % a 3-5 años (es la diferencia entre el bajista y el alcista)</w:t>
      </w:r>
    </w:p>
    <w:p>
      <w:pPr>
        <w:spacing w:after="100"/>
      </w:pPr>
      <w:r>
        <w:t xml:space="preserve">Es el riesgo central. En contra: Qt cobra por puesto de programador y la IA reduce los programadores necesarios y abarata escribir interfaces con herramientas gratuitas (Flutter, web, LVGL) que los modelos dominan porque hay más código público; la propia empresa espera pasar de la venta por puesto al cobro por capacidad o uso [3]. A favor: en coches, equipos médicos e industria el software tiene que estar certificado, probado y mantenido diez años, y más código generado exige más pruebas, análisis estático y compiladores certificados, donde están Squish, Axivion e IAR; Qt integra asistentes de IA en Qt Creator y Axivion con NVIDIA Halos [1, 3]. Hoy las cifras no muestran el daño (renovaciones estables, ARR orgánico ≈ +11 %), pero el crecimiento orgánico de 2025 (2,6 %) y la caída de la acción con SAP el 29-ene-2026 dicen que el mercado lo teme [1, 20]. Señales: renovaciones y precio por puesto, ARR orgánico y las ventas de las herramientas de calidad.</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Qt es el talento (personal = la mitad de las ventas; rotación y reorganización de hasta 200 puestos en 2026), la seguridad y calidad del software que va en coches y equipos médicos (certificaciones de seguridad funcional y ciberseguridad), los controles de exportación a algunos países y la licencia abierta (relación con la comunidad de código abierto) [1, 8]. El impacto ambiental propio es pequeño (oficinas y viajes) [1].</w:t>
      </w:r>
    </w:p>
    <w:p>
      <w:pPr>
        <w:pStyle w:val="Heading2"/>
      </w:pPr>
      <w:r>
        <w:t xml:space="preserve">Controversias</w:t>
      </w:r>
    </w:p>
    <w:p>
      <w:pPr>
        <w:spacing w:after="100"/>
      </w:pPr>
      <w:r>
        <w:t xml:space="preserve">Sin controversias relevantes. La remuneración de 2022 (15,4 M EUR en acciones y 26,8 M por la venta de opciones del consejero delegado) fue polémica en Finlandia; hoy cobra 0,45 M sin variable [1]. Calificaciones de MSCI o Sustainalytics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el número de puestos de programador y el precio por puesto en las renovaciones de 2026, y qué parte del ARR está ya en cobro por capacidad o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la diferencia entre el bajista (−37 %) y 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orgánico del ARR y de las ventas sin IAR en 2026, y por qué fue del 2,6 %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un 8 % desde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licencias de distribución viene de automoción y de electrónica de consumo, y qué volumen de 2025 fue excepcional?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Bajaron un 17 % en el semestre; son el 26 %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EBITA alcanza la empresa en 2027 con el ahorro completo de la reorganización y de IAR?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a 12 meses depende de un EBITDA del 29-30,5 % en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vuelven a crecer las ventas de IAR y cuánto ARR aporta la suscripción?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205 M EUR pagados con una prima del 66 % y 122,5 M de fondo de comercio.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Inderes (hilo de Qt Group)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optimistas destacan las compras de Ingman, el semestral, los ahorros de la reorganización y una frase de la dirección sobre un negocio de 500 M EUR; los escépticos, el crecimiento orgánico flojo, el precio pagado por IAR, los incentivos ligados a las ventas, Flutter y el «vibe coding» con IA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Inderes (casa de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Acumular con objetivo de 38 EUR; ve exagerados los temores sobre la IA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y 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debate en inglés: titulares de resultados y nada en Stocktwits [28,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(«vibe coding»)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para la venta por puesto; la empresa ya prevé cobrar por capacidad o uso. Las cifras aún no lo muestran: renovaciones estables y ARR orgánico sin IAR +11,5 % en el 1T26 según Inderes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presidente (Ingman)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52.000 acciones por 1,36 M EUR a ≈ 26 EUR; señal de confianza del accionista de referencia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pagado por IAR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66 % y ≈ 13 veces el EBITDA de IAR; las ventas de IAR bajan en 2026 por la suscripción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Reorganización y vuelta al margen del 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Ahorro de ≥ 20 M al año; el consenso de 2027 (EBITDA del 30 %) ya lo da por hecho [26].</w:t>
            </w:r>
          </w:p>
        </w:tc>
      </w:tr>
    </w:tbl>
    <w:p>
      <w:pPr>
        <w:spacing w:after="160" w:before="0"/>
      </w:pPr>
    </w:p>
    <w:p>
      <w:pPr>
        <w:spacing w:after="100"/>
      </w:pPr>
      <w:r>
        <w:t xml:space="preserve">Sentimiento dividido que mejora desde el mínimo de marzo: el miedo a la IA y el aviso de beneficios llevaron la acción a 18 EUR; el semestral y las compras del presidente le han dado la vuelta. No hay euforia (los analistas siguen en mantener de media, objetivo de 34,25 EUR) ni capitulación. El debate coincide con los riesgos del informe (IA, IAR, crecimiento orgánico).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30 (18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1,0 % en 2033e frente al 1,2 %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16,4 %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concreto (marcos de interfaces embebidas y herramientas de desarrollo y prueba)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Qt (no lo cuantifica); 2) Grand View Research y Global Market Insights (solo software embebido amplio); 3) MarketsandMarkets y Precedence Research (sin cifras legibles)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mercado amplio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votos de la junta de 2026 sobre el informe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decisiones de la junta; 2) informe anual 2025; 3) web de inversores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en Finlandia el voto es consultivo y no se publica el porcentaje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registrada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FIN-FSA (no abre sin navegador); 2) Yahoo (sin dato); 3) foro de Inderes (≈ 8 % en marzo y ≈ 4,2 % en junio,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caída de junio-julio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MFN de junio-julio (ninguno con hechos de negocio); 2) foro de Inderes; 3) prensa finlandesa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explica como devolución de la subida de mayo, sin causa concreta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Qt Group Annual Report 2025 (informe del consejo, cuentas consolidadas NIIF, notas, auditoría, gobierno,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https://www.qt.io/hubfs/_website/QtV2/QtV2%20Investors/2025/Qt_AnnualReport_2025-EN.pdf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ESEF (xBRL) de Qt Group 2021-2025, LEI 743700GO2XU2ZYYDKW67 (herramienta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filings.xbrl.org (ESEF)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Half-Year Report January-June 2026 (trimestre, ARR, deuda, guía 2026, IA y modelo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https://storage.mfn.se/5033faae-f2e0-45c9-b571-f12b9c3666a7/2026-q2-en-final.pdf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Interim Statement January-March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https://www.mfn.se/a/qt-group/qt-group-plc-interim-statement-january-march-2026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Financial Statements Bulletin January 1 - December 31, 2025 (4T25,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https://www.mfn.se/a/qt-group/qt-group-plc-financial-statements-bulletin-for-january-1-december-31-2025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Interim Report January-September 2025 (3T25, compra de IAR)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https://mb.cision.com/Main/14183/4259113/3753838.pdf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profit warning, Qt Group lowers its outlook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https://mfn.se/cis/a/qt-group/inside-information-profit-warning-qt-group-lowers-its-outlook-for-2025-3e8b1771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information: Qt Group launches operational reorganization to improve efficiency (≥ 20 M EUR de ahorro, hasta 200 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https://www.mfn.se/a/qt-group/insider-information-qt-group-launches-operational-reorganization-to-improve-efficiency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pública de Qt Group por I.A.R. Systems Group AB (folleto: 180 SEK por acción, cifras de IAR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https://mb.cision.com/Main/23842/4200295/3566784.pdf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Q4 2024, Q4 2023 y Q4 2022 results (presentaciones: guías anuales e historial)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https://www.qt.io/hubfs/_website/QtV2/QtV2%20Investors/2024/Qt%20Group%20Q4%202024%20results.pdf?hsLang=en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Embedded Software Market Size, Share &amp; Trends Analysis Report 2026-2033 (19,2 mil M USD en 2025; TCAC del 10,8 %)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https://www.grandviewresearch.com/industry-analysis/embedded-software-market-report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Embedded Software Market Size report 2026-2035 (21 mil M USD en 2025; TCAC del 8,7 %)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https://www.gminsights.com/industry-analysis/embedded-software-market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y comparables (ventas, márgenes, capitalización)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SAUTER selects Qt Group to bring next-generation user experiences to building automation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https://www.mfn.se/a/qt-group/sauter-selects-qt-group-to-bring-next-generation-user-experiences-to-building-automation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la junta de accionistas de 2026 y reunión constitutiva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https://www.mfn.se/a/qt-group/the-decisions-of-qt-group-plcs-annual-general-meeting-and-the-organizing-meeting-of-the-companys-board-of-directors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Qt Group's Management Team: Ann Zetterberg appointed as permanent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https://www.mfn.se/a/qt-group/change-in-qt-groups-management-team-ann-zetterberg-appointed-as-permanent-cfo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Ingman Development Oy Ab (50.000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https://www.mfn.se/a/qt-group/qt-group-plc-managers-transactions-ingman-development-oy-ab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Robert Ingman (2.000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https://www.mfn.se/a/qt-group/qt-group-plc-managers-transactions-robert-ingman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participación significativa (Goldman Sachs, capítulo 9 de la Ley del Mercado de Valores de Finlandia), may-jun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Plc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https://www.mfn.se/a/qt-group/announcement-of-a-change-in-shareholding-according-to-chapter-9-section-10-of-the-finnish-securities-market-act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QTCOM.HE, EXSA.DE (Stoxx Europe 600) y EXV3.DE (tecnología europea): precio, rango, rentabilidades, betas,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https://finance.yahoo.com/quote/QTCOM.HE/history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QTCOM.HE y comparables (BPA, ventas, objetivos, recomendaciones; precio tras el cierre del 21-oct):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https://finance.yahoo.com/quote/QTCOM.HE/analysis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Qt Group Oyj: consenso de 4 analistas (ventas, EBITDA, EBIT, beneficio y BPA 2026-2028; objetivo medio 34,25 EUR)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https://www.marketscreener.com/quote/stock/QT-GROUP-OYJ-30049777/finances/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 3,44 %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https://api.statistiken.bundesbank.de/rest/download/BBSIS/D.I.ZAR.ZI.EUR.S1311.B.A604.R10XX.R.A.A._Z._Z.A?format=csv&amp;lang=en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(113 USD por acción, ≈ 10.000 M USD de valor de empresa) y Form 10-K de Altair (ventas 2024: 665,8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 Altair Engineering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https://www.sec.gov/cgi-bin/browse-edgar?action=getcompany&amp;CIK=0001701732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Inderes (hilo de Qt Group) y prensa finlandesa (cambios de recomendación de Danske, SEB, OP e Inderes)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(foro) y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https://forum.inderes.com/t/274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análisis y estimaciones de Qt Group (BPA ajustado, crecimiento orgánico del ARR)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https://www.inderes.fi/en/companies/Qt-Group/financials-and-estimates/income-statements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QTCOM (RSS; transcripciones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https://seekingalpha.com/api/sa/combined/QTCOM.xml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$QTCOM (vacío)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https://api.stocktwits.com/api/2/streams/symbol/QTCOM.json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EURUSD (1,1228), EURSEK (11,10) y EURCNY (7,47)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https://finance.yahoo.com/quote/EURUSD=X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EUR, ejercicio natural. Último informe: semestral a 30-jun-2026; el 3T26 se publica el 29-oct-2026. Precio: cierre del 21-oct-2026 (34,28 EUR, último cruce a las 15:29:52 UTC [20]). La compra de IAR (17-oct-2025) rompe la comparación: 2025 lleva dos meses y medio de IAR y el LTM a junio de 2026 nueve; no hay cifras pro forma [1]. El BPA de la regla a 12 meses y su historia son los PUBLICADOS (NIIF, con la amortización de los intangibles comprados, ≈ 13,5 M al año); Inderes y parte del consenso de Yahoo usan un BPA ajustado sin esa amortización, más alto [22, 27]. El DCF trata los arrendamientos como inversión (sus pagos van en el capex) y no los resta en el puente, y no da ahorro fiscal a la amortización de PPA. No hay estudio público del mercado concreto de Qt: la cuota y la prueba de mercado usan el software embebido amplio [11]. Transcripción de la conferencia del 2T26 no disponible. Una acción cuesta 34,28 EUR: un 0,1 % de una cartera de 30.000 EUR; el mínimo de 1.000 EUR por posición son ≈ 30 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Qt Group Oyj (QTCOM)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34,28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(18,04 – 40,70)</c:v>
                </c:pt>
                <c:pt idx="1">
                  <c:v>Precio objetivo de los analistas (27,00 – 38,00)</c:v>
                </c:pt>
                <c:pt idx="2">
                  <c:v>Comparables: PER NTM (33,25 – 45,47)</c:v>
                </c:pt>
                <c:pt idx="3">
                  <c:v>DCF (WACC y g ± 0,5) (29,63 – 37,54)</c:v>
                </c:pt>
                <c:pt idx="4">
                  <c:v>Escenarios (bajista – alcista) (21,49 – 39,50)</c:v>
                </c:pt>
                <c:pt idx="5">
                  <c:v>DCF con la prima implícita del mercado (4,2 %)</c:v>
                </c:pt>
                <c:pt idx="6">
                  <c:v>Precio actual (34,28)</c:v>
                </c:pt>
              </c:strCache>
            </c:strRef>
          </c:cat>
          <c:val>
            <c:numRef>
              <c:f>Hoja1!$B$2:$B$8</c:f>
              <c:numCache>
                <c:formatCode>#,##0.0</c:formatCode>
                <c:ptCount val="7"/>
                <c:pt idx="0">
                  <c:v>18.04</c:v>
                </c:pt>
                <c:pt idx="1">
                  <c:v>27</c:v>
                </c:pt>
                <c:pt idx="2">
                  <c:v>33.25</c:v>
                </c:pt>
                <c:pt idx="3">
                  <c:v>29.63</c:v>
                </c:pt>
                <c:pt idx="4">
                  <c:v>21.49</c:v>
                </c:pt>
                <c:pt idx="5">
                  <c:v>38.8</c:v>
                </c:pt>
                <c:pt idx="6">
                  <c:v>34.11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(18,04 – 40,70)</c:v>
                </c:pt>
                <c:pt idx="1">
                  <c:v>Precio objetivo de los analistas (27,00 – 38,00)</c:v>
                </c:pt>
                <c:pt idx="2">
                  <c:v>Comparables: PER NTM (33,25 – 45,47)</c:v>
                </c:pt>
                <c:pt idx="3">
                  <c:v>DCF (WACC y g ± 0,5) (29,63 – 37,54)</c:v>
                </c:pt>
                <c:pt idx="4">
                  <c:v>Escenarios (bajista – alcista) (21,49 – 39,50)</c:v>
                </c:pt>
                <c:pt idx="5">
                  <c:v>DCF con la prima implícita del mercado (4,2 %)</c:v>
                </c:pt>
                <c:pt idx="6">
                  <c:v>Precio actual (34,28)</c:v>
                </c:pt>
              </c:strCache>
            </c:strRef>
          </c:cat>
          <c:val>
            <c:numRef>
              <c:f>Hoja1!$C$2:$C$8</c:f>
              <c:numCache>
                <c:formatCode>#,##0.0</c:formatCode>
                <c:ptCount val="7"/>
                <c:pt idx="0">
                  <c:v>22.660000000000004</c:v>
                </c:pt>
                <c:pt idx="1">
                  <c:v>11</c:v>
                </c:pt>
                <c:pt idx="2">
                  <c:v>12.219999999999999</c:v>
                </c:pt>
                <c:pt idx="3">
                  <c:v>7.91</c:v>
                </c:pt>
                <c:pt idx="4">
                  <c:v>18.01</c:v>
                </c:pt>
                <c:pt idx="5">
                  <c:v>7.420000000000002</c:v>
                </c:pt>
                <c:pt idx="6">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Licencias de desarrollador y consultoría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123.661</c:v>
                </c:pt>
                <c:pt idx="1">
                  <c:v>152.187</c:v>
                </c:pt>
                <c:pt idx="2">
                  <c:v>141.796</c:v>
                </c:pt>
              </c:numCache>
            </c:numRef>
          </c:val>
        </c:ser>
        <c:ser>
          <c:idx val="1"/>
          <c:order val="1"/>
          <c:tx>
            <c:strRef>
              <c:f>Hoja1!$C$1</c:f>
              <c:strCache>
                <c:ptCount val="1"/>
                <c:pt idx="0">
                  <c:v>Licencias de distribución (regalías por dispositivo)</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44.115</c:v>
                </c:pt>
                <c:pt idx="1">
                  <c:v>44.954</c:v>
                </c:pt>
                <c:pt idx="2">
                  <c:v>56.811</c:v>
                </c:pt>
              </c:numCache>
            </c:numRef>
          </c:val>
        </c:ser>
        <c:ser>
          <c:idx val="2"/>
          <c:order val="2"/>
          <c:tx>
            <c:strRef>
              <c:f>Hoja1!$D$1</c:f>
              <c:strCache>
                <c:ptCount val="1"/>
                <c:pt idx="0">
                  <c:v>Mantenimiento</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12.967</c:v>
                </c:pt>
                <c:pt idx="1">
                  <c:v>11.922</c:v>
                </c:pt>
                <c:pt idx="2">
                  <c:v>17.674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Licencias de desarrollador y consultoría</c:v>
                </c:pt>
                <c:pt idx="1">
                  <c:v>Licencias de distribución (regalías por dispositivo)</c:v>
                </c:pt>
                <c:pt idx="2">
                  <c:v>Mantenimiento</c:v>
                </c:pt>
              </c:strCache>
            </c:strRef>
          </c:cat>
          <c:val>
            <c:numRef>
              <c:f>Hoja1!$B$2:$B$4</c:f>
              <c:numCache>
                <c:formatCode>General</c:formatCode>
                <c:ptCount val="3"/>
                <c:pt idx="0">
                  <c:v>65.6</c:v>
                </c:pt>
                <c:pt idx="1">
                  <c:v>26.3</c:v>
                </c:pt>
                <c:pt idx="2">
                  <c:v>8.2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Resto de Europa</c:v>
                </c:pt>
                <c:pt idx="1">
                  <c:v>Norteamérica</c:v>
                </c:pt>
                <c:pt idx="2">
                  <c:v>Asia-Pacífico</c:v>
                </c:pt>
                <c:pt idx="3">
                  <c:v>Finlandia</c:v>
                </c:pt>
              </c:strCache>
            </c:strRef>
          </c:cat>
          <c:val>
            <c:numRef>
              <c:f>Hoja1!$B$2:$B$5</c:f>
              <c:numCache>
                <c:formatCode>0"%"</c:formatCode>
                <c:ptCount val="4"/>
                <c:pt idx="0">
                  <c:v>39.8</c:v>
                </c:pt>
                <c:pt idx="1">
                  <c:v>34.3</c:v>
                </c:pt>
                <c:pt idx="2">
                  <c:v>25.2</c:v>
                </c:pt>
                <c:pt idx="3">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(software embebido,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2033e</c:v>
                </c:pt>
              </c:strCache>
            </c:strRef>
          </c:cat>
          <c:val>
            <c:numRef>
              <c:f>Hoja1!$B$2:$B$4</c:f>
              <c:numCache>
                <c:formatCode>#,##0</c:formatCode>
                <c:ptCount val="3"/>
                <c:pt idx="0">
                  <c:v>19200</c:v>
                </c:pt>
                <c:pt idx="1">
                  <c:v>20800</c:v>
                </c:pt>
                <c:pt idx="2">
                  <c:v>42600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1</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Qt Group</c:v>
                </c:pt>
                <c:pt idx="1">
                  <c:v>Unity Software</c:v>
                </c:pt>
                <c:pt idx="2">
                  <c:v>Epic Games (Unreal Engine, privada)</c:v>
                </c:pt>
                <c:pt idx="3">
                  <c:v>Google (Flutter, gratuito)</c:v>
                </c:pt>
                <c:pt idx="4">
                  <c:v>BlackBerry (QNX)</c:v>
                </c:pt>
                <c:pt idx="5">
                  <c:v>Arm (Keil)</c:v>
                </c:pt>
                <c:pt idx="6">
                  <c:v>ThunderSoft (Kanzi)</c:v>
                </c:pt>
                <c:pt idx="7">
                  <c:v>Slint y LVGL (abiertas)</c:v>
                </c:pt>
                <c:pt idx="8">
                  <c:v>Green Hills Software (privada)</c:v>
                </c:pt>
              </c:strCache>
            </c:strRef>
          </c:cat>
          <c:val>
            <c:numRef>
              <c:f>Hoja1!$B$2:$B$10</c:f>
              <c:numCache>
                <c:formatCode>0.0"%"</c:formatCode>
                <c:ptCount val="9"/>
                <c:pt idx="0">
                  <c:v>22.3</c:v>
                </c:pt>
                <c:pt idx="1">
                  <c:v>-5.2</c:v>
                </c:pt>
                <c:pt idx="4">
                  <c:v>22.7</c:v>
                </c:pt>
                <c:pt idx="5">
                  <c:v>7.6</c:v>
                </c:pt>
                <c:pt idx="6">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79.5</c:v>
                </c:pt>
                <c:pt idx="1">
                  <c:v>121.1</c:v>
                </c:pt>
                <c:pt idx="2">
                  <c:v>155.3</c:v>
                </c:pt>
                <c:pt idx="3">
                  <c:v>180.7</c:v>
                </c:pt>
                <c:pt idx="4">
                  <c:v>209.063</c:v>
                </c:pt>
                <c:pt idx="5">
                  <c:v>216.281</c:v>
                </c:pt>
                <c:pt idx="6">
                  <c:v>240</c:v>
                </c:pt>
                <c:pt idx="7">
                  <c:v>260</c:v>
                </c:pt>
                <c:pt idx="8">
                  <c:v>281</c:v>
                </c:pt>
                <c:pt idx="9">
                  <c:v>302</c:v>
                </c:pt>
                <c:pt idx="10">
                  <c:v>324</c:v>
                </c:pt>
                <c:pt idx="11">
                  <c:v>343</c:v>
                </c:pt>
                <c:pt idx="12">
                  <c:v>360</c:v>
                </c:pt>
                <c:pt idx="13">
                  <c:v>375</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19.4</c:v>
                </c:pt>
                <c:pt idx="1">
                  <c:v>33.3</c:v>
                </c:pt>
                <c:pt idx="2">
                  <c:v>45.3</c:v>
                </c:pt>
                <c:pt idx="3">
                  <c:v>58.5</c:v>
                </c:pt>
                <c:pt idx="4">
                  <c:v>74.625</c:v>
                </c:pt>
                <c:pt idx="5">
                  <c:v>61.644</c:v>
                </c:pt>
                <c:pt idx="6">
                  <c:v>58</c:v>
                </c:pt>
                <c:pt idx="7">
                  <c:v>76</c:v>
                </c:pt>
                <c:pt idx="8">
                  <c:v>86</c:v>
                </c:pt>
                <c:pt idx="9">
                  <c:v>95</c:v>
                </c:pt>
                <c:pt idx="10">
                  <c:v>104</c:v>
                </c:pt>
                <c:pt idx="11">
                  <c:v>111</c:v>
                </c:pt>
                <c:pt idx="12">
                  <c:v>117</c:v>
                </c:pt>
                <c:pt idx="13">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94.4</c:v>
                </c:pt>
                <c:pt idx="1">
                  <c:v>94.7</c:v>
                </c:pt>
                <c:pt idx="2">
                  <c:v>95.5</c:v>
                </c:pt>
                <c:pt idx="3">
                  <c:v>97.5</c:v>
                </c:pt>
                <c:pt idx="4">
                  <c:v>98.1</c:v>
                </c:pt>
                <c:pt idx="5">
                  <c:v>97.6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24.4</c:v>
                </c:pt>
                <c:pt idx="1">
                  <c:v>27.5</c:v>
                </c:pt>
                <c:pt idx="2">
                  <c:v>29.2</c:v>
                </c:pt>
                <c:pt idx="3">
                  <c:v>32.4</c:v>
                </c:pt>
                <c:pt idx="4">
                  <c:v>35.7</c:v>
                </c:pt>
                <c:pt idx="5">
                  <c:v>28.5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21.4</c:v>
                </c:pt>
                <c:pt idx="1">
                  <c:v>23.8</c:v>
                </c:pt>
                <c:pt idx="2">
                  <c:v>23.8</c:v>
                </c:pt>
                <c:pt idx="3">
                  <c:v>26.2</c:v>
                </c:pt>
                <c:pt idx="4">
                  <c:v>30.2</c:v>
                </c:pt>
                <c:pt idx="5">
                  <c:v>22.3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16.1</c:v>
                </c:pt>
                <c:pt idx="1">
                  <c:v>18.5</c:v>
                </c:pt>
                <c:pt idx="2">
                  <c:v>22.1</c:v>
                </c:pt>
                <c:pt idx="3">
                  <c:v>19.6</c:v>
                </c:pt>
                <c:pt idx="4">
                  <c:v>27.4</c:v>
                </c:pt>
                <c:pt idx="5">
                  <c:v>14.7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-3.5</c:v>
                </c:pt>
                <c:pt idx="5">
                  <c:v>12.6</c:v>
                </c:pt>
                <c:pt idx="6">
                  <c:v>11.6</c:v>
                </c:pt>
                <c:pt idx="7">
                  <c:v>19.6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2">
                  <c:v>94</c:v>
                </c:pt>
                <c:pt idx="3">
                  <c:v>97</c:v>
                </c:pt>
                <c:pt idx="4">
                  <c:v>95</c:v>
                </c:pt>
                <c:pt idx="5">
                  <c:v>99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c:v>
                </c:pt>
                <c:pt idx="1">
                  <c:v>9</c:v>
                </c:pt>
                <c:pt idx="2">
                  <c:v>9</c:v>
                </c:pt>
                <c:pt idx="3">
                  <c:v>7</c:v>
                </c:pt>
                <c:pt idx="4">
                  <c:v>6</c:v>
                </c:pt>
                <c:pt idx="5">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10.7</c:v>
                </c:pt>
                <c:pt idx="1">
                  <c:v>13.7</c:v>
                </c:pt>
                <c:pt idx="2">
                  <c:v>-7.3</c:v>
                </c:pt>
                <c:pt idx="3">
                  <c:v>37</c:v>
                </c:pt>
                <c:pt idx="4">
                  <c:v>50.10000000000001</c:v>
                </c:pt>
                <c:pt idx="5">
                  <c:v>36.5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12.8</c:v>
                </c:pt>
                <c:pt idx="1">
                  <c:v>22.4</c:v>
                </c:pt>
                <c:pt idx="2">
                  <c:v>34.3</c:v>
                </c:pt>
                <c:pt idx="3">
                  <c:v>35.5</c:v>
                </c:pt>
                <c:pt idx="4">
                  <c:v>57.314</c:v>
                </c:pt>
                <c:pt idx="5">
                  <c:v>31.786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169.3</c:v>
                </c:pt>
                <c:pt idx="1">
                  <c:v>74.5</c:v>
                </c:pt>
                <c:pt idx="2">
                  <c:v>42.8</c:v>
                </c:pt>
                <c:pt idx="3">
                  <c:v>34.7</c:v>
                </c:pt>
                <c:pt idx="4">
                  <c:v>45.3</c:v>
                </c:pt>
                <c:pt idx="5">
                  <c:v>17.7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10.4</c:v>
                </c:pt>
                <c:pt idx="1">
                  <c:v>10.4</c:v>
                </c:pt>
                <c:pt idx="2">
                  <c:v>10.4</c:v>
                </c:pt>
                <c:pt idx="3">
                  <c:v>10.4</c:v>
                </c:pt>
                <c:pt idx="4">
                  <c:v>10.4</c:v>
                </c:pt>
                <c:pt idx="5">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42.8</c:v>
                </c:pt>
                <c:pt idx="1">
                  <c:v>55</c:v>
                </c:pt>
                <c:pt idx="2">
                  <c:v>49.6</c:v>
                </c:pt>
                <c:pt idx="3">
                  <c:v>34</c:v>
                </c:pt>
                <c:pt idx="4">
                  <c:v>38.1</c:v>
                </c:pt>
                <c:pt idx="5">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-1.13</c:v>
                </c:pt>
                <c:pt idx="1">
                  <c:v>-0.01</c:v>
                </c:pt>
                <c:pt idx="2">
                  <c:v>0.43</c:v>
                </c:pt>
                <c:pt idx="3">
                  <c:v>-0.22</c:v>
                </c:pt>
                <c:pt idx="4">
                  <c:v>-0.81</c:v>
                </c:pt>
                <c:pt idx="5">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33.4</c:v>
                </c:pt>
                <c:pt idx="1">
                  <c:v>32.6</c:v>
                </c:pt>
                <c:pt idx="2">
                  <c:v>76.5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24</c:v>
                </c:pt>
                <c:pt idx="2">
                  <c:v>25.8</c:v>
                </c:pt>
                <c:pt idx="3">
                  <c:v>4.1</c:v>
                </c:pt>
                <c:pt idx="4">
                  <c:v>3.3</c:v>
                </c:pt>
                <c:pt idx="5">
                  <c:v>195.3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5.4</c:v>
                </c:pt>
                <c:pt idx="1">
                  <c:v>11.1</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1</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Ingman Group (Robert Ingman)</c:v>
                </c:pt>
                <c:pt idx="1">
                  <c:v>Skandinaviska Enskilda Banken (custodio)</c:v>
                </c:pt>
                <c:pt idx="2">
                  <c:v>Ilmarinen</c:v>
                </c:pt>
                <c:pt idx="3">
                  <c:v>Varma</c:v>
                </c:pt>
                <c:pt idx="4">
                  <c:v>Goldman Sachs</c:v>
                </c:pt>
                <c:pt idx="5">
                  <c:v>Juha Varelius</c:v>
                </c:pt>
              </c:strCache>
            </c:strRef>
          </c:cat>
          <c:val>
            <c:numRef>
              <c:f>Hoja1!$B$2:$B$7</c:f>
              <c:numCache>
                <c:formatCode>0.0"%"</c:formatCode>
                <c:ptCount val="6"/>
                <c:pt idx="0">
                  <c:v>21.6</c:v>
                </c:pt>
                <c:pt idx="1">
                  <c:v>11.1</c:v>
                </c:pt>
                <c:pt idx="2">
                  <c:v>5.4</c:v>
                </c:pt>
                <c:pt idx="3">
                  <c:v>3</c:v>
                </c:pt>
                <c:pt idx="4">
                  <c:v>5</c:v>
                </c:pt>
                <c:pt idx="5">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-4.2</c:v>
                </c:pt>
                <c:pt idx="1">
                  <c:v>51.6</c:v>
                </c:pt>
                <c:pt idx="2">
                  <c:v>165.8</c:v>
                </c:pt>
                <c:pt idx="3">
                  <c:v>174.3</c:v>
                </c:pt>
                <c:pt idx="4">
                  <c:v>131.9</c:v>
                </c:pt>
                <c:pt idx="5">
                  <c:v>-66.7</c:v>
                </c:pt>
                <c:pt idx="6">
                  <c:v>44.2</c:v>
                </c:pt>
                <c:pt idx="7">
                  <c:v>4.7</c:v>
                </c:pt>
                <c:pt idx="8">
                  <c:v>-51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10.7</c:v>
                </c:pt>
                <c:pt idx="1">
                  <c:v>-11</c:v>
                </c:pt>
                <c:pt idx="2">
                  <c:v>28.4</c:v>
                </c:pt>
                <c:pt idx="3">
                  <c:v>-1.8</c:v>
                </c:pt>
                <c:pt idx="4">
                  <c:v>24.6</c:v>
                </c:pt>
                <c:pt idx="5">
                  <c:v>-10.3</c:v>
                </c:pt>
                <c:pt idx="6">
                  <c:v>15.5</c:v>
                </c:pt>
                <c:pt idx="7">
                  <c:v>8.5</c:v>
                </c:pt>
                <c:pt idx="8">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73.4</c:v>
                </c:pt>
                <c:pt idx="1">
                  <c:v>102.1</c:v>
                </c:pt>
                <c:pt idx="2">
                  <c:v>25.2</c:v>
                </c:pt>
                <c:pt idx="3">
                  <c:v>27.7</c:v>
                </c:pt>
                <c:pt idx="4">
                  <c:v>22</c:v>
                </c:pt>
                <c:pt idx="5">
                  <c:v>15.3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25.2</c:v>
                </c:pt>
                <c:pt idx="1">
                  <c:v>25.2</c:v>
                </c:pt>
                <c:pt idx="2">
                  <c:v>25.2</c:v>
                </c:pt>
                <c:pt idx="3">
                  <c:v>25.2</c:v>
                </c:pt>
                <c:pt idx="4">
                  <c:v>25.2</c:v>
                </c:pt>
                <c:pt idx="5">
                  <c:v>25.2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Qt Group</c:v>
                </c:pt>
                <c:pt idx="1">
                  <c:v>Synopsys</c:v>
                </c:pt>
                <c:pt idx="2">
                  <c:v>Cadence Design Systems</c:v>
                </c:pt>
                <c:pt idx="3">
                  <c:v>PTC</c:v>
                </c:pt>
                <c:pt idx="4">
                  <c:v>Dassault Systèmes</c:v>
                </c:pt>
                <c:pt idx="5">
                  <c:v>Nemetschek</c:v>
                </c:pt>
                <c:pt idx="6">
                  <c:v>Autodesk</c:v>
                </c:pt>
                <c:pt idx="7">
                  <c:v>BlackBerry (QNX)</c:v>
                </c:pt>
                <c:pt idx="8">
                  <c:v>Vitec Software Group</c:v>
                </c:pt>
              </c:strCache>
            </c:strRef>
          </c:cat>
          <c:val>
            <c:numRef>
              <c:f>Hoja1!$B$2:$B$10</c:f>
              <c:numCache>
                <c:formatCode>0.0"x"</c:formatCode>
                <c:ptCount val="9"/>
                <c:pt idx="0">
                  <c:v>12.6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I.A.R. Systems Group (compiladores para microcontroladores)</c:v>
                </c:pt>
                <c:pt idx="1">
                  <c:v>Altair Engineering (software de simulación)</c:v>
                </c:pt>
                <c:pt idx="2">
                  <c:v>Axivion (análisis estático de código)</c:v>
                </c:pt>
                <c:pt idx="3">
                  <c:v>froglogic (pruebas de interfaces)</c:v>
                </c:pt>
              </c:strCache>
            </c:strRef>
          </c:cat>
          <c:val>
            <c:numRef>
              <c:f>Hoja1!$B$2:$B$5</c:f>
              <c:numCache>
                <c:formatCode>0.0"x"</c:formatCode>
                <c:ptCount val="4"/>
                <c:pt idx="0">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42</c:v>
                </c:pt>
                <c:pt idx="1">
                  <c:v>53</c:v>
                </c:pt>
                <c:pt idx="2">
                  <c:v>61</c:v>
                </c:pt>
                <c:pt idx="3">
                  <c:v>68</c:v>
                </c:pt>
                <c:pt idx="4">
                  <c:v>74</c:v>
                </c:pt>
                <c:pt idx="5">
                  <c:v>80</c:v>
                </c:pt>
                <c:pt idx="6">
                  <c:v>84</c:v>
                </c:pt>
                <c:pt idx="7">
                  <c:v>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356</c:v>
                </c:pt>
                <c:pt idx="1">
                  <c:v>565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34,28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21.49</c:v>
                </c:pt>
                <c:pt idx="1">
                  <c:v>33.09</c:v>
                </c:pt>
                <c:pt idx="2">
                  <c:v>39.5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34,28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(18,04 – 40,70)</c:v>
                </c:pt>
                <c:pt idx="1">
                  <c:v>Precio objetivo de los analistas (27,00 – 38,00)</c:v>
                </c:pt>
                <c:pt idx="2">
                  <c:v>Comparables: PER NTM (33,25 – 45,47)</c:v>
                </c:pt>
                <c:pt idx="3">
                  <c:v>DCF (WACC y g ± 0,5) (29,63 – 37,54)</c:v>
                </c:pt>
                <c:pt idx="4">
                  <c:v>Escenarios (bajista – alcista) (21,49 – 39,50)</c:v>
                </c:pt>
                <c:pt idx="5">
                  <c:v>DCF con la prima implícita del mercado (4,2 %)</c:v>
                </c:pt>
                <c:pt idx="6">
                  <c:v>Precio actual (34,28)</c:v>
                </c:pt>
              </c:strCache>
            </c:strRef>
          </c:cat>
          <c:val>
            <c:numRef>
              <c:f>Hoja1!$B$2:$B$8</c:f>
              <c:numCache>
                <c:formatCode>#,##0.0</c:formatCode>
                <c:ptCount val="7"/>
                <c:pt idx="0">
                  <c:v>18.04</c:v>
                </c:pt>
                <c:pt idx="1">
                  <c:v>27</c:v>
                </c:pt>
                <c:pt idx="2">
                  <c:v>33.25</c:v>
                </c:pt>
                <c:pt idx="3">
                  <c:v>29.63</c:v>
                </c:pt>
                <c:pt idx="4">
                  <c:v>21.49</c:v>
                </c:pt>
                <c:pt idx="5">
                  <c:v>38.8</c:v>
                </c:pt>
                <c:pt idx="6">
                  <c:v>34.11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(18,04 – 40,70)</c:v>
                </c:pt>
                <c:pt idx="1">
                  <c:v>Precio objetivo de los analistas (27,00 – 38,00)</c:v>
                </c:pt>
                <c:pt idx="2">
                  <c:v>Comparables: PER NTM (33,25 – 45,47)</c:v>
                </c:pt>
                <c:pt idx="3">
                  <c:v>DCF (WACC y g ± 0,5) (29,63 – 37,54)</c:v>
                </c:pt>
                <c:pt idx="4">
                  <c:v>Escenarios (bajista – alcista) (21,49 – 39,50)</c:v>
                </c:pt>
                <c:pt idx="5">
                  <c:v>DCF con la prima implícita del mercado (4,2 %)</c:v>
                </c:pt>
                <c:pt idx="6">
                  <c:v>Precio actual (34,28)</c:v>
                </c:pt>
              </c:strCache>
            </c:strRef>
          </c:cat>
          <c:val>
            <c:numRef>
              <c:f>Hoja1!$C$2:$C$8</c:f>
              <c:numCache>
                <c:formatCode>#,##0.0</c:formatCode>
                <c:ptCount val="7"/>
                <c:pt idx="0">
                  <c:v>22.660000000000004</c:v>
                </c:pt>
                <c:pt idx="1">
                  <c:v>11</c:v>
                </c:pt>
                <c:pt idx="2">
                  <c:v>12.219999999999999</c:v>
                </c:pt>
                <c:pt idx="3">
                  <c:v>7.91</c:v>
                </c:pt>
                <c:pt idx="4">
                  <c:v>18.01</c:v>
                </c:pt>
                <c:pt idx="5">
                  <c:v>7.420000000000002</c:v>
                </c:pt>
                <c:pt idx="6">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