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23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61,93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+20,9 %)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60,80 EUR · mercado 68,68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(22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51,20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4,2 M EUR/día (76.800 acciones, media de 3 meses a 21-oct-2026)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61,93 EUR</w:t>
      </w:r>
      <w:r>
        <w:t xml:space="preserve"> frente a 54,30 · Rentabilidad a 12 meses </w:t>
      </w:r>
      <w:r>
        <w:rPr>
          <w:b/>
          <w:bCs/>
        </w:rPr>
        <w:t xml:space="preserve">+18,3 % (base +20,9 %)</w:t>
      </w:r>
      <w:r>
        <w:t xml:space="preserve"> · Valor intrínseco 60,80 EUR · con la prima implícita del mercado: 68,68 (+26,5 %) · Alcista / bajista +29,3 % / -17,8 %</w:t>
      </w:r>
    </w:p>
    <w:p>
      <w:pPr>
        <w:spacing w:after="100"/>
      </w:pPr>
      <w:r>
        <w:rPr>
          <w:b/>
        </w:rPr>
        <w:t xml:space="preserve">La recomendación y por qué.</w:t>
      </w:r>
      <w:r>
        <w:t xml:space="preserve"> Comprar, con convicción baja. El objetivo a 12 meses da un +18,3 % ponderado con dividendo y un +20,8 % en el caso base (63,34 €) sobre el cierre del 22-oct (54,30 €), y el valor intrínseco (60,80 €) está un 12 % por encima del precio. La convicción es baja porque la compra es frágil: con la historia al cierre (v2) la rentabilidad baja al +13,6 % y con un BPA un 10 % menor al +6,5 %; la subiría un 4T26 que cumpla la guía y la bajaría una tercera rebaja.</w:t>
      </w:r>
    </w:p>
    <w:p>
      <w:pPr>
        <w:spacing w:after="100"/>
      </w:pPr>
      <w:r>
        <w:rPr>
          <w:b/>
        </w:rPr>
        <w:t xml:space="preserve">Qué ha pasado en 9M26.</w:t>
      </w:r>
      <w:r>
        <w:t xml:space="preserve"> Ingresos de 965,4 M (+3,1 %; +4,5 % comparable), con un 3T récord (335,7 M, +5,5 %). EBITDA de 207,7 M (−4,9 %; +1,6 % comparable) y margen del 21,5 %: la divisa resta 6,2 puntos y la energía 5,1 M en el 3T. Beneficio neto de 111,8 M (+2,9 %). La empresa baja la guía de EBITDA de 2026 a 290-295 M (antes 305-314) y mantiene ingresos y beneficio; dividendo a cuenta de al menos 1,40 € [A].</w:t>
      </w:r>
    </w:p>
    <w:p>
      <w:pPr>
        <w:spacing w:after="100"/>
      </w:pPr>
      <w:r>
        <w:rPr>
          <w:b/>
        </w:rPr>
        <w:t xml:space="preserve">El negocio.</w:t>
      </w:r>
      <w:r>
        <w:t xml:space="preserve"> Líder mundial de envolturas para embutidos, con ROIC del 16,4 % y deuda bancaria neta de 266,6 M (1,0 veces el EBITDA) [A].</w:t>
      </w:r>
    </w:p>
    <w:p>
      <w:pPr>
        <w:spacing w:after="100"/>
      </w:pPr>
      <w:r>
        <w:rPr>
          <w:b/>
        </w:rPr>
        <w:t xml:space="preserve">Valoración.</w:t>
      </w:r>
      <w:r>
        <w:t xml:space="preserve"> DCF de 63,72 € (WACC del 7,42 %), escenarios de 44,65 a 70,23 €. Cotiza a 14,7 veces el beneficio de los próximos 12 meses, en línea con comparables de peor calidad y por debajo de su mediana histórica (17,3 veces adelantado) [D].</w:t>
      </w:r>
    </w:p>
    <w:p>
      <w:pPr>
        <w:spacing w:after="100"/>
      </w:pPr>
      <w:r>
        <w:rPr>
          <w:b/>
        </w:rPr>
        <w:t xml:space="preserve">En cartera.</w:t>
      </w:r>
      <w:r>
        <w:t xml:space="preserve"> La acción robusta es Mantener: no hay nivel de compra al precio de hoy (54,50 €). Ampliar solo por debajo de 52,76 € (B1) o de 50,47 € (A).</w:t>
      </w:r>
    </w:p>
    <w:p>
      <w:pPr>
        <w:spacing w:after="100"/>
      </w:pPr>
      <w:r>
        <w:rPr>
          <w:b/>
        </w:rPr>
        <w:t xml:space="preserve">Qué cambiaría la decisión.</w:t>
      </w:r>
      <w:r>
        <w:t xml:space="preserve"> Vender por encima de 71,35 €; comprar con más convicción por debajo de 50,47 €.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61,93 EUR</w:t>
      </w:r>
      <w:r>
        <w:t xml:space="preserve"> (rentabilidad +18,3 % (base +20,9 %)) · Valor intrínseco: 60,80 EUR (+12,0 % sobre 54,30) · con la prima implícita del mercado: 68,68 (+26,5 %)</w:t>
      </w:r>
    </w:p>
    <w:p>
      <w:pPr>
        <w:spacing w:after="100"/>
      </w:pPr>
      <w:r>
        <w:t xml:space="preserve">Viscofan es el líder de un nicho con barreras (envolturas de celulosa y colágeno), con un ROIC del 16 % y caja estable. Cotiza barata frente a su historia porque el margen lleva dos años bajo por energía y divisa y porque la dirección ha rebajado la guía dos octubres seguidos. Si el margen vuelve al 23,5 % en 2028, el BPA crece un 5-6 % al año y el PER vuelve a 16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3,25 = 41,93 · 16,2x × 3,91 = 63,34 · 18,4x × 4,30 = 79,12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67,90 (nuestro base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7,4 %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financiable al ROIC actual: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16,2 % (&lt; 25 %); asimetría de 1,65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55,85 y 71,36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71,36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encima de 71,35 € la regla de 12 meses daría Vender.</w:t>
      </w:r>
    </w:p>
    <w:p>
      <w:pPr>
        <w:pStyle w:val="ListParagraph"/>
        <w:numPr>
          <w:ilvl w:val="0"/>
          <w:numId w:val="2"/>
        </w:numPr>
        <w:spacing w:after="60"/>
      </w:pPr>
      <w:r>
        <w:t xml:space="preserve">Por debajo de 50,47 € la compra sería robusta (nivel A).</w:t>
      </w:r>
    </w:p>
    <w:p>
      <w:pPr>
        <w:pStyle w:val="ListParagraph"/>
        <w:numPr>
          <w:ilvl w:val="0"/>
          <w:numId w:val="2"/>
        </w:numPr>
        <w:spacing w:after="60"/>
      </w:pPr>
      <w:r>
        <w:t xml:space="preserve">Un EBITDA de 2026 por debajo de 290 M rebajaría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se queda bajo: a 54,30 € el precio no pide crecimiento (DCF inverso negativo) y hay un 3,1 % del capital en cortos [D].</w:t>
      </w:r>
    </w:p>
    <w:p>
      <w:pPr>
        <w:keepNext/>
        <w:spacing w:after="100"/>
      </w:pPr>
      <w:r>
        <w:rPr>
          <w:b/>
          <w:bCs/>
        </w:rPr>
        <w:t xml:space="preserve">Lo que creemos nosotros.</w:t>
      </w:r>
    </w:p>
    <w:p>
      <w:pPr>
        <w:spacing w:after="100"/>
      </w:pPr>
      <w:r>
        <w:t xml:space="preserve">El margen se recupera, pero más despacio que lo que dice el consenso: BPA de 2028e de 3,91 € frente a 4,18 €.</w:t>
      </w:r>
    </w:p>
    <w:p>
      <w:pPr>
        <w:keepNext/>
        <w:spacing w:after="100"/>
      </w:pPr>
      <w:r>
        <w:rPr>
          <w:b/>
          <w:bCs/>
        </w:rPr>
        <w:t xml:space="preserve">Por qué podemos tener razón.</w:t>
      </w:r>
    </w:p>
    <w:p>
      <w:pPr>
        <w:spacing w:after="100"/>
      </w:pPr>
      <w:r>
        <w:t xml:space="preserve">Las subidas de precio de mayo-junio ya se notan en el margen bruto del 3T26 y el dólar ha dejado de restar; el coste de la energía es temporal [A].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3T récord en ingresos</w:t>
      </w:r>
      <w:r>
        <w:t xml:space="preserve">: 335,7 M, +5,5 % [A].</w:t>
      </w:r>
    </w:p>
    <w:p>
      <w:pPr>
        <w:pStyle w:val="ListParagraph"/>
        <w:numPr>
          <w:ilvl w:val="0"/>
          <w:numId w:val="2"/>
        </w:numPr>
        <w:spacing w:after="60"/>
      </w:pPr>
      <w:r>
        <w:rPr>
          <w:b/>
        </w:rPr>
        <w:t xml:space="preserve">Valor intrínseco por encima del precio</w:t>
      </w:r>
      <w:r>
        <w:t xml:space="preserve">: 60,80 € (+12,0 %).</w:t>
      </w:r>
    </w:p>
    <w:p>
      <w:pPr>
        <w:pStyle w:val="ListParagraph"/>
        <w:numPr>
          <w:ilvl w:val="0"/>
          <w:numId w:val="2"/>
        </w:numPr>
        <w:spacing w:after="60"/>
      </w:pPr>
      <w:r>
        <w:rPr>
          <w:b/>
        </w:rPr>
        <w:t xml:space="preserve">ROIC del 16,4 %</w:t>
      </w:r>
      <w:r>
        <w:t xml:space="preserve"> frente a un WACC del 7,4 %.</w:t>
      </w:r>
    </w:p>
    <w:p>
      <w:pPr>
        <w:pStyle w:val="ListParagraph"/>
        <w:numPr>
          <w:ilvl w:val="0"/>
          <w:numId w:val="2"/>
        </w:numPr>
        <w:spacing w:after="60"/>
      </w:pPr>
      <w:r>
        <w:rPr>
          <w:b/>
        </w:rPr>
        <w:t xml:space="preserve">Dividendo</w:t>
      </w:r>
      <w:r>
        <w:t xml:space="preserve">: a cuenta de al menos 1,40 € en diciembre y recompras de 99,7 M en nueve meses [A].</w:t>
      </w:r>
    </w:p>
    <w:p>
      <w:pPr>
        <w:pStyle w:val="ListParagraph"/>
        <w:numPr>
          <w:ilvl w:val="0"/>
          <w:numId w:val="2"/>
        </w:numPr>
        <w:spacing w:after="60"/>
      </w:pPr>
      <w:r>
        <w:rPr>
          <w:b/>
        </w:rPr>
        <w:t xml:space="preserve">PER bajo para su historia</w:t>
      </w:r>
      <w:r>
        <w:t xml:space="preserve">: 14,7 veces frente a una mediana adelantada de 17,3 [D].</w:t>
      </w:r>
    </w:p>
    <w:p>
      <w:pPr>
        <w:pStyle w:val="Heading2"/>
      </w:pPr>
      <w:r>
        <w:t xml:space="preserve">En contra</w:t>
      </w:r>
    </w:p>
    <w:p>
      <w:pPr>
        <w:pStyle w:val="ListParagraph"/>
        <w:numPr>
          <w:ilvl w:val="0"/>
          <w:numId w:val="2"/>
        </w:numPr>
        <w:spacing w:after="60"/>
      </w:pPr>
      <w:r>
        <w:rPr>
          <w:b/>
        </w:rPr>
        <w:t xml:space="preserve">Segunda rebaja de la guía de EBITDA</w:t>
      </w:r>
      <w:r>
        <w:t xml:space="preserve"> en dos años [C].</w:t>
      </w:r>
    </w:p>
    <w:p>
      <w:pPr>
        <w:pStyle w:val="ListParagraph"/>
        <w:numPr>
          <w:ilvl w:val="0"/>
          <w:numId w:val="2"/>
        </w:numPr>
        <w:spacing w:after="60"/>
      </w:pPr>
      <w:r>
        <w:rPr>
          <w:b/>
        </w:rPr>
        <w:t xml:space="preserve">El 4T26 exige mucho</w:t>
      </w:r>
      <w:r>
        <w:t xml:space="preserve">: +15-22 % de EBITDA [A].</w:t>
      </w:r>
    </w:p>
    <w:p>
      <w:pPr>
        <w:pStyle w:val="ListParagraph"/>
        <w:numPr>
          <w:ilvl w:val="0"/>
          <w:numId w:val="2"/>
        </w:numPr>
        <w:spacing w:after="60"/>
      </w:pPr>
      <w:r>
        <w:rPr>
          <w:b/>
        </w:rPr>
        <w:t xml:space="preserve">Compra frágil</w:t>
      </w:r>
      <w:r>
        <w:t xml:space="preserve">: la v2 da +13,6 % [D].</w:t>
      </w:r>
    </w:p>
    <w:p>
      <w:pPr>
        <w:pStyle w:val="ListParagraph"/>
        <w:numPr>
          <w:ilvl w:val="0"/>
          <w:numId w:val="2"/>
        </w:numPr>
        <w:spacing w:after="60"/>
      </w:pPr>
      <w:r>
        <w:rPr>
          <w:b/>
        </w:rPr>
        <w:t xml:space="preserve">Cortos del 3,1 %</w:t>
      </w:r>
      <w:r>
        <w:t xml:space="preserve"> del capital [D].</w:t>
      </w:r>
    </w:p>
    <w:p>
      <w:pPr>
        <w:pStyle w:val="ListParagraph"/>
        <w:numPr>
          <w:ilvl w:val="0"/>
          <w:numId w:val="2"/>
        </w:numPr>
        <w:spacing w:after="60"/>
      </w:pPr>
      <w:r>
        <w:rPr>
          <w:b/>
        </w:rPr>
        <w:t xml:space="preserve">Circulante</w:t>
      </w:r>
      <w:r>
        <w:t xml:space="preserve"> en el 50,5 % de las ventas [D].</w:t>
      </w:r>
    </w:p>
    <w:p>
      <w:pPr>
        <w:pStyle w:val="Heading2"/>
      </w:pPr>
      <w:r>
        <w:t xml:space="preserve">Qué tiene que pasar para que la tesis funcione</w:t>
      </w:r>
    </w:p>
    <w:p>
      <w:pPr>
        <w:spacing w:after="100"/>
      </w:pPr>
      <w:r>
        <w:t xml:space="preserve">El margen EBITDA del 4T26 (resultados de febrero de 2027) y la guía de 2027. Si el margen no vuelve por encima del 22,5 %, el caso base se acerca al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recuperación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 M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circulante.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(CNMV)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y riesgo de noticia.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se constituyó en Navarra el 17 de octubre de 1975 para fabricar envolturas de celulosa y cotiza en Bolsa desde 1986 [1]. Su modelo actual se construyó con compras que le dieron las cuatro tecnologías: Naturin (colágeno, Alemania) en 1990, Gamex (Chequia) en 1995 y los activos de Teepak en EE. UU. y México en 2006, que la hicieron líder mundial en celulósica [38]. Después abrió plantas propias de colágeno en China (2013) y Uruguay (2014) [38] y compró en 2020 Nitta Casings, con la planta de colágeno de Nueva Jersey [39]. Desde el 1 de enero de 2024 José Domingo de Ampuero es presidente no ejecutivo y José Antonio Canales, consejero delegado [1]. En 2024-2025 entró en colágeno bovino y golosinas para mascotas en Brasil, y en febrero de 2026 lanzó el plan Beat'30 (1.800 M de ingresos y 25 % de margen EBITDA en 2030)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Viscofan en Navarra (17 de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Admisión a cotización de todas sus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Naturin (Alemania): entrada en envolturas de colágeno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Gamex en la República Checa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los activos de Teepak en EE. UU. y México: liderazgo mundial en celulósica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extrusión de colágeno en China (2013) y Uruguay (2014)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Nitta Casings (EE. UU. y Canadá) por un valor empresa de 13,5 M USD: colágeno en Norteamérica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Ampuero deja las funciones ejecutivas y Canales pasa a consejero delegado (1 de enero). Compra del 60 % de Brasfibra y Master Couros por 88 M BRL (14,4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Pet Mania (febrero). El 14 de octubre, un medio ligado a un fondo bajista acusa a la planta de Danville y la acción llega a caer un 18 % en la sesión [1][37].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(febrero); nueva información por divisiones; terminadas las ampliaciones de colágeno en Nueva Jersey y de celulósica en Zacapu; nueva planta en České Budějovice prevista para 2028 [12][5][4].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de colágeno comestible, vegetales y gel de coextrusión (proteicas) y de celulosa, fibrosa y plástico (de contacto alimentario, que se retiran antes del consumo), además de bolsas, films e ingredientes funcionales [5]. Vende a unos 1.700 clientes de más de 100 países, sobre todo industria cárnica, desde 22 plantas en 21 países [4]. Desde 2026 desglosa sus ventas en cuatro divisiones: Food, Packaging and Ingredients (899,8 M en los 9M26, 93 % del total), Health (péptidos, saciantes, membranas y biotintas de colágeno: 6,5 M), Pet treats (15,4 M) y Energía, la venta de electricidad de la cogeneración de Cáseda (43,8 M) [12][5]. A efectos de la NIIF 8 es monosegmento; la tabla histórica usa la división anterior (Negocio tradicional, Nuevos negocios y Energía), la única con ejercicios completos [2][1][16].</w:t>
      </w:r>
    </w:p>
    <w:p>
      <w:pPr>
        <w:pStyle w:val="Heading2"/>
      </w:pPr>
      <w:r>
        <w:t xml:space="preserve">Cómo gana dinero</w:t>
      </w:r>
    </w:p>
    <w:p>
      <w:pPr>
        <w:spacing w:after="100"/>
      </w:pPr>
      <w:r>
        <w:t xml:space="preserve">Es un fabricante de proceso continuo, intensivo en capital y en energía. En los 9M26 los consumos (pieles bovinas, pasta de celulosa, sulfuros, poliamidas) supusieron el 32,9 % de las ventas, el personal el 24,0 % y los otros gastos de explotación, con energía y transporte, el 23,0 % [12]. Casi todo el ingreso es recurrente, porque la envoltura se consume con cada salchicha, pero no hay contratos plurianuales: el margen depende de la utilización de las plantas, del precio y del coste de pieles, gas y transporte. El apalancamiento operativo es alto: en 2025 un crecimiento comparable de ingresos del 6,1 % dio un EBITDA comparable un 6,2 % mayor [2]. La divisa pesa por dos vías, ventas en dólares y costes en pesos mexicanos y reales: en los 9M26 restó 6,2 pp al crecimiento del EBITDA, aunque en el 3T26 ya sumó 1,6 pp a los ingresos [12].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de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de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vinculado supera el 10 % de las ventas ni de las cuentas a cobrar, y los seguros de crédito cubren por lo general el 90 % de la deuda de cada cliente (80 % en países de riesgo) [1]. Los clientes son mataderos e industrias cárnicas, desde multinacionales hasta medianas regionales; cambiar de envoltura exige pruebas en sus líneas embutidoras. El poder de precios es real pero llega con retraso: en 2022, con la inflación de energía y pieles, el margen EBITDA bajó del 25,5 % al 22,2 % y no volvió al 23,7 % hasta 2024 [29]. En 2026 se repite el patrón: tras el encarecimiento de la energía por el conflicto de Oriente Medio, Viscofan subió precios en mayo y junio en todas las tecnologías, y en el 3T26 el margen bruto se sostuvo en el 65,5 % (+0,3 pp) aunque el EBITDA comparable aún cayó un 1,4 % [12]. Repercute la inflación de costes con uno o dos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 (9M26); 65,5 %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Sulfuro para la viscosa y poliamidas al alza; pieles de colágeno estables; la subida de precios estabiliza el 3T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 M (dic-25; 30,9 %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del bono anual es bajar inventario sobre ventas; vuelve a subir en 2026 [12][2].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frente a 9M25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y personal para la nueva capacidad [12][2].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 M; media Beat'30: 120 M al año [12][4].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99,7 M en los 9M26; baja 16,7 M en el 3T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Health y Pet treats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Péptidos de colágeno y recuperación de las ventas de Brasil a EE. UU. pese al arancel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2030 ya cumplido [4][1].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 (con cargo a 2024, implícito en el +3,5 %)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 (con cargo a 2025, 1,00 € extraordinario)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de al menos 1,40 € en diciembre de 2026 [12][2].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La cifra principal es la de Viscofan, unos 5.100 M EUR en 2025: 3.300 M de proteicas, de las que el 61 % es tripa natural, y 1.800 M de contacto alimentario [4]; la usamos porque separa familias y cuotas. La contrastamos con Global Market Insights, que estima 6.200 M USD en 2022 con un perímetro más amplio de tripa natural [34], y con Meticulous Research, que solo mide el colágeno (2.310 M USD en 2031) [35]. Fuera de este perímetro,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[2][21][31][32][33]).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(Global Market Insights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lobal Market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crecer un 7 % anual en ellas en 2025-2030 [4], Meticulous prevé un 6,4 % para el colágeno [35] y en los 9M26 el colágeno creció apoyado en proyectos de sustitución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9M26 Sudamérica creció un 13,0 % y Asia-Pacífico un 6,3 % en términos comparables, frente al +0,6 % de EMEA sin cogeneración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Beat'30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Retirada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vendió un 10 % menos en 2025 (−37 M USD por volumen) y otro 7 % menos en el 1S26 (−23 M USD por volumen) mientras concentra sus plantas norteamericanas en una [21][30]; Viscofan habla de «consolidación de la capacidad productiva» en celulósica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energía, materias primas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el gasto en energía subió un 21,8 % y el de transporte un 14,7 %; las coberturas restarán más de 5 M al EBITDA del 4T26 en España [12];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1,6 pp a los ingresos y 6,2 pp al EBITDA de los 9M26, pero el dólar ya sumó 1,6 pp a los ingresos del 3T26; el peso mexicano y el real siguen encareciendo los costes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[21][30].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supera el 10 %) [1], pero los grandes cárnicos negocian cada año y la repercusión de costes llega con retraso: el EBITDA comparable del 3T26 cayó un 1,4 % pese a las subidas de mayo y junio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bovinas, celulosa, sulfuros y gas tienen pocas alternativas: los consumos subieron un 6,3 % en los 9M26 con ventas un 3,1 % mayores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perdió 66,7 M CNY en 2025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fabrica ambas alternativas.</w:t>
            </w:r>
          </w:p>
        </w:tc>
      </w:tr>
    </w:tbl>
    <w:p>
      <w:pPr>
        <w:spacing w:after="160" w:before="0"/>
      </w:pPr>
    </w:p>
    <w:p>
      <w:pPr>
        <w:pStyle w:val="Heading2"/>
      </w:pPr>
      <w:r>
        <w:t xml:space="preserve">Ciclo</w:t>
      </w:r>
    </w:p>
    <w:p>
      <w:pPr>
        <w:spacing w:after="100"/>
      </w:pPr>
      <w:r>
        <w:t xml:space="preserve">La demanda en volumen es poco cíclica: en 2020, en plena pandemia, Viscofan aumentó sus ingresos un 7,4 % y su EBITDA un 16,6 % [29], y un analista sitúa el crecimiento medio histórico de sus volúmenes en torno al 4 % [27]. Lo cíclico son los costes: en 2022 la inflación de energía y pieles recortó el margen EBITDA del 25,5 % al 22,2 % [29]. En 2026 el patrón se repite: los volúmenes crecen, pero el gas, los sulfuros y el transporte tras el conflicto de Oriente Medio bajan el margen EBITDA de los 9M26 al 21,5 % (23,3 % un año antes) [12].</w:t>
      </w:r>
    </w:p>
    <w:p>
      <w:pPr>
        <w:pStyle w:val="Heading2"/>
      </w:pPr>
      <w:r>
        <w:t xml:space="preserve">Regulación</w:t>
      </w:r>
    </w:p>
    <w:p>
      <w:pPr>
        <w:spacing w:after="100"/>
      </w:pPr>
      <w:r>
        <w:t xml:space="preserve">Cuatro asuntos mueven cifras. La UE sacó las pieles y cueros bovinos del reglamento de deforestación (EUDR) con efecto desde el 18-sep-2026, lo que aligera la compra de pieles para colágeno; la madera, base de la pasta de celulosa, sigue dentro y los grandes operadores deben cumplir desde el 30-dic-2026 [36]. El régimen europeo de derechos de emisión costó 15,9 M en 2025 por 242.857 toneladas [1]. Los ingresos de la cogeneración dependen del precio del mercado eléctrico español: cayeron un 15,4 % en el 1S26 y subieron un 34,6 % en el 3T26 [12][5]. En comercio, el arancel del 50 % de EE. UU. a Brasil (agosto de 2025) frenó a Pet Mania [2], aunque sus ventas a EE. UU. se recuperan en el 3T26 [12]. Viscofan estudia aplicar por anticipado la NIIF 18 en 2026 [12].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[4][21][30]. La coextrusión (envoltura aplicada como gel) y las envolturas vegetales son amenazas de sustitución, pero Viscofan las fabrica. El riesgo competitivo nuevo viene de China en colágeno, aunque Shenguan, el mayor, cerró 2025 con pérdidas y un margen bruto del 10,2 % [32]. En los negocios nuevos Viscofan es un actor pequeño: el 0,1 % de los envases cárnicos [4]; Health y Pet treats crecieron un 120 % en los 9M26, pero suman solo el 2,3 % de las ventas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 ganó 3 pp de cuota en 2021-2025 según la empresa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Celulósica, fibrosa y plástico; filial (94 %) de Icahn Enterprises, fusionada con Enzon en marzo de 2026. Ventas de 364 M USD en 2025 (−10 %), margen bruto del 10 % y margen operativo del −4,7 % antes de 24 M USD de reestructuración y deterioros [21]; en el 1S26 vende un 7 % menos [30]. Ingresos convertidos a 1,13 USD/EUR. Probable número dos en contacto alimentario (17 % según Viscofan, que no lo nombra)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Colágeno; 252,4 M GBP de ingresos y margen operativo subyacente del 16,6 % en 2021, últimas cuentas publicadas antes de su exclusión de bolsa en 2023 [31]. Convertido a 0,86 GBP/EUR.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Fibrosa, plástico y textil, además de bayetas; privada; más de 300 M EUR de ingresos y 1.500 empleados según la propia empresa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1.023,3 M CNY de ingresos, margen bruto del 10,2 % y resultado antes de intereses e impuestos de −28,6 M CNY en 2025 [32].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y aceptó las subidas de mayo y junio de 2026 [1], pero ningún contrato es plurianual.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y proyectos de ahorro como la nueva tecnología de Nueva Jersey (4-6 M de ahorro esperado) [4];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23,2 % en 2025 [2] frente a márgenes brutos del 10 % de Viskase y del 10,2 % de Shenguan, ambos con pérdidas operativas [9][12].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y Viscofan ganó 3 pp en 2021-2025 [4].</w:t>
            </w:r>
          </w:p>
        </w:tc>
      </w:tr>
    </w:tbl>
    <w:p>
      <w:pPr>
        <w:spacing w:after="160" w:before="0"/>
      </w:pPr>
    </w:p>
    <w:p>
      <w:pPr>
        <w:pStyle w:val="Heading2"/>
      </w:pPr>
      <w:r>
        <w:t xml:space="preserve">Amenazas</w:t>
      </w:r>
    </w:p>
    <w:p>
      <w:pPr>
        <w:spacing w:after="100"/>
      </w:pPr>
      <w:r>
        <w:t xml:space="preserve">La principal amenaza no es un entrante sino el coste: si energía, sulfuros y transporte siguen subiendo más deprisa que los precios, el margen se queda en el 21-22 % de 2022-2023 y de los 9M26 (probabilidad media) [12][29]. Segunda, un comprador con caja que recapitalice a Viskase o Kalle y reactive la guerra de precios en EE. UU. (baja: Viskase depende de las ampliaciones de capital de Icahn) [21][30]. Tercera, la coextrusión y las envolturas vegetales como sustitutos del colágeno (baja a cinco años). Cuarta, la reputación en EE. UU. tras las acusaciones sobre Danville, que no han dado lugar a reclamaciones pero sí a una revisión con asesores externos [1][37].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Casi todo el crecimiento es orgánico: las compras de Brasil aportaron 0,9 pp en 2025 y Pet Mania 0,2 pp en el 9M26 [2][12]. El salto de 2022 (+23,9 %) se explica por precios y por la energía, que pasó de 44 M a 93 M de ingresos [17][16]. El margen EBITDA cayó de 25,7 % en 2020 a 21,9 % en 2023 por pieles y gas, recuperó el 23,7 % en 2024 y bajó al 23,2 % en 2025 por divisa [2]. En el 9M26 vuelve a caer: 21,5 % frente a 23,3 % (−1,8 pp, de los que −0,6 pp son comparables y el resto divisa), con ingresos +3,1 % (+4,5 % comparable) y EBITDA −4,9 % (+1,6 % comparable) [12]. El beneficio neto sube un 2,9 % pese a todo porque las diferencias de cambio pasan de −19,3 M a +4,5 M [12]. La guía de 2026 baja a un EBITDA de 290-295 M (antes, un crecimiento de al menos el 5 %, unos 305 M), y se mantienen los objetivos de ingresos y de beneficio neto [12][5].</w:t>
      </w:r>
    </w:p>
    <w:p>
      <w:pPr>
        <w:pStyle w:val="Heading2"/>
      </w:pPr>
      <w:r>
        <w:t xml:space="preserve">Ajustes y partidas no recurrentes</w:t>
      </w:r>
    </w:p>
    <w:p>
      <w:pPr>
        <w:spacing w:after="100"/>
      </w:pPr>
      <w:r>
        <w:t xml:space="preserve">Usamos cifras reportadas; la empresa no presenta beneficio ajustado ni partidas no recurrentes dentro del EBITDA [12]. Bajo el EBITDA: en 2025, 18,0 M de activación de bases imponibles negativas en EE. UU. bajaron la tasa fiscal al 10,1 % [2]; en el 9M25 fueron 7,5 M, por lo que la tasa del 9M26 (20,2 %) es la normal y la comparación del beneficio neto es más exigente de lo que parece [12]. Las diferencias de cambio, dentro del resultado financiero, oscilan mucho: +13,0 M en 2024, −20,1 M en 2025 y +4,5 M en el 9M26 [2][12]. Viscofan estudia aplicar la NIIF 18 de forma anticipada en 2026, lo que llevaría esas diferencias a las líneas operativas y cambiaría el EBITDA comparable con años anteriores [12]. El LTM a septiembre sale del ejercicio 2025 menos el 9M25 más el 9M26 [3][12]; el BPA LTM es estimación propia (beneficio LTM con las acciones de 2025) y el flujo libre LTM es el de junio de 2026, porque la nota del 9M26 no trae estado de flujos [6]. Las series anuales salen del XBRL del ESEF y se han cuadrado con los anexos de la empresa; con él se corrigen los pagos de arrendamientos de 2020-2025 y se añaden los intereses pagados, que Viscofan clasifica en financiación [20][3].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Con el 9M26 (22-oct-2026) la dirección habla de «aceleración»: ingresos récord de 335,7 M en el trimestre (+5,5 %), EBITDA estable (+0,1 %) y beneficio neto +4,1 %, gracias a subidas de precio en mayo y junio y a un dólar más fuerte [12][13]. Pero rebaja la guía de EBITDA de 2026 a 290-295 M, 10-15 M menos de lo esperado, por la energía, y anuncia coberturas que restarán más de 5 M en el 4T26 en España [12]. En julio, con el 1S26, el mensaje era que el EBITDA quedaría «más probablemente en el rango bajo» (+5 %) de la guía; en febrero, el tono era de máximos históricos con Beat'30 [7][4]. Lo que el discurso no subraya: el crecimiento comparable sin energía se frena trimestre a trimestre (+6,4 pp en el 1T26, +4,7 pp en el 2T26, +2,5 pp en el 3T26), con debilidad en Packaging, y la mejora del 3T viene de divisa y del precio de la electricidad vendida [13][12]. Renta 4 esperaba ventas comparables por encima del +7 % y un EBITDA de 75,8 M; salieron +3,9 % y 73,2 M (un 3 % menos), aunque el beneficio neto superó su +1 % [28]. La guía implica un EBITDA de 82-87 M en el 4T26, un 15-22 % más que en el 4T25 (71,8 M), con 5 M de coste de coberturas: es exigente (estimación propia) [12][2]. Las preguntas recurrentes de los analistas giran en torno al suelo del margen, la capacidad de subir precios y la divisa [25][27]. No hay transcripción pública de las conferencias. En el 4T25 el EBITDA quedó un 11 % por debajo del consenso de Visible Alpha [26]; en el 1T26 superó en un 7 % lo que esperaba Renta 4 [24]. Las cifras trimestrales salen de las notas de resultados de cada periodo [8][9][10][11][12].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bancaria neta pasó de 206,1 M en dic-25 a 283,3 M en jun-26 y bajó a 266,6 M en sep-26 (−16,7 M en el trimestre), unas 0,95 veces el EBITDA de los últimos doce meses [12][13]. La causa no son inversiones fallidas sino la remuneración: 99,7 M de recompras y 25,1 M de dividendo en efectivo en el 9M26 [12]. El punto débil es el circulante: existencias + clientes − proveedores suben de 601,6 M en dic-25 a 646,1 M en sep-26, un 50 % de las ventas de los últimos doce meses frente al 40 % de 2021 (estimación propia sobre [14]). Las existencias (439,6 M) están en máximos, y su reducción es objetivo retributivo [19]. La liquidez descansa en líneas de crédito que se renuevan cada año: el 80 % de la deuda bancaria es corriente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537</w:t>
      </w:r>
      <w:r>
        <w:t xml:space="preserve">, conversión </w:t>
      </w:r>
      <w:r>
        <w:rPr>
          <w:b/>
          <w:bCs/>
        </w:rPr>
        <w:t xml:space="preserve">63 %</w:t>
      </w:r>
      <w:r>
        <w:t xml:space="preserve"> del beneficio neto; adquisiciones 16, dividendos 473, recompras 208.</w:t>
      </w:r>
    </w:p>
    <w:p>
      <w:pPr>
        <w:spacing w:after="100"/>
      </w:pPr>
      <w:r>
        <w:t xml:space="preserve">La conversión de beneficio en caja libre es irregular: en torno al 63 % acumulado en 2020-2025 (537 M de flujo libre tras arrendamientos e intereses frente a 853 M de beneficio, estimación propia), con un año negativo (2022) por el aumento de existencias y un capex de 115,6 M. La causa es el circulante, que absorbió 49,9 M en 2025 y 41,3 M en el 1S26 [3][6]. Viscofan paga los intereses en actividades de financiación (8,9 M en 2025) [3]. El capex osciló entre el 6 % y el 10 % de las ventas. La empresa no separa mantenimiento de crecimiento en el histórico; para 2026-2030 sí: 300 M de capex recurrente y 300 M de crecimiento, unos 60 M anuales de mantenimiento, el 4,5-5 % de las ventas (estimación propia sobre [4]). En el 9M26 invirtió 54,2 M; para llegar a los 100 M de la guía faltan 46 M en el 4T [12]. Las recompras de 2024-2026 son en su mayor parte la contrapartida del dividendo flexible: la empresa compra las acciones que entrega a quien elige cobrar en acciones, para no diluir [1][12].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informe deberían seguir tranquilizadores (Altman Z en zona segura y Beneish M sin señal de manipulación en el análisis anterior); el Piotroski refleja un 2025 flojo (baja el margen bruto y la liquidez corriente, sube la deuda), no un problema contable. Lo que hay que vigilar: la tasa fiscal de 2025 (10,1 %) dependió de activar 18,0 M de créditos fiscales en EE. UU., que solo se recuperan si Danville sigue ganando dinero [2]; en el 9M26 la tasa vuelve al 20,2 % [12]. Las diferencias de cambio (−20,1 M en 2025, +4,5 M en el 9M26) quedan bajo el EBITDA y mueven el beneficio [2][12], y la posible aplicación anticipada de la NIIF 18 en 2026 cambiará dónde se registran [12]. El BPA diluido de 2025 (3,52 €) es mayor que el básico (3,50 €), lo que apunta a un error en la nota 20 [1]. Se capitalizan trabajos para el inmovilizado (1,7 M en el 9M26) y el plan de incentivos se paga en parte en acciones [12][1]. Los anexos en Excel del 1S26 y del 9M26 muestran un «EBITDA recurrente» acumulado que no cuadra con el EBITDA (145,2 M frente a 207,7 M en el 9M26): es un error de plantilla, no un ajuste [6][14]. PwC audita las cuentas desde 2017 y el IAGC no recoge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9M26 vuelve al 20,2 %: el beneficio de 2025 no es base repetible [2][12].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en el 50 % de las ventas y existencias de 439,6 M a sep-26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44,5 M en nueve meses; absorbe caja con cada subida de costes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+15,6 M en nueve meses sin explicación en la nota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41,7 M a 57,3 M; habrá que leer el informe anual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adopción anticipada de la NIIF 18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diferencias de cambio pasarían a líneas operativas: ruptura de la serie de EBITDA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medio diluido inferior al básico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recurrente» de los anexos en Excel que no cuadra con 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145,2 M frente a 207,7 M en el 9M26, igual que en el 1S26: error de plantilla repetido [6][14].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 M en 2025 (el 1 % del capital invertido medio); ha subido más de un 5 % en 5 de 5 años: comprador en serie. ROIC publicado 16,4 %; sin fondo de comercio, 16,5 %.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7,4 %.</w:t>
      </w:r>
    </w:p>
    <w:p>
      <w:pPr>
        <w:spacing w:after="100"/>
      </w:pPr>
      <w:r>
        <w:t xml:space="preserve">Viscofan crea valor: su ROIC se movió entre el 14 % y el 16 % en 2020-2025, casi el doble de un WACC en torno al 8 %, y el ROIC incremental del periodo dice que el crecimiento no ha diluido la rentabilidad. El ROIC lo mueve el margen y no la rotación: la rotación del activo es estable en torno a 0,86-0,95 veces, mientras el margen neto osciló entre el 11,5 % y el 13,7 %. El mínimo de 2023 coincide con la inflación de pieles y energía y con un capital invertido inflado por las existencias, y 2026 apunta a repetirlo: el EBIT de los últimos doce meses baja a 194 M (205 M en 2025) mientras las existencias suben un 14 % [12][14]. Frente a los comparables cotizados el ROIC de Viscofan duplica la mediana [23], y sus competidores directos Viskase y Shenguan tuvieron pérdidas operativas en 2025 [21][22].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73,8 M (sep-26) y deuda bancaria de 340,4 M, de la que 272,4 M es corriente [14]; a jun-26, el saldo a corto era sobre todo cuentas de crédito cuya renovación anual ya estaba pactada [5]. Límite de las líneas de crédito de 340,5 M a 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(Euribor, SOFR) y parte es sostenible, con el diferencial ligado a indicadores revisados cada año [5]. Algunos préstamos tienen ratios financieros; a junio de 2026 se cumplían todos [5]. Otros pasivos asimilables a deuda: 36,0 M de otros pasivos financieros a sep-26 (22,2 M a largo y 13,7 M a corto: préstamos subvencionados del CDTI, proveedores de inmovilizado y el pago aplazado de Brasfibra) y 11,9 M de arrendamientos a jun-26 [14][5]. Pensiones de prestación definida, sobre todo en Alemania: obligación neta de 12,8 M en dic-25 [1]. Las provisiones suben de 41,7 M en dic-25 a 57,3 M en sep-26 (corrientes de 20,7 M a 30,8 M), sin explicación en la nota del 9M26 [14]. Litigios laborales y reclamaciones en Brasil por 7,0 M [1]. Confirming con límite de 11,3 M [1].</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[4]. En Beyond25 el dividendo ordinario creció con un pay-out en torno al 65 % y se pagó 1,00 € extraordinario por acción con cargo a 2023, 2024 y 2025 [1]. El dividendo es flexible (efectivo o acciones) y la empresa compra y amortiza las acciones necesarias para no diluir: 99,7 M de recompras en el 9M26 [12]. Para diciembre de 2026 ha aprobado un dividendo a cuenta de al menos 1,40 € (1,483 € en dic-25)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malo: el arancel de EE. UU. a Brasil llevó su EBITDA a −0,9 M en 2025 [1][2]; en el 9M26 Pet Treats factura 15,4 M (+145,5 %) con la recuperación de las ventas a EE. UU.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y sin datos de rentabilidad propios; integración vertical en pieles; asignación de precio reexpresada en 2025 [1]. Sudamérica crece un 13,0 % comparable en el 9M26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14,5 M a sep-26 [14][15].</w:t>
            </w:r>
          </w:p>
        </w:tc>
      </w:tr>
    </w:tbl>
    <w:p>
      <w:pPr>
        <w:spacing w:after="160" w:before="0"/>
      </w:pPr>
    </w:p>
    <w:p>
      <w:pPr>
        <w:spacing w:after="100"/>
      </w:pPr>
      <w:r>
        <w:t xml:space="preserve">Viscofan es un buen asignador de capital en lo que controla: el ROIC incremental de 2020-2025 es alto y no ha registrado deterioros de fondo de comercio [1]. Ha devuelto al accionista 681 M en seis años (473 M en dividendos y 208 M en recompras) frente a unos 537 M de flujo libre tras intereses y arrendamientos, sin dilución: las acciones diluidas bajaron de 46,50 M a 45,48 M [3]. En 2026 sigue igual: 125 M devueltos en nueve meses con la deuda bancaria neta 60 M más alta [12]. Las compras de nuevos negocios han sido pequeñas; Pet Treats y Health crecen deprisa pero suman solo 22 M de ingresos en el 9M26 [12]. La duda es el futuro: Beat'30 dobla el capex de crecimiento y lo dirige en parte a negocios donde Viscofan no tiene ventaja probada, mientras el envoltorio tradicional se frena (+2,5 pp de crecimiento comparable sin energía en el 3T26) [4][13].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Viscofan desde 1996; consejero desde 2014 y consejero delegado desde el 1-ene-2024, reelegido en el cargo tras la junta de abril de 2026 [1][40]. Como director general cerró los planes MORE TO BE y Beyond25: los ingresos pasaron de 969 M (2021) a 1.252 M (2025) [4][2]; con él como consejero delegado el EBITDA de 2025 (290,0 M) quedó por debajo de la guía inicial y el de 2026 se ha rebajado a 290-295 M [4][12].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 del grupo según la memoria de 2025 [1]; MarketScreener fecha su llegada al cargo en 2018-2019 [43]. Con ella la deuda bancaria neta se ha mantenido por debajo de 1x EBITDA pese a recompras de 94 M en 2025 y 99,7 M en 9M26: 266,6 M a 30-sep-2026 [1][12].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hasta el 31-dic-2023 y no ejecutivo («otro externo») desde el 1-ene-2024; antes vicepresidente de BBVA e Iberdrola. Al dejar las funciones ejecutivas cobró una indemnización de 1,312 M (dos años de sueldo) y 290.000 € más 12.147 acciones del plan 2022-2024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 en la alta dirección a 31-dic-2025 [1]; responsable de las plantas y de los proyectos de capacidad del plan Beat'30 (nueva capacidad de celulósica en México [13] y la planta de České Budějovice, prevista para 2028 [5]).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Norteamérica; desde el 1-ene-2026 dirige compras, planificación, logística, almacenes y atención al cliente [1]. Su área es la que debe defender el margen frente al coste energético que ha obligado a rebajar la guía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dirigía Nuevos Negocios; nombrado el 1-ene-2026 con la reorganización de Beat'30, junto a Guillermo Eguidazu (Norteamérica) y Domingo González (división Health y estrategia)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+3/+4 %, EBITDA +3/+5 %, resultado neto +4/+6 %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+6,3 %, EBITDA +5,2 %, resultado neto +8,6 %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EBITDA +4/+6 %, resultado neto +5/+8 %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+23,9 %, EBITDA +8,3 %, resultado neto +4,8 %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+9/+12 %, EBITDA +6/+9 %, resultado neto +10/+15 %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 EBITDA +0,5 %, resultado neto +1,1 %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+3/+5 %, EBITDA +8/+12 %, resultado neto +10/+15 %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−1,8 %, EBITDA +6,3 %, resultado neto +11,4 %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+5/+8 %, EBITDA +8/+12 %, resultado neto +6/+10 % [44]; rebajada por divisa en oct-2025 a EBITDA 290-302 M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1.252,0 M (+4,0 %), EBITDA 290,0 M (+1,6 %), resultado neto 159,9 M (+1,8 %)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1.300 M y margen EBITDA del 26 % en 2025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1.252,0 M y margen del 23,2 %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ingresos 1.310-1.340 M, EBITDA 305-314 M, resultado neto 165-170 M, margen EBITDA 23-24 % [4]; jul-2026: EBITDA «probablemente en el rango bajo» [5]; 22-oct-2026: EBITDA rebajado a 290-295 M, ingresos y neto mantenidos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ingresos 965,4 M (+3,1 %), EBITDA 207,7 M (−4,9 %), resultado neto 111,8 M (+2,9 %)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de la casa: el consejero delegado lleva 30 años en Viscofan, el relevo de la presidencia ejecutiva en 2024 fue ordenado y la reorganización de enero de 2026 (Larrea, Ponz, González, Eguidazu) crea candidatos internos [1]. La credibilidad de la guía es mediocre y empeora: de cinco años solo cumplió plenamente 2021, falló el EBITDA en 2023 y 2025, Beyond25 se quedó 2,8 pp por debajo del margen prometido y ahora rebaja por segundo año seguido el EBITDA en octubre, de 305-314 M a 290-295 M [4][12][44]. El patrón se repite: aciertan en ventas y fallan en margen porque no controlan energía, pieles ni divisas. Mantener ingresos de 1.310-1.340 M exige un cuarto trimestre de 345-375 M, un 9-19 % más que el de 2025 (estimación propia con [4][12]): es la próxima prueba. La memoria cita planes de sucesión revisados por la comisión de nombramientos, sin detalle público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abr-2026)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(desde abr-2026)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 (la presidía hasta 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 (dominical de Corporación Financiera Alba)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José Domingo de Ampuero y Osma, Agatha Echevarría Canales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2024-2025 [1]; ≈ 14,4 % sobre los 46,0 M de acciones tras la amortización de may-2026 si no ha vendido (estimación propia con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Angustias y Sol (Santiago Domecq Bohórquez)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5,016 % en 2024 y 5,033 %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consejo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9,997 % (2024) a menos del 3 %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3,955 % (2024) a menos del 3 %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396.357 acciones a 30-jun-2026 (506.601, 1,09 %, a dic-2025); después siguen las recompras del dividendo flexible: 17,8 M en el 3T26 [5][12]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31-dic-2025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1,235 M en 2025: 0,80 M de sueldo, 0,08 M como consejero, 0,29 M de variable anual (0,35 M en 2024) y 0,06 M en especie [1]. El variable anual se calcula sobre EBITDA, beneficio neto, ventas y valor de la acción, más desempeño personal [1]. El plan a largo plazo 2025-2027 mide la rentabilidad total del accionista y objetivos ambientales y sociales; al objetivo da al consejero delegado 27.718 acciones y 0,72 M en efectivo, y hasta 41.577 acciones y 1,08 M si se sobrecumple [1]. Que pese sobre todo la rentabilidad total del accionista (75 %, umbral 4,5 % anual según el IARC [19]) alinea con el accionista, pero ningún tramo mide el ROIC. Indemnización de dos años de fijo, que incluye la no competencia [1]. El coste medio por empleado fue de 51.100 € (292,4 M entre 5.721 personas), unas 24 veces menos (estimación propia con [1]). En 2025 el informe de remuneraciones solo logró el 73,5 % a favor; en la junta de 2026, que aprobó además la política 2027-2029, el 99,6 % [19][42][41].</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 Una acción, una sola clase y sin límites al número de votos de un accionista [1]. La única operación con partes vinculadas es la renovación anual de una póliza de crédito de 10 M con Banca March, del grupo de Alba, en condiciones de mercado y con abstención de los consejeros vinculados [1]. El consejo tiene un 50 % de independientes y, desde abril de 2026, un coordinador independiente nuevo (Arizkorreta); pero la presidencia y la vicepresidencia están en manos de dos «otros externos»: el expresidente ejecutivo (en el consejo desde 2009) y una consejera desde 1998 [1][40]. La junta de 2025 reunió al 78,4 % del capital [1]. Con un 79 % de flotante y unos 2.500 M de capitalización, Viscofan es opable.</w:t>
      </w:r>
    </w:p>
    <w:p>
      <w:pPr>
        <w:pStyle w:val="Heading2"/>
      </w:pPr>
      <w:r>
        <w:t xml:space="preserve">Señales de alerta</w:t>
      </w:r>
    </w:p>
    <w:p>
      <w:pPr>
        <w:pStyle w:val="ListParagraph"/>
        <w:numPr>
          <w:ilvl w:val="0"/>
          <w:numId w:val="2"/>
        </w:numPr>
        <w:spacing w:after="60"/>
      </w:pPr>
      <w:r>
        <w:t xml:space="preserve">Rebaja de la guía de EBITDA por segundo octubre consecutivo: de 305-314 M a 290-295 M en 2026, tras la de 2025 a 290-302 M; ingresos y beneficio neto se mantienen y exigen un cuarto trimestre fuerte [4][12].</w:t>
      </w:r>
    </w:p>
    <w:p>
      <w:pPr>
        <w:pStyle w:val="ListParagraph"/>
        <w:numPr>
          <w:ilvl w:val="0"/>
          <w:numId w:val="2"/>
        </w:numPr>
        <w:spacing w:after="60"/>
      </w:pPr>
      <w:r>
        <w:t xml:space="preserve">Informe bajista de Hunterbrook (14-oct-2025) sobre emisiones, vertidos y salud laboral en Danville (EE. UU.); la empresa lo niega y no figura provisión por litigios en el semestral de 2026 [5][37].</w:t>
      </w:r>
    </w:p>
    <w:p>
      <w:pPr>
        <w:pStyle w:val="ListParagraph"/>
        <w:numPr>
          <w:ilvl w:val="0"/>
          <w:numId w:val="2"/>
        </w:numPr>
        <w:spacing w:after="60"/>
      </w:pPr>
      <w:r>
        <w:t xml:space="preserve">Voto consultivo de remuneraciones del 73,5 % en la junta de 2025, el más bajo de los últimos años; recuperado al 99,6 % en 2026 [19][42].</w:t>
      </w:r>
    </w:p>
    <w:p>
      <w:pPr>
        <w:pStyle w:val="ListParagraph"/>
        <w:numPr>
          <w:ilvl w:val="0"/>
          <w:numId w:val="2"/>
        </w:numPr>
        <w:spacing w:after="60"/>
      </w:pPr>
      <w:r>
        <w:t xml:space="preserve">Salida de APG (≈ 10 % del capital) y Setanta (≈ 4 %) en 2025, y posición corta de AKO Capital del 1,14 % comunicada en junio de 2026 [1][45].</w:t>
      </w:r>
    </w:p>
    <w:p>
      <w:pPr>
        <w:pStyle w:val="ListParagraph"/>
        <w:numPr>
          <w:ilvl w:val="0"/>
          <w:numId w:val="2"/>
        </w:numPr>
        <w:spacing w:after="60"/>
      </w:pPr>
      <w:r>
        <w:t xml:space="preserve">Presidente y vicepresidenta «otros externos» con 17 y 28 años en el consejo; el independiente que coordinaba y presidía Nombramientos (Jaime Real de Asúa) dejó el consejo en la junta de 2026 [1][40][42].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22-oct-2026, con los resultados de enero-septiembre, Viscofan </w:t>
      </w:r>
      <w:r>
        <w:rPr>
          <w:b/>
        </w:rPr>
        <w:t xml:space="preserve">rebajó el EBITDA de 2026 a 290-295 M</w:t>
      </w:r>
      <w:r>
        <w:t xml:space="preserve"> (antes 305-314 M; en julio ya había avisado de que quedaría en la parte baja) y mantuvo los ingresos (1.310-1.340 M, +5/+7 %) y el resultado neto (165-170 M) [12][5]. Lo atribuye a la energía tras el conflicto de Oriente Medio, con coberturas en España que restarán más de 5 M al EBITDA del 4T26 [12]. El capex sigue en 100 M (54,2 M en 9M26) y habrá un dividendo a cuenta de al menos 1,40 € en diciembre [12]. La guía exige un 4T26 muy fuerte: con 207,7 M en 9M26, el EBITDA del 4T26 tendría que ser de 82-87 M, un 15-22 % más que los 71,8 M del 4T25, tras un 3T26 plano (73,2 M) [12][1]. Para 2030, Beat'30 sigue en 1.800 M de ingresos y un margen EBITDA del 25-26 %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22-oct-2026 (antes de los resultados)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22-oct-2026 (antes de los resultados)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22-oct-2026 (antes de los resultados)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Entre el 6 y el 22 de octubre, antes de los resultados, el consenso ya bajó: EBITDA de 2026 de 300,5 a 296,3 M (−1,4 %), BPA de 3,44 a 3,41 € y de 2027 de 3,80 a 3,77 €; el precio objetivo medio pasó de 69,29 a 67,90 € [47]. En 12 meses el BPA de 2026 ha caído en torno a un 11 % (3,82 € en octubre de 2025). La causa es la divisa y la energía, no el volumen [12]. El 3T26 quedó por debajo de lo esperado en EBITDA (73,2 M frente a 75,8 M de Renta 4) y en ventas comparables (+3,9 % frente a más del 7 %), pero por encima en beneficio neto (+4,1 % frente a +1 %) y en deuda (266,6 M frente a unos 300 M) [12][28]. Con la nueva guía, el EBITDA de 2026 del consenso (296,3 M) queda por encima del techo (295 M): esperamos recortes del 2-3 % en las próximas semanas. Solo MarketScreener da estimaciones completas; recomendaciones y objetivos contrastados con Investing [50]. El beneficio del consenso (156,8 M) sigue por debajo de la guía de 165-170 M [47][12].</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bl>
    <w:p>
      <w:pPr>
        <w:spacing w:after="160" w:before="0"/>
      </w:pPr>
    </w:p>
    <w:p>
      <w:pPr>
        <w:spacing w:after="100"/>
      </w:pPr>
      <w:r>
        <w:t xml:space="preserve">La acción lleva tres años plana (53,60 € a cierre de 2023, 61,00 € en 2024, 53,40 € en 2025 y 54,30 € el 22-oct-2026) mientras el IBEX 35 subía un 28 % anual y el sector europeo de alimentación (EXH3) un 11,2 % en 2026 [46]. En 2025 cayó un 12,5 % por el informe de Hunterbrook sobre Danville, la salida de dos institucionales y la erosión del EBITDA por la divisa [1]. En 2026 lo que pesa es el margen: el EBITDA de 9M26 bajó un 4,9 % por divisa y energía y la guía se ha rebajado dos veces (julio y octubre) [12][5]. Beta de 0,25 frente al IBEX (mensual, 5 años; 0,12 semanal a 2 años): se mueve por factores propios [46]. Rentabilidades de precio, sin el ≈ 6 % anual de dividendo; las de 3, 5 y 10 años, a 21-oct. Las posiciones cortas notificadas a la CNMV suman un 3,1 % del capital y suben: AKO Capital 1,24 % (13-oct; 1,14 % en junio), Marble Bar 0,81 % (14-oct), White Creek 0,55 % (21-oct) y PDT 0,50 % (22-jul) [51][45]. Además, Viscofan salió del STOXX Europe 600 el 21-sep, lo que obliga a vender a los fondos indexados [52].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 -3,6 % / -9,1 % / +0,4 %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 +4,1 %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a los resultados: en la subasta de apertura del 23-oct (09:00 de Madrid) la acción cotizó a 54,50 €, un 0,4 % sobre el cierre del 22-oct, con poco volumen (datos con 15 minutos de retraso, tomados a las 09:15) [46]. El mercado no castiga la rebaja de guía de EBITDA, que el consenso ya descontaba en parte (296,3 M antes de los resultados)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9M26 tras el cierre: ingresos +3,1 % (+4,5 % comparable), EBITDA −4,9 % (+1,6 % comparable), neto +2,9 %; guía de EBITDA rebajada de 305-314 M a 290-295 M; ingresos y neto se mantienen; dividendo a cuenta ≥ 1,40 €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 4 reitera Sobreponderar con objetivo de 72,7 € en su previa del 3T26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Comprar con objetivo de 72 € tras el 1S26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1S26: EBITDA −7,4 % por divisa; la empresa avisa de que el EBITDA de 2026 quedará en la parte baja de 305-314 M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en aumento antes de los resultados: AKO Capital 1,24 % (13-oct, desde 1,14 % en junio), Marble Bar 0,81 % (14-oct), White Creek 0,55 % (21-oct, nueva) y PDT 0,50 % (22-jul); total del 3,1 % [51][45]. Apuestan por una rebaja que ya se ha publicado; si la cierran, la recompra de cortos es un apoyo.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STOXX Europe 600 (y de sus índices de alimentación y consumo básico) en la revisión de septiembre, efectiva el 21-sep, según la lista de cambios de STOXX [52]: venta forzosa de fondos indexados, ya ejecutada. Coincide con la mayor caída de un mes del semestre (−7,6 % a 30-sep)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acciones en marcha ligada al dividendo flexible: 17,8 M en el 3T26 y 99,7 M en 9M26 [12]; sostiene el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sigue en tendencia bajista (6 % bajo su media de 200 sesiones, −13,5 % desde el máximo de abril) sin movimientos bruscos: la mayor caída de un mes en seis meses es del 7,6 % y la peor sesión del año, del 3,4 % [46]. La explican el margen y dos flujos vendedores: la baja del STOXX Europe 600 en septiembre y unas posiciones cortas que han subido al 3,1 % [52][51]; la recompra en curso compensa en parte [12]. Los resultados ya están publicados y la rebaja de guía entra en las cifras de este informe; los siguientes, a finales de febrero (fecha estimada por el calendario de 2026). No hay colocaciones, ampliaciones ni operaciones corporativas pendientes.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beneficio real del año siguiente, Viscofan cotizó a un PER adelantado de 15,6-20,3x en 2019-2024 (mediana de 5 años de 17,3x con 2025) [46][1]; hoy está a 15,1x nuestro BPA de 2027e, en el mínimo de la serie. El descuento tiene causas: el BPA de 2026 será inferior al de 2025 (3,40 € frente a 3,52 €) por divisa y energía, la guía se ha recortado dos veces este año y el crecimiento del EBITDA de 2020-2025 fue del 4,3 % anual [12][5]. No vemos un cambio estructural que justifique un descuento permanente: el ROIC sigue por encima del 13 % y la cuota en envolturas no se ha erosionado [48][4].</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pertenece en un 93 % a Icahn y Shenguan es pequeña y tiene pérdidas [55][21]. Usamos ocho empresas de ingredientes alimentarios (Kerry, Symrise, Tate &amp; Lyle, Ingredion, Corbion, AAK) y de envases para alimentación (Huhtamäki, Amcor), con clientes, ciclo de costes y exposición a divisa parecidos. Descartamos Darling (los biocombustibles distorsionan su EBITDA) y Sealed Air (en proceso de compra por CD&amp;R desde noviembre de 2025) [56]. Las cifras son las del 6-oct-2026 [23] llevadas al cierre del 22-oct con la variación de precio de cada una [46]; las estimaciones no se han actualizado.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8,7x / 10,1x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9,3x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14,8x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1,5x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6,9 + 0,57 × crecimiento; R² = 0,22. El crecimiento explica poco los múltiplos de estos comparables (R² &lt; 0,3): la regresión no se usa en la valoración.</w:t>
      </w:r>
    </w:p>
    <w:p>
      <w:pPr>
        <w:spacing w:after="100"/>
      </w:pPr>
      <w:r>
        <w:t xml:space="preserve">Desde el 6 de octubre los comparables de ingredientes han subido con fuerza (Kerry +14,9 %, Symrise +11,5 %, Corbion +12,1 %, Amcor +10,8 %) mientras Viscofan subía un 2,6 % [46]: la mediana del grupo pasa a 8,7x EV/EBITDA NTM y 14,8x PER NTM. Viscofan cotiza a unas 8,9x EBITDA NTM con la nueva guía y a 15,1x nuestro BPA de 2027e, en línea con el grupo. Pero tiene mejores fundamentales: margen EBITDA del 22 % frente a una mediana del 16,7 %, ROIC del 13-16 % frente al 7,5 % y deuda de 1,0x EBITDA frente a 2,0x [12][23]. Por calidad merecería una prima de 1-2 veces EBITDA, como Kerry y Symrise (13,4-13,6x) con menos ROIC. Usaríamos 9-10x EV/EBITDA NTM. Las estimaciones de los comparables son del 6-oct: las subidas de Kerry y Symrise pueden reflejar revisiones que no recogemos.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41 % sobre el precio sin afectar; múltiplo sobre el EBITDA de los últimos 12 meses (estimación propia)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colágeno; 11,3x EBITDA a junio de 2022; prima del 71,9 % sobre 192 peniques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58,66 – 70,08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con primas del 41-72 % cuando el objetivo cotizaba [55][56]. La más comparable es Devro (11,3x), el número dos en colágeno, comprada por un industrial alemán [55]. Aplicada al EBITDA de Viscofan es un valor de control, no un precio de mercado. Viscofan es objetivo posible: sin accionista de control (Alba tiene en torno al 14 %), un 79 % de capital flotante y un múltiplo en mínimos de su historia [18]; el capital privado ha mostrado apetito por los envases alimentarios con Sealed Air [56]. No hay señales de proceso y Alba suele ser un accionista estable: por eso las transacciones pesan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Para 2026 proyectamos 1.300 M (+3,8 %), por debajo de la guía de 1.310-1.340 M que la empresa mantiene [12]: con 965,4 M en 9M26, llegar a 1.310 M pide un 4T26 de 345 M, un 9 % más que el 4T25, y el 3T26 creció un 5,5 % [12][1]. Lo fijamos porque ya hay tres trimestres publicados. Para 2027-2028, +5,5 % anual (consenso: +6,6 % y +6,1 %) [47], con las subidas de precio de mayo-junio y volumen al ritmo del mercado; convergencia al 3 % en 2032. El medio (4,5 %) queda por debajo del TCAC de 2020-2025 (6,5 %) y del 7,5 % que implican los 1.800 M de Beat'30 [4].</w:t>
      </w:r>
    </w:p>
    <w:p>
      <w:pPr>
        <w:keepNext/>
        <w:spacing w:after="100"/>
      </w:pPr>
      <w:r>
        <w:rPr>
          <w:b/>
          <w:bCs/>
        </w:rPr>
        <w:t xml:space="preserve">Márgenes.</w:t>
      </w:r>
    </w:p>
    <w:p>
      <w:pPr>
        <w:spacing w:after="100"/>
      </w:pPr>
      <w:r>
        <w:t xml:space="preserve">Margen EBITDA del 22,2 % en 2026 (288,6 M), por debajo de la nueva guía de 290-295 M: el 4T26 tendría que dar 82-87 M frente a 73,2 M en el 3T26 y con más de 5 M de coste de coberturas energéticas [12]. Sube al 23,0 % en 2027 (consenso 23,1 %) [47], al 23,5 % en 2028 y al 24 % desde 2030, la media de 2020-2025 (23,4 %, con un mínimo del 21,9 %) y 1-2 puntos por debajo del 25-26 % de Beat'30 [4]. La recuperación descansa en precios ya aplicados (margen bruto del 65,5 % en el 3T26, +0,3 pp) y en los ahorros de Chequia y Nueva Jersey [12][4].</w:t>
      </w:r>
    </w:p>
    <w:p>
      <w:pPr>
        <w:keepNext/>
        <w:spacing w:after="100"/>
      </w:pPr>
      <w:r>
        <w:rPr>
          <w:b/>
          <w:bCs/>
        </w:rPr>
        <w:t xml:space="preserve">Inversión y circulante.</w:t>
      </w:r>
    </w:p>
    <w:p>
      <w:pPr>
        <w:spacing w:after="100"/>
      </w:pPr>
      <w:r>
        <w:t xml:space="preserve">Capex del 7,7 % de las ventas en 2026 (100 M de guía; 54,2 M en 9M26) y del 8,5 % en 2027-2028 por la planta de České Budějovice (en marcha en 2028), en línea con los 120 M anuales de Beat'30 [12][4]; baja al 7,0 % en 2032, igual que la amortización. El circulante empeora: existencias + clientes − proveedores suman 646 M a septiembre, un 50,5 % de las ventas de 12 meses, frente al 48,1 % de diciembre [12]. Partimos del 48,5 % a cierre de 2026 y convergemos al 46 %. Tipo impositivo del 21 % en 2026 (20,2 % en 9M26) [12], del 22 % en 2027-2028 y del 23 % normalizado después.</w:t>
      </w:r>
    </w:p>
    <w:p>
      <w:pPr>
        <w:keepNext/>
        <w:spacing w:after="100"/>
      </w:pPr>
      <w:r>
        <w:rPr>
          <w:b/>
          <w:bCs/>
        </w:rPr>
        <w:t xml:space="preserve">Coste del capital.</w:t>
      </w:r>
    </w:p>
    <w:p>
      <w:pPr>
        <w:spacing w:after="100"/>
      </w:pPr>
      <w:r>
        <w:t xml:space="preserve">Tasa libre del 3,44 %, el </w:t>
      </w:r>
      <w:r>
        <w:rPr>
          <w:b/>
        </w:rPr>
        <w:t xml:space="preserve">Bund alemán a 10 años</w:t>
      </w:r>
      <w:r>
        <w:t xml:space="preserve"> del 22-oct-2026 [49] (el informe anterior usaba por error el bono español al 4,08 %; el método pide el Bund para flujos en euros). Beta de 0,66: la de regresión (0,25 mensual frente al IBEX) no sirve [46]; media de las desapalancadas de alimentación (0,47) y envases (0,75) de Damodaran [53], reapalancada al 13 % de deuda. Prima de mercado del 5,5 % y prima adicional del 1 % por la producción y venta en emergentes (Sudamérica y Asia-Pacífico suman el 29,5 % de las ventas por origen de 9M26) [12]. Coste de la deuda del 4,1 % (gastos financieros anualizados de 9M26 sobre la deuda bancaria media) [12].</w:t>
      </w:r>
    </w:p>
    <w:p>
      <w:pPr>
        <w:keepNext/>
        <w:spacing w:after="100"/>
      </w:pPr>
      <w:r>
        <w:rPr>
          <w:b/>
          <w:bCs/>
        </w:rPr>
        <w:t xml:space="preserve">Valor terminal.</w:t>
      </w:r>
    </w:p>
    <w:p>
      <w:pPr>
        <w:spacing w:after="100"/>
      </w:pPr>
      <w:r>
        <w:t xml:space="preserve">Crecimiento a perpetuidad del 2,0 %: entre la inflación esperada del euro (≈ 2 %) y la tasa libre menos medio punto (2,94 %), y por debajo del 3,4 % del mercado de envolturas [34]. El múltiplo de salida implícito en Gordon debe compararse con la mediana histórica de Viscofan (≈ 10x) y de las transacciones (11,3x) [55]; usamos 9,5x en el método del múltiplo, la parte baja de su historia y algo por encima de los comparables (8,7x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(ROIC 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frente al 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(histórico: 17,6 %)</w:t>
            </w:r>
          </w:p>
        </w:tc>
      </w:tr>
    </w:tbl>
    <w:p>
      <w:pPr>
        <w:spacing w:after="160" w:before="0"/>
      </w:pPr>
    </w:p>
    <w:p>
      <w:pPr>
        <w:spacing w:after="100"/>
      </w:pPr>
      <w:r>
        <w:t xml:space="preserve">La proyección reinvierte el 20 % del NOPAT. Con el ROIC del último ejercicio (16,4 %), eso financia un crecimiento del 3,2 % anual, frente al 4,5 % de ingresos proyectado. Supone que el capital nuevo rinde un 14,5 %, frente a un ROIC incremental histórico del 17,6 %.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 de 9M26 +4,5 % (volumen y precio, sin desglose público), divisa −1,6 pp y perímetro +0,2 pp [12]; subidas de precio adicionales en mayo-junio [12]; el 4T26 recupera divisa (dólar).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cerca de su media histórica del 4 % [27] y efecto anual completo de las subidas de 2026 [12]; divisa neutral. Consenso: +6,6 %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más nueva capacidad de colágeno (Nueva Jersey) y celulósica (Zacapu) [12]; otros: Health y Pet Treats, que crecen desde una base pequeña (21,8 M en 9M26)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hacia el 3,4-4 % del mercado [34][27] más la planta checa; precio en línea con la inflación.</w:t>
            </w:r>
          </w:p>
        </w:tc>
      </w:tr>
    </w:tbl>
    <w:p>
      <w:pPr>
        <w:spacing w:after="160" w:before="0"/>
      </w:pPr>
    </w:p>
    <w:p>
      <w:pPr>
        <w:spacing w:after="100"/>
      </w:pPr>
      <w:r>
        <w:t xml:space="preserve">Sí: el caso base pide poco. El 4,5 % anual queda por debajo del 6,5 % de 2020-2025 y sale de volumen al ritmo del mercado (3,4-4 %) [34][27] más un 1,5-2,5 % de precio, que Viscofan repercute con dos o tres trimestres de retraso: lo ha vuelto a hacer en 2026 (margen bruto del 3T26 estable pese a la energía) [12]. La reinversión, al ROIC actual, financia el volumen; el precio no pide capital. La cuota en envolturas subiría poco (prueba a mano: el mercado de la sección de sector es de envolturas y las ventas incluyen energía, Health y Pet Treats). La duda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7,4 %)</w:t>
            </w:r>
          </w:p>
        </w:tc>
      </w:tr>
    </w:tbl>
    <w:p>
      <w:pPr>
        <w:spacing w:after="160" w:before="0"/>
      </w:pPr>
    </w:p>
    <w:p>
      <w:pPr>
        <w:spacing w:after="100"/>
      </w:pPr>
      <w:r>
        <w:t xml:space="preserve">El DCF da 63,72 € por acción, un 17,3 % sobre el precio de 54,30 €, con un WACC del 7,42 % y un 75 % del valor en el terminal. El cambio frente al 6-oct tiene dos signos: el margen de 2026 baja (EBITDA de 288,6 M, por debajo de la guía nueva de 290-295 M) y la recuperación al 24 % se retrasa un año; pero la tasa libre pasa al Bund (3,44 %) desde el bono español (4,08 %), y eso pesa más [D]. El DCF inverso dice que a 54,30 € el mercado descuenta un crecimiento negativo (−3,7 % anual) con nuestros márgenes, o una rentabilidad exigida del 8,2 %: el precio no pide nada al crecimiento, pero el valor depende mucho de que el margen vuelva al 23,5-24 %.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2022-2023: energía, pieles y divisa comprimen el margen 2 puntos durante años y un competidor reestructurado (Viskase) vuelve a competir en precio en EE. UU.; Beat'30 se retrasa y el crecimiento queda en el 3 %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subidas de precio de 2026 recuperan el margen al 23,5 % en 2028 y al 24 % en 2030; volumen al ritmo del mercado y Beat'30 ejecutado a tiempo, con un crecimiento medio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nueva capacidad de colágeno y celulósica, ahorros en Chequia y Nueva Jersey y margen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60,58 EUR (+11,6 %).</w:t>
      </w:r>
    </w:p>
    <w:p>
      <w:pPr>
        <w:spacing w:after="100"/>
      </w:pPr>
      <w:r>
        <w:t xml:space="preserve">La asimetría es favorable: el alcista vale 70,23 € (+29,3 %) y el bajista 44,65 € (−17,8 %), con el base en 63,72 € (+17,3 %). El bajista no es teórico: es lo que pasó en 2022-2023 y lo que la guía rebajada sugiere para 2026 si las coberturas de energía y el dólar no ayudan en el 4T.</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(NIIF 8) y no publica resultados por división; una suma de partes exigiría inventar márgenes [A].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60,80 EUR (+12,0 % sobre 54,30).</w:t>
      </w:r>
    </w:p>
    <w:p>
      <w:pPr>
        <w:spacing w:after="100"/>
      </w:pPr>
      <w:r>
        <w:t xml:space="preserve">Pesos: DCF 40 %, escenarios 30 %, comparables 20 % y transacciones 10 %. El valor intrínseco es de 60,80 € (+12,0 %). La recomendación la decide el objetivo a 12 meses por PER (regla v3): +18,3 % ponderado y +20,8 % en el caso base, con el valor intrínseco por encima del precio: Comprar. Pero la historia al cierre (v2, control) da +13,6 % y un BPA un 10 % menor la deja en +6,5 %: es una compra frágil.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(15.1x) a mitad de camino hacia la mediana de 5 años (17.3x)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r>
    </w:tbl>
    <w:p>
      <w:pPr>
        <w:spacing w:after="160" w:before="0"/>
      </w:pPr>
    </w:p>
    <w:p>
      <w:pPr>
        <w:spacing w:after="100"/>
      </w:pPr>
      <w:r>
        <w:rPr>
          <w:b/>
          <w:bCs/>
        </w:rPr>
        <w:t xml:space="preserve">Objetivo a 12 meses (ponderado):</w:t>
      </w:r>
      <w:r>
        <w:t xml:space="preserve"> 61,93 EUR · rentabilidad +18,3 % (base +20,9 %) · señal Comprar.</w:t>
      </w:r>
    </w:p>
    <w:p>
      <w:pPr>
        <w:spacing w:after="100"/>
      </w:pPr>
      <w:r>
        <w:t xml:space="preserve">Para comparar, con la regla v2 (historia al cierre, mismo precio): 12,8x / 15,1x / 18,1x, 13,6 %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(3,91 €) queda un 6,5 % por debajo del consenso (4,18 €), que es de antes de la rebaja de la guía: proyectamos un EBITDA de 2026 por debajo del rango nuevo y una recuperación del margen más lenta. Nuestro precio base a 12 meses (63,34 €) queda un 6,7 % por debajo del objetivo medio de los analistas (67,90 €) [D].</w:t>
      </w:r>
    </w:p>
    <w:p>
      <w:pPr>
        <w:keepNext/>
        <w:spacing w:after="100"/>
      </w:pPr>
      <w:r>
        <w:rPr>
          <w:b/>
          <w:bCs/>
        </w:rPr>
        <w:t xml:space="preserve">Del valor intrínseco al objetivo a 12 meses.</w:t>
      </w:r>
    </w:p>
    <w:p>
      <w:pPr>
        <w:spacing w:after="100"/>
      </w:pPr>
      <w:r>
        <w:t xml:space="preserve">El objetivo a 12 meses ponderado (61,93 €; base 63,34 €) y el valor intrínseco (60,80 €) están cerca: las dos vías dicen que la acción vale un 12-17 % más que el precio. La rentabilidad viene de un PER de 16 veces (por debajo de su mediana de 17,3) sobre un BPA que vuelve a crecer en 2027-2028 con el margen. Con la historia al cierre (v2) la rentabilidad es del +13,6 %, por debajo del 15 %.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al menos 1,40 €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 más del 5 % con el complementario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4T alcanza los 82-87 M de EBITDA que pide la guía; el segundo año de Beat'30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mayo-junio de 2026 a año completo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hacia el 23 %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České Budějovice en marcha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 ahorros de coste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Cortos (3,1 % del capital) y salida del STOXX Europe 600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técnica; una recompra de cortos tras un buen 4T empujaría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 (energía, pieles,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a 12 meses (bajista: 41,93 €)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ya aplicadas; margen bruto del 3T26 +0,3 puntos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por debajo del 21 %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2026 incumplida por segundo año (el 4T necesita +15-22 % de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dólar ya suma en el 3T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2026 por debajo de 290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precio en EE. UU. (Viskase reestructurada o vendida)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pierde volumen por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la baja en celulósica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 (EE. UU.): riesgo medioambiental y reputacional tras el informe de Hunterbrook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demanda; solo una sanción laboral de OSHA en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Actuación de la EPA o demandas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creciente (50,5 %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retributivo de reducción de existencias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por encima de 450 M</w:t>
            </w:r>
          </w:p>
        </w:tc>
      </w:tr>
    </w:tbl>
    <w:p>
      <w:pPr>
        <w:spacing w:after="160" w:before="0"/>
      </w:pPr>
    </w:p>
    <w:p>
      <w:pPr>
        <w:pStyle w:val="Heading2"/>
      </w:pPr>
      <w:r>
        <w:t xml:space="preserve">Pre-mortem</w:t>
      </w:r>
    </w:p>
    <w:p>
      <w:pPr>
        <w:spacing w:after="100"/>
      </w:pPr>
      <w:r>
        <w:t xml:space="preserve">Octubre de 2028: la acción vale 40 €. El gas siguió caro en 2027, las pieles subieron y el dólar volvió a caer; Viscofan subió precios tarde y el margen se quedó en el 21 %. La guía se rebajó por tercer año y el PER bajó a 12 veces. La señal: un margen bruto trimestral por debajo del 65 % dos trimestres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por 242.857 toneladas, un 5 % del EBITDA [1]. El plan Net Zero 2050 busca reducir entre un 45 % y un 50 % las emisiones absolutas de alcance 1 y 2 en 2030 frente a 2018 [1], con una caldera de biomasa en Cáseda en 2026 (9.000 t de CO2 al año) y un PPA solar en 2028 [4]. Contaminación: la química de la celulosa exige tratar gases y aguas; en 2025 se destinaron 22,4 M a sistemas de tratamiento de sustancias contaminantes en Cáseda [1], y es el origen de la controversia de Danville, que Viscofan quiere certificar en ISO 14001 en 2026-2027 [4]. Seguridad laboral: el índice de gravedad bajó de 0,25 en 2021 a 0,09 en 2025 [1]. Ningún ingreso está alineado con la taxonomía europea; los elegibles no alineados (cogeneración y plástico) suman 153,3 M, el 12,2 % [1].</w:t>
      </w:r>
    </w:p>
    <w:p>
      <w:pPr>
        <w:pStyle w:val="Heading2"/>
      </w:pPr>
      <w:r>
        <w:t xml:space="preserve">Controversias</w:t>
      </w:r>
    </w:p>
    <w:p>
      <w:pPr>
        <w:spacing w:after="100"/>
      </w:pPr>
      <w:r>
        <w:t xml:space="preserve">El 14-oct-2025 un medio digital vinculado a un fondo que opera en corto acusó a la planta de Danville (Illinois) de emisiones y vertidos fuera de permiso y de daños a la salud de los trabajadores; la acción llegó a caer un 18 % en la sesión [37]. Viscofan no ha recibido reclamaciones judiciales por salud o medio ambiente; reconoce avisos de infracción de la EPA y de la agencia de Illinois desde 2020, resueltos o pendientes «sin que se prevean impactos materiales», y encargó una revisión a Baker &amp; McKenzie [1]. No tuvo sanciones ambientales relevantes en 2024 ni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llega a 82-87 M de EBITDA en el 4T26 con más de 5 M de coste de coberturas?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15-22 % más que el 4T25 tras un 3T plano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las subidas de precio de mayo-junio y cuánto falta por repercutir de la energía?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vuelta del margen al 23-24 %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existencias suben un 13,6 % en nueve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ya es la mitad de las ventas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NIIF 18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¿Adoptará la NIIF 18 en 2026 y cómo cambia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Llevaría las diferencias de cambio a las líneas operativas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algo en Danville que justifique un 3,1 % del capital en cortos?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fondos están cortos [D].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«Viscofan (VIS): seguimiento de la acción» (páginas 129-133)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 accionistas a largo plazo, con una veintena de mensajes desde finales de julio. Les inquietan las posiciones cortas y su posible relación con Danville, la salida del STOXX Europe 600 y la deuda. Defienden la calidad del negocio y el dividendo, y el 22-oct la primera lectura de los resultados fue que «se ha quedado un poco por debajo»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Viscofan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mensajes giran en torno a los resultados del 22-oct. Unos los ven mixtos o flojos (ventas arriba, EBITDA abajo y guía de EBITDA rebajada) y esperan ventas a corto plazo. Otros los juzgan en línea o mejores en el trimestre y ponen órdenes de compra si baja. Se repite la queja de que la acción lleva años plana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Rankia, blog de un particular («Viscofan en julio de 2026: una gran empresa industrial todavía marcada por Danville»)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que el negocio no se ha roto tras el informe de Hunterbrook, pero que el mercado exige un descuento mientras Danville no quede cerrado. Ve la acción «no cara», aunque tampoco una ganga, y pide más margen de seguridad y pruebas de que Beat'30 no se financia a costa de márgenes o deuda [61].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de fondos (AKO Capital, Marble Bar, PDT Partners) y miedo a que sepan algo de Danville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suman más del 2 % del capital en cortos, con cifras que no hemos comprobado en la CNMV: la consulta por NIF del 23-oct no devolvió datos. El análisis anterior recogía el 1,14 % de AKO en junio, que debe confirmar la sección de capital [59]. No consta ninguna demanda presentada por Danville. El antecedente comprobable es una sanción propuesta por OSHA en 2024 por seguridad laboral, no ambiental [61]. Atribuir los cortos a un juicio inminente es especulación sin respaldo 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STOXX Europe 600 y ventas forzadas de los fondos indexados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Viscofan figura en la revisión de STOXX efectiva el 21-sep-2026, la de la entrada de valores griegos tras la reclasificación de Grecia como mercado desarrollado [62]. El foro acierta en la causa, pero la sospecha de que la salida se hizo «para influir en la cotización» no tiene base. Es un efecto técnico de flujos, no de fundamentales [59, 62].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recompras y dividendo flexible: si la caja llega para todo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umbral de 300 M de deuda que se marcaba en el foro como prueba de alarma no se ha cruzado. La deuda bancaria neta quedó en 266,6 M a septiembre, 16,7 M menos que en junio, con las inversiones de Beat'30 y la recompra en marcha [63]. La preocupación era razonable, pero el 3T la desmiente por ahora [59, 63].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3T y rebaja de la guía de EBITDA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lecturas. Hay récord trimestral de ingresos (335,7 M, +5,5 %) y beneficio neto del 3T +4,1 %, pero el EBITDA del trimestre está plano (+0,1 %) y la empresa rebaja en 10-15 M el EBITDA esperado del año, aunque mantiene los objetivos de ingresos y de beneficio neto [63]. La estimación de ingresos que circulaba en el foro (en torno a 342 M) no se alcanzó [59, 63].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«aburrido»: cotización plana durante años, con el dividendo como ancla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queja tiene base: la acción sigue por debajo de la zona previa al informe de Hunterbrook de octubre de 2025 [61]. La retribución se mantiene, con un dividendo a cuenta de al menos 1,40 € por acción en diciembre bajo el sistema flexible [63]. Los particulares la tratan como valor de renta, no de revalorización, y en eso coinciden con lo que dicen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 dólar como palanca del 4T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atribuye a la apreciación del dólar parte de la mejora del 3T. Aun así, en los nueve meses las divisas restan 6,2 puntos al crecimiento del EBITDA, que crece un 1,6 % en términos comparables [63]. Es un viento a favor real, pero no compensa por sí solo la energía.</w:t>
            </w:r>
          </w:p>
        </w:tc>
      </w:tr>
    </w:tbl>
    <w:p>
      <w:pPr>
        <w:spacing w:after="160" w:before="0"/>
      </w:pPr>
    </w:p>
    <w:p>
      <w:pPr>
        <w:spacing w:after="100"/>
      </w:pPr>
      <w:r>
        <w:t xml:space="preserve">El sentimiento de los particulares no es extremo: ni euforia ni capitulación. Lo forman accionistas pacientes, frustrados por años de cotización plana, que se agarran al dividendo y temen que los cortos anticipen algo de Danville. Ese miedo no tiene hoy respaldo en los datos: no consta ninguna demanda y la deuda baja en el trimestre [63]. Los resultados del 22-oct dividen el foro igual que dividirán al mercado. Unos ven el récord de ingresos y el beneficio, otros el EBITDA plano y la guía rebajada. Para la decisión aporta dos cosas: el soporte de la acción depende del dividendo y de la recompra, y la salida del STOXX 600 ha añadido presión vendedora técnica. Ninguno de los dos cambia el valor, pero sí el momento de entrada. No contradice al consenso de analistas.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24 controles correctos y 2 explicados. Fuentes: 63 (30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El 10,1 % de 2025 se debe a 18,0 M de activación de bases imponibles negativas en EE. UU.; sin ella habría sido del 20,3 %. No se proyecta: el DCF usa el 21 % en 2026 (20,2 % en 9M26) y sube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14,5 % frente a un ROIC de 16,4 % y un incremental histórico de 17,6 %: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48,5 % frente a 48,1 % real: genera una variación de circulante de 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 Explicación: Los comparables son de ingredientes y envases, sin competidores puros cotizados: el crecimiento solo explica el 22 % del múltiplo y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13,6 %: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16,2 % (&lt; 25 %); asimetría de 1,65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 la memoria 2025 e informe semestral 1S26: la empresa se declara monosegmento (NIIF 8); 2) notas y presentaciones de 2025, 1S26 y 9M26: solo ingresos por división; 3) prensa y análisis públicos (Renta 4, Merca2):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2025 y 9M26: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consenso previo de 4T24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Bolsamanía con Berenberg y Visible Alpha): consenso solo para 3T24, 3T25, 4T25, 1T26, 2T26 y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Viscofan (presentaciones): sin transcripción;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caja de enero-septiembre 2026 (para el FCF LTM a septiembre)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9M26: sin estado de flujos; 2) anexos xlsx 9M26: solo cuenta y balance; 3) presentación 9M26: solo capex (54,2 M), recompras y deuda bancaria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y múltiplo de las adquisiciones de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reparto de 2021 entre Negocio tradicional y Nuevos negocios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separa envolturas (925,1 M) y energía (44,1 M); 2) anexos y notas de resultados de 2022 en la web de Viscofan: no disponibles (404); 3) prensa de resultados 2022 (Bolsamanía, búsqueda web): sin desglose por negocio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ejercicios completos con las cuatro divisiones de 2026 (FPI, Health, Pet treats, Energía)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1S26 (nota 6): solo 1S26 y 1S25; 2) presentación Beat'30: solo porcentajes de 2025 (93 %, 1 %, 1 %, 5 %); 3) nota de resultados 9M26: solo 9M26 y 9M25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Beat'30: solo crecimientos previstos; 2) Global Market Insights: solo el año base 2022 y la previsión; 3) prensa (Merca2, Renta 4): crecimiento medio de volúmenes de Viscofan en torno al 4 %, no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(EINF): solo la pertenencia al IBEX ESG; 2) página de Sustainalytics de Viscofan: redirige a la página genérica sin puntuación; 3) búsqueda web: el resumen habla de riesgo bajo sin cifra ni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Kalle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Entrevista corporativa de Kalle: solo ingresos (más de 300 M EUR) y plantilla; 2) Kalle es privada y no publica cuentas en su web; 3) búsqueda en prensa del análisis anterior: sin cifra de resultado (no se consultó el registro mercantil alemán)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notificaciones de directivos de la CNMV (consultas/ee/directivos?nif=A31065501): 403 con WebFetch y la página de la CNMV se carga por JavaScript; 2) web de Viscofan (otra información relevante) y su copia en archive.org: servidor caído (503) y túnel cortado el 23-oct; 3) búsqueda en prensa y boletines de BME: solo aparecen las operaciones de la recompra de 2024 firmadas por el consejero delegado como apoderado, no compras personales en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votos en contra del informe de remuneraciones en las tres últimas juntas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Acuerdos de la junta 2026 y IARC 2025 (apartado B.4) en la web de Viscofan: no accesibles hoy (fetch failed / 503); 2) informe consolidado 2025 (incluye solo un resumen de gobierno, sin recuentos): sin votos; 3) prensa (Forbes, Demócrata) y estudio de Georgeson 2025: sin desglose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del director general de operaciones (Jesús Calavia)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nota 22.2: solo lista el cargo; 2) informe consolidado, apartado de alta dirección del EINF: sin fecha; 3) MarketScreener y perfiles de prensa: sin fecha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posteriores a los resultados de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el 22-oct a las 17:35: estimaciones anteriores a la publicación; 2) Investing: sin estimaciones; 3) búsqueda de prensa del 23-oct: sin revisiones de analistas publicadas aún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(4-8 sitios con debate real)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y JSON) y Burbuja.info: 403; MarketScreener: 403; 2) API de Stocktwits (VSCFF): sin mensajes; RSS de Seeking Alpha (VSCFF): sin artículos ni debate desde 2024, solo presentaciones; 3) getquin: un solo mensaje sobre Viscofan en los últimos tres meses, sin debate; Bolsamanía y PressDigital: sin comentarios de lectores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tres sitios con debate real)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contraste de las posiciones cortas citadas en el foro (AKO 1,20 %, Marble Bar 0,68 %, PDT 0,50 %)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PosicionesCortas?nif=A31065501: «No se han encontrado datos disponibles» (con Grifols y Ebro la misma consulta funciona); 2) búsqueda en prensa de los cortos de agosto de 2026: sin resultados; 3) Demócrata (29-jun-2026, AKO 1,14 %):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contraste lo hace la sección de capital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https://public.viscofan.com/investor-relations/financialinformation/es/Presentaci%C3%B3n%20de%20resultados.%20Enero%20-%20Septiembre%202026_ES.pdf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enero-septiembre 2026 (cuenta y balance,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https://public.viscofan.com/investor-relations/financialinformation/es/Anexos%20financieros.%20Enero%20-%20Septiembre%202026.xlsx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consolidadas 2019-2025 en formato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https://filings.xbrl.org/95980020140005684765/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sube precios para combatir la inflación, pero sus márgenes siguen bajo presión (previa 3T26 con estimaciones de Renta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https://www.merca2.es/2026/10/20/viscofan-precios-margenes-2476589/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consolidadas 2019-2025 en formato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https://filings.xbrl.org/95980020140005684765/2020-12-31/ESEF/ES/0/95980020140005684765-2020-12-31/reports/95980020140005684765-2020-12-31.xhtml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10-Q segundo trimestre 2026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https://www.sec.gov/Archives/edgar/data/813762/000110465926090605/tmb-20260630x10q.htm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annual results announcement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https://www1.hkexnews.hk/listedco/listconews/sehk/2026/0330/2026033001854.pdf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en Wirtschaftsforum (cifras y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 2024-2031)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to acquire Japanese firm Nitta Casings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https://foodnavigator.com/Article/2020/01/03/Viscofan-to-acquire-Japanese-firm-Nitta-Casings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accionistas de Viscofan aprueban una retribución de 3,25 euros por acción (junta 2026: nombramiento de Vidarte, vicepresidencia de Echevarría, coordinador Arizkorreta, reelección del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https://forbes.es/?p=914394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eleva un 4,8 % la remuneración al accionista hasta 3,25 euros por título (junta 2026: política de remuneraciones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https://www.democrata.es/economia/viscofan-eleva-un-4-8-la-remuneracion-al-accionista-hasta-3-25-euros-por-titulo/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 leído en el análisis del 6-oct-2026, hoy no accesible)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2021-2024, anexos financieros y nota de resultados 9M25 (guías anuales y cifras reales; recogidos en el análisis del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VIS.MC, ^IBEX, EXH3.DE y comparables: históricos diarios, intradía de 5 minutos y cotización de cierre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https://finance.yahoo.com/quote/VIS.MC/history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estimaciones de consenso 2026-2028 y precio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capitalización, acciones, volumen,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Bund a 10 años (curva de rendimientos a la par,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consenso de analistas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Viscofan (NIF A31065501)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https://www.cnmv.es/portal/Consultas/EE/PosicionesCortas?nif=A-31065501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 Components Changes, STOXX Supersector Indices (revisión trimestral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https://www.stoxx.com/documents/stoxxnet/Documents/News/2026/September/STOXX_Components_Changes_STOXX_Supersector_Indices_20260901.pdf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(VIS): seguimiento de la acción (hilo, páginas 129-133)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https://www.rankia.com/foros/bolsa/temas/561971-viscofan-vis-seguimiento-accion?page=133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Viscofan (VIS)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https://es.investing.com/equities/viscofan-sa-commentary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en julio de 2026: una gran empresa industrial todavía marcada por Danville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(blog de un particular)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https://www.rankia.com/blog/analisis-fundamental-empresas-cotizadas/7421849-viscofan-julio-2026-gran-empresa-industrial-todavia-marcada-por-danville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 Europe 600 index composition changes (1-sep-2026, efectivos el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 (reproducido por kurzy.cz)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https://zpravy.kurzy.cz/873284-stoxx-europe-600-index-composition-changes-sep-01-2026/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logra un beneficio de 111,8 millones hasta septiembre, un 2,9%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PressDigital (agencias)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https://www.pressdigital.es/articulo/economia/2026-10-22/6062505-viscofan-logra-beneficio-1118-millones-hasta-septiembre-29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riesgos</w:t>
      </w:r>
      <w:r>
        <w:t xml:space="preserve"> · Generado el 23 oct 2026.</w:t>
      </w:r>
    </w:p>
    <w:p>
      <w:pPr>
        <w:pStyle w:val="Nota"/>
        <w:spacing w:after="100"/>
      </w:pPr>
      <w:r>
        <w:t xml:space="preserve">Línea cotizada única (Bolsa de Madrid, VIS). Precio de cierre del 22-oct-2026 (54,30 €), anterior a los resultados de 9M26, publicados ese día tras el cierre; el 23-oct abrió a 54,50 € [D]. Acciones: 45,29 M a 30-sep, estimación (46,0 M emitidas menos la autocartera que resulta de las recompras del 3T26) [D]. Viscofan presenta la cuenta por naturaleza: el margen bruto y los días de inventario y de pago se calculan sobre consumos. Reporta un único segmento (NIIF 8): la tabla de divisiones usa la división anterior a 2026 (2022-2025) y las cuatro divisiones nuevas solo tienen datos de 1S26 y 9M26 [B]. El informe de 9M26 no trae estado de flujos: el flujo libre de los últimos 12 meses es a junio [A]. El puente es a 30-sep-2026 con los arrendamientos de junio [D]. La web de Viscofan no envía su certificado intermedio y el 23-oct dejó de responder: el informe de gobierno corporativo, el de remuneraciones y el acta de la junta de 2026 se citan como se leyeron el 6-oct [C]. El consenso es anterior a los resultados [D]. Comparables de otros sectores (ingredientes y envases), al tipo del BCE [D].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23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(51,20 – 62,30)</c:v>
                </c:pt>
                <c:pt idx="1">
                  <c:v>Precio objetivo de los analistas (58,70 – 75,00)</c:v>
                </c:pt>
                <c:pt idx="2">
                  <c:v>Comparables: EV/EBITDA NTM (47,56 – 64,34)</c:v>
                </c:pt>
                <c:pt idx="3">
                  <c:v>Comparables: PER NTM (45,63 – 63,58)</c:v>
                </c:pt>
                <c:pt idx="4">
                  <c:v>Transacciones precedentes (EV/EBITDA) (58,66 – 70,08)</c:v>
                </c:pt>
                <c:pt idx="5">
                  <c:v>DCF (WACC y g ± 0,5) (53,68 – 78,28)</c:v>
                </c:pt>
                <c:pt idx="6">
                  <c:v>Escenarios (bajista – alcista) (44,65 – 70,23)</c:v>
                </c:pt>
                <c:pt idx="7">
                  <c:v>DCF con la prima implícita del mercado (4,2 %)</c:v>
                </c:pt>
                <c:pt idx="8">
                  <c:v>Precio actual (54,30)</c:v>
                </c:pt>
              </c:strCache>
            </c:strRef>
          </c:cat>
          <c:val>
            <c:numRef>
              <c:f>Hoja1!$B$2:$B$10</c:f>
              <c:numCache>
                <c:formatCode>#,##0.0</c:formatCode>
                <c:ptCount val="9"/>
                <c:pt idx="0">
                  <c:v>51.2</c:v>
                </c:pt>
                <c:pt idx="1">
                  <c:v>58.7</c:v>
                </c:pt>
                <c:pt idx="2">
                  <c:v>47.56</c:v>
                </c:pt>
                <c:pt idx="3">
                  <c:v>45.63</c:v>
                </c:pt>
                <c:pt idx="4">
                  <c:v>58.66</c:v>
                </c:pt>
                <c:pt idx="5">
                  <c:v>53.68</c:v>
                </c:pt>
                <c:pt idx="6">
                  <c:v>44.65</c:v>
                </c:pt>
                <c:pt idx="7">
                  <c:v>67.18</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(51,20 – 62,30)</c:v>
                </c:pt>
                <c:pt idx="1">
                  <c:v>Precio objetivo de los analistas (58,70 – 75,00)</c:v>
                </c:pt>
                <c:pt idx="2">
                  <c:v>Comparables: EV/EBITDA NTM (47,56 – 64,34)</c:v>
                </c:pt>
                <c:pt idx="3">
                  <c:v>Comparables: PER NTM (45,63 – 63,58)</c:v>
                </c:pt>
                <c:pt idx="4">
                  <c:v>Transacciones precedentes (EV/EBITDA) (58,66 – 70,08)</c:v>
                </c:pt>
                <c:pt idx="5">
                  <c:v>DCF (WACC y g ± 0,5) (53,68 – 78,28)</c:v>
                </c:pt>
                <c:pt idx="6">
                  <c:v>Escenarios (bajista – alcista) (44,65 – 70,23)</c:v>
                </c:pt>
                <c:pt idx="7">
                  <c:v>DCF con la prima implícita del mercado (4,2 %)</c:v>
                </c:pt>
                <c:pt idx="8">
                  <c:v>Precio actual (54,30)</c:v>
                </c:pt>
              </c:strCache>
            </c:strRef>
          </c:cat>
          <c:val>
            <c:numRef>
              <c:f>Hoja1!$C$2:$C$10</c:f>
              <c:numCache>
                <c:formatCode>#,##0.0</c:formatCode>
                <c:ptCount val="9"/>
                <c:pt idx="0">
                  <c:v>11.099999999999994</c:v>
                </c:pt>
                <c:pt idx="1">
                  <c:v>16.299999999999997</c:v>
                </c:pt>
                <c:pt idx="2">
                  <c:v>16.78</c:v>
                </c:pt>
                <c:pt idx="3">
                  <c:v>17.949999999999996</c:v>
                </c:pt>
                <c:pt idx="4">
                  <c:v>11.420000000000002</c:v>
                </c:pt>
                <c:pt idx="5">
                  <c:v>24.6</c:v>
                </c:pt>
                <c:pt idx="6">
                  <c:v>25.580000000000005</c:v>
                </c:pt>
                <c:pt idx="7">
                  <c:v>18.299999999999997</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963.1</c:v>
                </c:pt>
                <c:pt idx="1">
                  <c:v>985.3</c:v>
                </c:pt>
                <c:pt idx="2">
                  <c:v>996.6</c:v>
                </c:pt>
                <c:pt idx="3">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144.5</c:v>
                </c:pt>
                <c:pt idx="1">
                  <c:v>151.5</c:v>
                </c:pt>
                <c:pt idx="2">
                  <c:v>147.3</c:v>
                </c:pt>
                <c:pt idx="3">
                  <c:v>159.7</c:v>
                </c:pt>
              </c:numCache>
            </c:numRef>
          </c:val>
        </c:ser>
        <c:ser>
          <c:idx val="2"/>
          <c:order val="2"/>
          <c:tx>
            <c:strRef>
              <c:f>Hoja1!$D$1</c:f>
              <c:strCache>
                <c:ptCount val="1"/>
                <c:pt idx="0">
                  <c:v>Energía (cogeneración de Cáseda)</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93.5</c:v>
                </c:pt>
                <c:pt idx="1">
                  <c:v>89</c:v>
                </c:pt>
                <c:pt idx="2">
                  <c:v>60.1</c:v>
                </c:pt>
                <c:pt idx="3">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c:v>
                </c:pt>
                <c:pt idx="1">
                  <c:v>Nuevos negocios</c:v>
                </c:pt>
                <c:pt idx="2">
                  <c:v>Energía (cogeneración de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c:v>
                </c:pt>
                <c:pt idx="1">
                  <c:v>Norteamérica</c:v>
                </c:pt>
                <c:pt idx="2">
                  <c:v>Sudamérica</c:v>
                </c:pt>
                <c:pt idx="3">
                  <c:v>Asia-Pacífico</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(Global Market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-4.7</c:v>
                </c:pt>
                <c:pt idx="2">
                  <c:v>16.6</c:v>
                </c:pt>
                <c:pt idx="4">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1300</c:v>
                </c:pt>
                <c:pt idx="7">
                  <c:v>1371</c:v>
                </c:pt>
                <c:pt idx="8">
                  <c:v>1446</c:v>
                </c:pt>
                <c:pt idx="9">
                  <c:v>1519</c:v>
                </c:pt>
                <c:pt idx="10">
                  <c:v>1587</c:v>
                </c:pt>
                <c:pt idx="11">
                  <c:v>1651</c:v>
                </c:pt>
                <c:pt idx="12">
                  <c:v>1700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267.1</c:v>
                </c:pt>
                <c:pt idx="3">
                  <c:v>268.4</c:v>
                </c:pt>
                <c:pt idx="4">
                  <c:v>285.3</c:v>
                </c:pt>
                <c:pt idx="5">
                  <c:v>290</c:v>
                </c:pt>
                <c:pt idx="6">
                  <c:v>289</c:v>
                </c:pt>
                <c:pt idx="7">
                  <c:v>315</c:v>
                </c:pt>
                <c:pt idx="8">
                  <c:v>340</c:v>
                </c:pt>
                <c:pt idx="9">
                  <c:v>361</c:v>
                </c:pt>
                <c:pt idx="10">
                  <c:v>381</c:v>
                </c:pt>
                <c:pt idx="11">
                  <c:v>396</c:v>
                </c:pt>
                <c:pt idx="12">
                  <c:v>408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c:v>
                </c:pt>
                <c:pt idx="1">
                  <c:v>6.1</c:v>
                </c:pt>
                <c:pt idx="2">
                  <c:v>2.7</c:v>
                </c:pt>
                <c:pt idx="3">
                  <c:v>4.3</c:v>
                </c:pt>
                <c:pt idx="4">
                  <c:v>3.1</c:v>
                </c:pt>
                <c:pt idx="5">
                  <c:v>-0.8</c:v>
                </c:pt>
                <c:pt idx="6">
                  <c:v>4.3</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1">
                  <c:v>4.1</c:v>
                </c:pt>
                <c:pt idx="3">
                  <c:v>6.5</c:v>
                </c:pt>
                <c:pt idx="4">
                  <c:v>7.9</c:v>
                </c:pt>
                <c:pt idx="5">
                  <c:v>4.6</c:v>
                </c:pt>
                <c:pt idx="6">
                  <c:v>4.9</c:v>
                </c:pt>
                <c:pt idx="7">
                  <c:v>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147</c:v>
                </c:pt>
                <c:pt idx="1">
                  <c:v>153</c:v>
                </c:pt>
                <c:pt idx="2">
                  <c:v>149</c:v>
                </c:pt>
                <c:pt idx="3">
                  <c:v>169</c:v>
                </c:pt>
                <c:pt idx="4">
                  <c:v>159</c:v>
                </c:pt>
                <c:pt idx="5">
                  <c:v>147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29</c:v>
                </c:pt>
                <c:pt idx="1">
                  <c:v>46</c:v>
                </c:pt>
                <c:pt idx="2">
                  <c:v>39</c:v>
                </c:pt>
                <c:pt idx="3">
                  <c:v>32</c:v>
                </c:pt>
                <c:pt idx="4">
                  <c:v>33</c:v>
                </c:pt>
                <c:pt idx="5">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116.40000000000002</c:v>
                </c:pt>
                <c:pt idx="1">
                  <c:v>119.50000000000001</c:v>
                </c:pt>
                <c:pt idx="2">
                  <c:v>-1.7999999999999914</c:v>
                </c:pt>
                <c:pt idx="3">
                  <c:v>57</c:v>
                </c:pt>
                <c:pt idx="4">
                  <c:v>145.3</c:v>
                </c:pt>
                <c:pt idx="5">
                  <c:v>100.6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c:v>
                </c:pt>
                <c:pt idx="1">
                  <c:v>7.4</c:v>
                </c:pt>
                <c:pt idx="2">
                  <c:v>7.4</c:v>
                </c:pt>
                <c:pt idx="3">
                  <c:v>7.4</c:v>
                </c:pt>
                <c:pt idx="4">
                  <c:v>7.4</c:v>
                </c:pt>
                <c:pt idx="5">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Corporación Financiera Alba (grupo March)</c:v>
                </c:pt>
                <c:pt idx="1">
                  <c:v>Angustias y Sol (Santiago Domecq Bohórquez)</c:v>
                </c:pt>
                <c:pt idx="2">
                  <c:v>Resto del consejo</c:v>
                </c:pt>
                <c:pt idx="3">
                  <c:v>APG Asset Management</c:v>
                </c:pt>
                <c:pt idx="4">
                  <c:v>Setanta Asset Management</c:v>
                </c:pt>
                <c:pt idx="5">
                  <c:v>Autocartera</c:v>
                </c:pt>
                <c:pt idx="6">
                  <c:v>Capital flotante</c:v>
                </c:pt>
              </c:strCache>
            </c:strRef>
          </c:cat>
          <c:val>
            <c:numRef>
              <c:f>Hoja1!$B$2:$B$8</c:f>
              <c:numCache>
                <c:formatCode>0.0"%"</c:formatCode>
                <c:ptCount val="7"/>
                <c:pt idx="0">
                  <c:v>14.25</c:v>
                </c:pt>
                <c:pt idx="1">
                  <c:v>5.03</c:v>
                </c:pt>
                <c:pt idx="2">
                  <c:v>0.43</c:v>
                </c:pt>
                <c:pt idx="5">
                  <c:v>0.86</c:v>
                </c:pt>
                <c:pt idx="6">
                  <c:v>79.2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c:v>
                </c:pt>
                <c:pt idx="1">
                  <c:v>17.4</c:v>
                </c:pt>
                <c:pt idx="2">
                  <c:v>-12.5</c:v>
                </c:pt>
                <c:pt idx="3">
                  <c:v>-2.1</c:v>
                </c:pt>
                <c:pt idx="4">
                  <c:v>23.2</c:v>
                </c:pt>
                <c:pt idx="5">
                  <c:v>-2</c:v>
                </c:pt>
                <c:pt idx="6">
                  <c:v>5.8</c:v>
                </c:pt>
                <c:pt idx="7">
                  <c:v>-11</c:v>
                </c:pt>
                <c:pt idx="8">
                  <c:v>13.8</c:v>
                </c:pt>
                <c:pt idx="9">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1">
                  <c:v>11.7</c:v>
                </c:pt>
                <c:pt idx="2">
                  <c:v>10.8</c:v>
                </c:pt>
                <c:pt idx="3">
                  <c:v>10.9</c:v>
                </c:pt>
                <c:pt idx="4">
                  <c:v>9.8</c:v>
                </c:pt>
                <c:pt idx="5">
                  <c:v>10.3</c:v>
                </c:pt>
                <c:pt idx="6">
                  <c:v>9.1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10.6</c:v>
                </c:pt>
                <c:pt idx="1">
                  <c:v>10.6</c:v>
                </c:pt>
                <c:pt idx="2">
                  <c:v>10.6</c:v>
                </c:pt>
                <c:pt idx="3">
                  <c:v>10.6</c:v>
                </c:pt>
                <c:pt idx="4">
                  <c:v>10.6</c:v>
                </c:pt>
                <c:pt idx="5">
                  <c:v>10.6</c:v>
                </c:pt>
                <c:pt idx="6">
                  <c:v>10.6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8.7</c:v>
                </c:pt>
                <c:pt idx="1">
                  <c:v>13.4</c:v>
                </c:pt>
                <c:pt idx="2">
                  <c:v>13.6</c:v>
                </c:pt>
                <c:pt idx="3">
                  <c:v>8.8</c:v>
                </c:pt>
                <c:pt idx="4">
                  <c:v>8.1</c:v>
                </c:pt>
                <c:pt idx="5">
                  <c:v>5.7</c:v>
                </c:pt>
                <c:pt idx="6">
                  <c:v>8.5</c:v>
                </c:pt>
                <c:pt idx="7">
                  <c:v>6.6</c:v>
                </c:pt>
                <c:pt idx="8">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8.4</c:v>
                </c:pt>
              </c:numCache>
            </c:numRef>
          </c:xVal>
          <c:yVal>
            <c:numRef>
              <c:f>Hoja1!$C$2</c:f>
              <c:numCache>
                <c:formatCode>0.0"x"</c:formatCode>
                <c:ptCount val="1"/>
                <c:pt idx="0">
                  <c:v>8.7</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13.4</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13.6</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8.8</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8.5</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6.6</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9</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117</c:v>
                </c:pt>
                <c:pt idx="1">
                  <c:v>122</c:v>
                </c:pt>
                <c:pt idx="2">
                  <c:v>142</c:v>
                </c:pt>
                <c:pt idx="3">
                  <c:v>155</c:v>
                </c:pt>
                <c:pt idx="4">
                  <c:v>176</c:v>
                </c:pt>
                <c:pt idx="5">
                  <c:v>184</c:v>
                </c:pt>
                <c:pt idx="6">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791</c:v>
                </c:pt>
                <c:pt idx="1">
                  <c:v>2413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44.65</c:v>
                </c:pt>
                <c:pt idx="1">
                  <c:v>63.72</c:v>
                </c:pt>
                <c:pt idx="2">
                  <c:v>70.23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(51,20 – 62,30)</c:v>
                </c:pt>
                <c:pt idx="1">
                  <c:v>Precio objetivo de los analistas (58,70 – 75,00)</c:v>
                </c:pt>
                <c:pt idx="2">
                  <c:v>Comparables: EV/EBITDA NTM (47,56 – 64,34)</c:v>
                </c:pt>
                <c:pt idx="3">
                  <c:v>Comparables: PER NTM (45,63 – 63,58)</c:v>
                </c:pt>
                <c:pt idx="4">
                  <c:v>Transacciones precedentes (EV/EBITDA) (58,66 – 70,08)</c:v>
                </c:pt>
                <c:pt idx="5">
                  <c:v>DCF (WACC y g ± 0,5) (53,68 – 78,28)</c:v>
                </c:pt>
                <c:pt idx="6">
                  <c:v>Escenarios (bajista – alcista) (44,65 – 70,23)</c:v>
                </c:pt>
                <c:pt idx="7">
                  <c:v>DCF con la prima implícita del mercado (4,2 %)</c:v>
                </c:pt>
                <c:pt idx="8">
                  <c:v>Precio actual (54,30)</c:v>
                </c:pt>
              </c:strCache>
            </c:strRef>
          </c:cat>
          <c:val>
            <c:numRef>
              <c:f>Hoja1!$B$2:$B$10</c:f>
              <c:numCache>
                <c:formatCode>#,##0.0</c:formatCode>
                <c:ptCount val="9"/>
                <c:pt idx="0">
                  <c:v>51.2</c:v>
                </c:pt>
                <c:pt idx="1">
                  <c:v>58.7</c:v>
                </c:pt>
                <c:pt idx="2">
                  <c:v>47.56</c:v>
                </c:pt>
                <c:pt idx="3">
                  <c:v>45.63</c:v>
                </c:pt>
                <c:pt idx="4">
                  <c:v>58.66</c:v>
                </c:pt>
                <c:pt idx="5">
                  <c:v>53.68</c:v>
                </c:pt>
                <c:pt idx="6">
                  <c:v>44.65</c:v>
                </c:pt>
                <c:pt idx="7">
                  <c:v>67.18</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(51,20 – 62,30)</c:v>
                </c:pt>
                <c:pt idx="1">
                  <c:v>Precio objetivo de los analistas (58,70 – 75,00)</c:v>
                </c:pt>
                <c:pt idx="2">
                  <c:v>Comparables: EV/EBITDA NTM (47,56 – 64,34)</c:v>
                </c:pt>
                <c:pt idx="3">
                  <c:v>Comparables: PER NTM (45,63 – 63,58)</c:v>
                </c:pt>
                <c:pt idx="4">
                  <c:v>Transacciones precedentes (EV/EBITDA) (58,66 – 70,08)</c:v>
                </c:pt>
                <c:pt idx="5">
                  <c:v>DCF (WACC y g ± 0,5) (53,68 – 78,28)</c:v>
                </c:pt>
                <c:pt idx="6">
                  <c:v>Escenarios (bajista – alcista) (44,65 – 70,23)</c:v>
                </c:pt>
                <c:pt idx="7">
                  <c:v>DCF con la prima implícita del mercado (4,2 %)</c:v>
                </c:pt>
                <c:pt idx="8">
                  <c:v>Precio actual (54,30)</c:v>
                </c:pt>
              </c:strCache>
            </c:strRef>
          </c:cat>
          <c:val>
            <c:numRef>
              <c:f>Hoja1!$C$2:$C$10</c:f>
              <c:numCache>
                <c:formatCode>#,##0.0</c:formatCode>
                <c:ptCount val="9"/>
                <c:pt idx="0">
                  <c:v>11.099999999999994</c:v>
                </c:pt>
                <c:pt idx="1">
                  <c:v>16.299999999999997</c:v>
                </c:pt>
                <c:pt idx="2">
                  <c:v>16.78</c:v>
                </c:pt>
                <c:pt idx="3">
                  <c:v>17.949999999999996</c:v>
                </c:pt>
                <c:pt idx="4">
                  <c:v>11.420000000000002</c:v>
                </c:pt>
                <c:pt idx="5">
                  <c:v>24.6</c:v>
                </c:pt>
                <c:pt idx="6">
                  <c:v>25.580000000000005</c:v>
                </c:pt>
                <c:pt idx="7">
                  <c:v>18.299999999999997</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