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14f100fa66013363b018894108e6a282909ba2"/>
    <w:p>
      <w:pPr>
        <w:pStyle w:val="Heading1"/>
      </w:pPr>
      <w:r>
        <w:t xml:space="preserve">Bloom Energy (BE): análisis growth, 2026-10-18</w:t>
      </w:r>
    </w:p>
    <w:p>
      <w:pPr>
        <w:pStyle w:val="FirstParagraph"/>
      </w:pPr>
      <w:r>
        <w:rPr>
          <w:bCs/>
          <w:b/>
        </w:rPr>
        <w:t xml:space="preserve">Señal: Vender / no comprar</w:t>
      </w:r>
      <w:r>
        <w:t xml:space="preserve"> </w:t>
      </w:r>
      <w:r>
        <w:t xml:space="preserve">(no se tiene: no entra) · Puntuación 76,2/100 · Señales de cambio de tendencia 5/8</w:t>
      </w:r>
      <w:r>
        <w:t xml:space="preserve"> </w:t>
      </w:r>
      <w:r>
        <w:t xml:space="preserve">Precio 221,31 USD (cierre del 16-oct-2026) · Objetivo 12 m 187,0 USD (ponderada −15,5 %, base −3,0 %, bajista −58,7 %, alcista +43,6 %) · Compra hasta 178,10 USD</w:t>
      </w:r>
      <w:r>
        <w:t xml:space="preserve"> </w:t>
      </w:r>
      <w:r>
        <w:t xml:space="preserve">Peso orientativo: no entra · Robustez: FRÁGIL (con pesos 25/50/25 pasa a Mantener, −5,3 %); ninguna variante da Comprar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Bloom fabrica pilas de combustible de óxido sólido que generan electricidad con gas natural (o hidrógeno) en el propio centro de datos, sin esperar a la red. La IA ha convertido un negocio de crecimiento lento en uno que dobla ventas: +166 % en el 2T26 y guía de 2026 de 3.900-4.200 M (+100 %) [1].</w:t>
      </w:r>
    </w:p>
    <w:p>
      <w:pPr>
        <w:numPr>
          <w:ilvl w:val="0"/>
          <w:numId w:val="1001"/>
        </w:numPr>
        <w:pStyle w:val="Compact"/>
      </w:pPr>
      <w:r>
        <w:t xml:space="preserve">Los contratos son de primera fila: Oracle (hasta 2,8 GW, Project Jupiter), AEP (2.650 M y la central de 702 MW para Google en Wyoming), Brookfield (marco de financiación de 25.000 M), Nebius y operadores de alojamiento [9][11][12][13].</w:t>
      </w:r>
    </w:p>
    <w:p>
      <w:pPr>
        <w:numPr>
          <w:ilvl w:val="0"/>
          <w:numId w:val="1001"/>
        </w:numPr>
        <w:pStyle w:val="Compact"/>
      </w:pPr>
      <w:r>
        <w:t xml:space="preserve">Ya es rentable: margen operativo GAAP del 17 % en el 2T26 y flujo de caja libre de 625 M en 12 meses; la regla del 40 sale en 111 [1][4].</w:t>
      </w:r>
    </w:p>
    <w:p>
      <w:pPr>
        <w:numPr>
          <w:ilvl w:val="0"/>
          <w:numId w:val="1001"/>
        </w:numPr>
        <w:pStyle w:val="Compact"/>
      </w:pPr>
      <w:r>
        <w:t xml:space="preserve">Pero el precio descuenta mucho: unas 12,9 veces las ventas de los próximos 12 meses (su mediana de 3 años es 2,7), 40 veces el beneficio bruto y un crecimiento del 31 % al año durante una década. Además, un solo cliente fue el 73 % de las ventas del 2T26 [3].</w:t>
      </w:r>
    </w:p>
    <w:p>
      <w:pPr>
        <w:numPr>
          <w:ilvl w:val="0"/>
          <w:numId w:val="1001"/>
        </w:numPr>
        <w:pStyle w:val="Compact"/>
      </w:pPr>
      <w:r>
        <w:t xml:space="preserve">Con la regla v11 el escenario base da −3 % y el ponderado −15,5 %: buen negocio, precio de más. Pasaría a interesar por debajo de 178 USD (o con ventas que superen con holgura lo que ya descuenta).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vende.</w:t>
      </w:r>
      <w:r>
        <w:t xml:space="preserve"> </w:t>
      </w:r>
      <w:r>
        <w:t xml:space="preserve">El «Energy Server»: módulos de pilas de óxido sólido de unos 300 kW que se apilan hasta cientos de MW. Producto ≈ 88 % de las ventas del 2T26 (935 de 1.065 M); el resto es instalación, mantenimiento y venta de electricidad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nuevo.</w:t>
      </w:r>
      <w:r>
        <w:t xml:space="preserve"> </w:t>
      </w:r>
      <w:r>
        <w:t xml:space="preserve">Genera sin combustión (menos NOx y partículas, permisos más rápidos), con eficiencia eléctrica alta (≈ 55-60 %), modular y desplegable en semanas: Bloom dio energía a un centro de datos de Oracle en 55 días [18]. Ofrece corriente continua de 800 V, la arquitectura que piden los nuevos racks de IA. La tecnología lleva 20 años de desarrollo propio, con fábrica en Fremont (California) de 1 GW al año que pasa a 2 GW a final de 2026 y espacio para 5 GW; cada GW más cuesta 100-150 M y 6-9 meses 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quién.</w:t>
      </w:r>
      <w:r>
        <w:t xml:space="preserve"> </w:t>
      </w:r>
      <w:r>
        <w:t xml:space="preserve">Hiperescaladores y «neoclouds» (Oracle; Google y AWS a través de AEP; Nebius), operadores de alojamiento, empresas eléctricas (AEP) e industria y comercio en EE. UU., Corea (SK) y Taiwán. Brookfield y otros fondos (IDF con Oaktree, MUFG y Morgan Stanley) compran las máquinas y venden la energía al cliente final [11][18].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punto débil técnico.</w:t>
      </w:r>
      <w:r>
        <w:t xml:space="preserve"> </w:t>
      </w:r>
      <w:r>
        <w:t xml:space="preserve">Las pilas usan escandio (óxido de escandio), cuya oferta está concentrada en China; Hunterbrook dijo en julio que Bloom depende de un proveedor chino. Bloom lo niega y dice tener suministro visible para 25 GW al año [6].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operativo GAAP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 28-jul)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3.900-4.200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+93 % a +108 %</w:t>
            </w:r>
          </w:p>
        </w:tc>
      </w:tr>
    </w:tbl>
    <w:p>
      <w:pPr>
        <w:pStyle w:val="BodyText"/>
      </w:pPr>
      <w:r>
        <w:t xml:space="preserve">Fuentes: [1][2][4][5].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12 meses a jun-2026:</w:t>
      </w:r>
      <w:r>
        <w:t xml:space="preserve"> </w:t>
      </w:r>
      <w:r>
        <w:t xml:space="preserve">3.113,2 M, +91,0 %; CAGR propio a 2 años: +53,1 %;</w:t>
      </w:r>
      <w:r>
        <w:t xml:space="preserve"> </w:t>
      </w:r>
      <w:r>
        <w:rPr>
          <w:bCs/>
          <w:b/>
        </w:rPr>
        <w:t xml:space="preserve">aceleración:</w:t>
      </w:r>
      <w:r>
        <w:t xml:space="preserve"> </w:t>
      </w:r>
      <w:r>
        <w:t xml:space="preserve">+104,8 pp (165,5 % frente a una media de 60,7 % en los cuatro trimestres anteriores).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2026 subida dos veces (3.100-3.300 M en febrero → 3.400-3.800 M en abril → 3.900-4.200 M en julio). Lo que queda del año implica +72 % en el 2S26. En 2025 batió su primera guía en 18,6 puntos de crecimiento [1][2][5]. Consenso: 3T26 ≈ 1.070 M, 4T26 ≈ 1.210 M, 2027 ≈ 6.810 M, 2028 ≈ 9.850 M [21].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Calidad del crecimiento.</w:t>
      </w:r>
      <w:r>
        <w:t xml:space="preserve"> </w:t>
      </w:r>
      <w:r>
        <w:t xml:space="preserve">Las ventas son de proyecto y van a saltos (el 4T25 superó al 1T26). No hay retención neta (no es suscripción); la dirección dice que el 80 % de los pedidos de 2025 fueron de clientes que repiten [18]. La cartera de pedidos era de unos 20.000 M en febrero (con servicios e incentivos fiscales); en julio no dio cifra, solo que crece más que las ventas [18].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en 2028: unos 35.000 M</w:t>
      </w:r>
      <w:r>
        <w:t xml:space="preserve"> </w:t>
      </w:r>
      <w:r>
        <w:t xml:space="preserve">(estimación propia): generación en el sitio para centros de datos, 18.000 M en 2026 y 87.000 M en 2032 según MarketsandMarkets (≈ 30.000 M en 2028), más unos 5.000 M de industria, comercio y eléctricas [22]. Penetración ≈ 9 %. La dirección cita 30-40 GW de capacidad nueva de centros de datos en 2027 [18].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Cuota.</w:t>
      </w:r>
      <w:r>
        <w:t xml:space="preserve"> </w:t>
      </w:r>
      <w:r>
        <w:t xml:space="preserve">Dentro de las pilas para centros de datos, Bloom dice tener «más del 90 %» [18]. En el conjunto de proyectos detrás del contador que sigue Cleanview, Caterpillar (motores y turbinas Solar) tiene el 33 % y Bloom el 14 %, subiendo por Oracle [22].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Turbinas de gas</w:t>
      </w:r>
      <w:r>
        <w:t xml:space="preserve"> </w:t>
      </w:r>
      <w:r>
        <w:t xml:space="preserve">(GE Vernova, Siemens Energy, Mitsubishi; aeroderivadas de Solar/Caterpillar): unas 3-4 veces más baratas por kW instalado (≈ 800-1.200 USD/kW frente a ≈ 3.000-4.000 de Bloom) [22], pero con colas de entrega de las grandes hasta 2029-2031 y permisos más lentos. En 2027-2028, cuando se libere capacidad de turbinas, la ventaja de plazo de Bloom se estrecha.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Motores alternativos</w:t>
      </w:r>
      <w:r>
        <w:t xml:space="preserve"> </w:t>
      </w:r>
      <w:r>
        <w:t xml:space="preserve">(Caterpillar, Wärtsilä, Jenbacher, Cummins): baratos y rápidos, con coste nivelado de ≈ 107 USD/MWh a cinco años según Rabobank [22]; son el rival más directo en «energía puente».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Baterías</w:t>
      </w:r>
      <w:r>
        <w:t xml:space="preserve"> </w:t>
      </w:r>
      <w:r>
        <w:t xml:space="preserve">(Tesla Megapack, Fluence): complementan más que sustituyen: no generan, solo almacenan; sirven para picos y respaldo, no para 24 horas sin red.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Otras pilas:</w:t>
      </w:r>
      <w:r>
        <w:t xml:space="preserve"> </w:t>
      </w:r>
      <w:r>
        <w:t xml:space="preserve">FuelCell Energy (carbonato fundido, mucho menor), Doosan y SK (Corea), pilas PEM de hidrógeno (Ballard, Plug) para respaldo. Ninguna tiene hoy la escala de Bloom.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Largo plazo:</w:t>
      </w:r>
      <w:r>
        <w:t xml:space="preserve"> </w:t>
      </w:r>
      <w:r>
        <w:t xml:space="preserve">la red (nuevas líneas y centrales de ciclo combinado, el coste más bajo a 15 años según Rabobank) y los reactores modulares a partir de 2030.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 hoy:</w:t>
      </w:r>
      <w:r>
        <w:t xml:space="preserve"> </w:t>
      </w:r>
      <w:r>
        <w:t xml:space="preserve">plazo (semanas frente a años), permisos (sin combustión), modularidad y corriente continua. Es una ventaja de tiempo, no de coste: si la escasez de energía se alivia, el precio por kW pesará más.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de 2027 de 4,40 a 4,94 USD en 90 días (+12 %); objetivos subidos en octubre (Baird 351, Truist 240, Roth 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y girando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221,31 frente a 216,3 (+2,3 %); la media subía de 109 a 199 en 120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+5,4 % frente a +8,8 % del S&amp;P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EV/ventas ≥ 20 % sobre su mínimo de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≈ 6,4x (dic-2025) a ≈ 12,9x; ojo: es cinco veces su mediana de 3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−0,9 % al 17,1 % (+18 pp); FCF de 12 meses de 44 a 625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Foros alcistas pero analistas divididos (Mantener es el grupo mayor), dos informes de Hunterbrook, demandas colectivas y −36 % desde el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[8][14][20]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compras y 165 M USD de ventas de directivos en 12 meses; la entrada en el S&amp;P 500 es compra pasiva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[15][19]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22-oct; Fremont a 2 GW a final de 2026; hito de Google-AEP en dic-2026; Project 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[4][13][24]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(sube +89,8 % en 12 meses, por debajo del 150 % de la regla; a 6 meses, +6,5 %).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Margen bruto:</w:t>
      </w:r>
      <w:r>
        <w:t xml:space="preserve"> </w:t>
      </w:r>
      <w:r>
        <w:t xml:space="preserve">32,0 % GAAP en el 1S26 (33,4 % en el 2T26; producto 36,5 %, instalación −3,6 %, servicio 18,7 %); guía no GAAP de 2026 ≈ 34 % [1]. Es un margen de fabricante industrial, no de software: por eso el filtro de 35 veces el beneficio bruto pesa tanto.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Regla del 40:</w:t>
      </w:r>
      <w:r>
        <w:t xml:space="preserve"> </w:t>
      </w:r>
      <w:r>
        <w:t xml:space="preserve">91 % de crecimiento + 20 % de margen FCF = 111.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FCF:</w:t>
      </w:r>
      <w:r>
        <w:t xml:space="preserve"> </w:t>
      </w:r>
      <w:r>
        <w:t xml:space="preserve">625 M en 12 meses (flujo de explotación 738 M − inversiones 113 M), frente a 44 M un año antes: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 </w:t>
      </w:r>
      <w:r>
        <w:t xml:space="preserve">[1][2][4]. La dirección habla de 375 M o más de flujo de explotación anual como nuevo suelo [18].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Apalancamiento operativo:</w:t>
      </w:r>
      <w:r>
        <w:t xml:space="preserve"> </w:t>
      </w:r>
      <w:r>
        <w:t xml:space="preserve">los gastos operativos crecieron un 57 % y las ventas un 166 % en el 2T26; margen operativo no GAAP del 22,5 %; guía de 800-900 M de resultado operativo no GAAP en 2026 (≈ 21 % de margen)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Matiz contable:</w:t>
      </w:r>
      <w:r>
        <w:t xml:space="preserve"> </w:t>
      </w:r>
      <w:r>
        <w:t xml:space="preserve">parte de las ventas van a sociedades conjuntas con Brookfield (373 M de ventas a partes vinculadas en el 1T26) y el warrant de Oracle (306 M de valor) se contabiliza como menos ingresos a lo largo del contrato; Bloom guarda el beneficio no realizado con esas sociedades (19,6 M) [1][3]. Es correcto según US GAAP, pero Roth critica la poca transparencia [9].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Caja:</w:t>
      </w:r>
      <w:r>
        <w:t xml:space="preserve"> </w:t>
      </w:r>
      <w:r>
        <w:t xml:space="preserve">2.666,9 M a 30-jun-2026, más una línea de crédito de 600 M sin disponer [1][26].</w:t>
      </w:r>
      <w:r>
        <w:t xml:space="preserve"> </w:t>
      </w:r>
      <w:r>
        <w:rPr>
          <w:bCs/>
          <w:b/>
        </w:rPr>
        <w:t xml:space="preserve">Pista: FCF positivo.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Convertibles:</w:t>
      </w:r>
      <w:r>
        <w:t xml:space="preserve"> </w:t>
      </w:r>
      <w:r>
        <w:t xml:space="preserve">2.500 M al 0 % con vencimiento en nov-2030 y conversión a 194,97 USD (12,8 M de acciones; hasta 19,6 M con la cláusula de cambio de control); quedan 26,7 M de los verdes al 3 % de 2029 (conversión a 20,84 USD) y casi nada de los de 2028. En el 1S26 se convirtieron 147 M de los verdes [3]. Con la acción a 221 USD, el convertible de 2030 está en dinero: se cuenta como acciones (en las 323,3 M diluidas), no como deuda.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Dilución: +8,3 % en 12 meses</w:t>
      </w:r>
      <w:r>
        <w:t xml:space="preserve"> </w:t>
      </w:r>
      <w:r>
        <w:t xml:space="preserve">(323,3 M de acciones diluidas frente a 298,5 M un año antes), sobre todo por el convertible de 2030 (2.500 M ya cobrados) y el warrant de Oracle (3,53 M de acciones a 113,28 USD, ejercido sin caja: 2,15 M de acciones nuevas) [3][6]. Puntúa 0 de 5. La dilución recurrente es menor: pagos en acciones del 5,5 % de las ventas (100 M en el 1S26), muy por debajo de la alerta del 15 %.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Otros pasivos:</w:t>
      </w:r>
      <w:r>
        <w:t xml:space="preserve"> </w:t>
      </w:r>
      <w:r>
        <w:t xml:space="preserve">obligaciones de financiación de 206 M (ventas con arrendamiento posterior antiguas) y garantías acumuladas de 78 M, que se han cuadruplicado en seis meses con el volumen [1].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Fundador al mando:</w:t>
      </w:r>
      <w:r>
        <w:t xml:space="preserve"> </w:t>
      </w:r>
      <w:r>
        <w:t xml:space="preserve">KR Sridhar, consejero delegado y presidente desde 2001 (≈ 2,2 M de acciones, &lt; 1 % del capital). Nuevo director financiero desde el 13-abr-2026: Simon Edwards (antes en Groq, ServiceMax y GE) [26]. En el consejo, Jeffrey Immelt (ex-GE) y John Chambers (ex-Cisco).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Historial (4/5):</w:t>
      </w:r>
      <w:r>
        <w:t xml:space="preserve"> </w:t>
      </w:r>
      <w:r>
        <w:t xml:space="preserve">cinco trimestres seguidos batiendo el consenso, la guía de 2025 batida por 18,6 puntos y la de 2026 subida dos veces [1][2][5]. No es un 5 porque antes de 2024 la empresa incumplía a menudo y la guía de 2024 se quedó en la parte baja.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Dirección y capital (3/5):</w:t>
      </w:r>
      <w:r>
        <w:t xml:space="preserve"> </w:t>
      </w:r>
      <w:r>
        <w:t xml:space="preserve">buena financiación (convertible al 0 % con prima, crédito de 600 M, financiación de clientes por Brookfield e IDF sin poner balance), pero ventas de directivos de 165 M sin una sola compra, un paquete de 319.082 acciones por objetivos al consejero delegado en junio, dos informes bajistas que acusan a la empresa de contabilidad agresiva y una demanda colectiva abierta [14][19][26].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Valor de empresa ≈ 69.100 M (323,3 M de acciones × 221,31 + 214 M de deuda − 2.667 M de caja). Ventas de los próximos 12 meses ≈ 5.340 M (consenso; +71,5 %).</w:t>
      </w:r>
      <w:r>
        <w:t xml:space="preserve"> </w:t>
      </w:r>
      <w:r>
        <w:rPr>
          <w:bCs/>
          <w:b/>
        </w:rPr>
        <w:t xml:space="preserve">EV/ventas NTM 12,9x; EV/beneficio bruto NTM 40,4x</w:t>
      </w:r>
      <w:r>
        <w:t xml:space="preserve"> </w:t>
      </w:r>
      <w:r>
        <w:t xml:space="preserve">(el máximo de la regla es 35x). Como contraste, EV/EBITDA NTM ≈ 54x.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 (12 m a jun-2028)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187,0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−15,5 %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Ventas: las menores entre la proyección mecánica (crecimiento de partida topado en el 60 %: 5.079 / 7.521 / 8.632) y la del analista (5.500 / 7.500 / 9.500). El consenso para esa ventana ronda los 8.330 M: la base es algo más prudente que el mercado.</w:t>
      </w:r>
    </w:p>
    <w:p>
      <w:pPr>
        <w:numPr>
          <w:ilvl w:val="0"/>
          <w:numId w:val="1009"/>
        </w:numPr>
        <w:pStyle w:val="Compact"/>
      </w:pPr>
      <w:r>
        <w:t xml:space="preserve">Múltiplo base: el de hoy rebajado por la desaceleración (de +71,5 % a +40,4 %: factor 0,75); bajista × 0,6; alcista × 1,3.</w:t>
      </w:r>
    </w:p>
    <w:p>
      <w:pPr>
        <w:numPr>
          <w:ilvl w:val="0"/>
          <w:numId w:val="1009"/>
        </w:numPr>
        <w:pStyle w:val="Compact"/>
      </w:pPr>
      <w:r>
        <w:t xml:space="preserve">Acciones dentro de 12 meses: 323,3 M × 1,083 (dilución pasada; la futura, sin ampliaciones, sería del 1-2 %).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Probabilidades 35/50/15</w:t>
      </w:r>
      <w:r>
        <w:t xml:space="preserve"> </w:t>
      </w:r>
      <w:r>
        <w:t xml:space="preserve">(un solo producto, ≈ 88 % de las ventas, y un cliente con el 73 % del trimestre). Con 25/50/25 la ponderada sería −5,3 % (Mantener): la señal es frágil en ese punto, pero no hay variante que dé Comprar.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Asimetría 0,7:</w:t>
      </w:r>
      <w:r>
        <w:t xml:space="preserve"> </w:t>
      </w:r>
      <w:r>
        <w:t xml:space="preserve">se puede perder más de lo que se puede ganar.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objetivo medio de 285,4 USD (29 analistas, del 97 al 380), +29 % [8]. Suponen que el múltiplo se mantiene y las ventas de 2028 se acercan a 9.850 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con un 15 % de margen FCF, un descuento del 10 % y una salida a 20 veces el FCF, el precio exige crecer las ventas un 31 % al año durante 10 años (≈ 47.000 M en 2036).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Compra hasta 178,10 USD</w:t>
      </w:r>
      <w:r>
        <w:t xml:space="preserve"> </w:t>
      </w:r>
      <w:r>
        <w:t xml:space="preserve">(−19,5 %): el precio que da una ponderada del 5 % y un bajista no peor que −50 %.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 (14-17 oct):</w:t>
      </w:r>
      <w:r>
        <w:t xml:space="preserve"> </w:t>
      </w:r>
      <w:r>
        <w:t xml:space="preserve">sentimiento alcista (66); 14 de 20 mensajes recientes compran la caída («way oversold», objetivo de 300 USD tras resultados) y ninguno es bajista [20]. Tono de fe: se descartan el PER y la valoración.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Reddit:</w:t>
      </w:r>
      <w:r>
        <w:t xml:space="preserve"> </w:t>
      </w:r>
      <w:r>
        <w:t xml:space="preserve">no se puede leer desde este entorno. Por la prensa que recoge esos foros, Bloom es uno de los nombres favoritos de la «energía para IA», junto con Oklo, Vistra o GE Vernova.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 y prensa:</w:t>
      </w:r>
      <w:r>
        <w:t xml:space="preserve"> </w:t>
      </w:r>
      <w:r>
        <w:t xml:space="preserve">divididos. Artículos bajistas («los alcistas deben replantearse un PER de 80») y alcistas (TIKR y Motley Fool, escenarios de 800-900 USD en 2030) [25]. Roth: Neutral por valoración y transparencia 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Castellano:</w:t>
      </w:r>
      <w:r>
        <w:t xml:space="preserve"> </w:t>
      </w:r>
      <w:r>
        <w:t xml:space="preserve">no hay hilo activo en Rankia; Investing.com ES recoge el debate de la valoración y TIKR en castellano repite las tesis alcistas [25].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Posiciones cortas:</w:t>
      </w:r>
      <w:r>
        <w:t xml:space="preserve"> </w:t>
      </w:r>
      <w:r>
        <w:t xml:space="preserve">≈ 7,4 % del capital flotante (sep-2026), al alza; Hunterbrook declaró posición bajista [6][23].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minorista está más optimista que los analistas, y la acción, mucho más volátil que el negocio (volatilidad de 60 días del 99 %, beta ≈ 3,8). Es el perfil donde el precio cae más que el negocio cuando gira la percepción.</w:t>
      </w:r>
    </w:p>
    <w:bookmarkEnd w:id="29"/>
    <w:bookmarkStart w:id="30" w:name="bis.-precio-y-noticias-antes-de-decidir"/>
    <w:p>
      <w:pPr>
        <w:pStyle w:val="Heading2"/>
      </w:pPr>
      <w:r>
        <w:t xml:space="preserve">10 bis. Precio y noticias antes de decidir</w:t>
      </w:r>
    </w:p>
    <w:p>
      <w:pPr>
        <w:pStyle w:val="FirstParagraph"/>
      </w:pPr>
      <w:r>
        <w:rPr>
          <w:bCs/>
          <w:b/>
        </w:rPr>
        <w:t xml:space="preserve">Movimiento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movimiento.mjs BE</w:t>
      </w:r>
      <w:r>
        <w:t xml:space="preserve">, 16-oct-2026): 1 m −21,2 %, 3 m +12,3 %, 6 m +6,5 %, 12 m +89,8 %; −36,0 % desde el máximo de 52 semanas e histórico (345,85 al cierre del 22-jun-2026), +187,5 % sobre el mínimo (76,97, 17-dic-2025); media de 200 sesiones 216,3 (+2,3 %), tendencia alcista; volatilidad de 60 días del 99 %. Aviso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(caída fuerte de un mes): explicada abajo.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Brookfield, hasta 5.000 M (13-oct, +26 %); resultados del 3T25 y acuerdo con Oracle 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nov-dic-2025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de valores de IA; convertible de 2.500 M [26]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AEP, unos 2.650 M en pilas (8-ene); resultados del 4T25 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hasta 2,8 GW (14-abr, +24 %); 1T26 +130 % (29-abr, +27 %) [2][12]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de Hunterbrook (8 y 30-jul); venta del sector antes de resultados; el 2T26 recupera parte [6][14]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en el S&amp;P 500 (4-sep); Oracle reafirma Jupiter tras el susto de fuerza mayor [15][16]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Inflación y tipos al alza, venta de alta beta e IA; −9,3 % el 13-oct sin noticia propia; ninguna noticia de negocio negativa [9][17]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3T26 tras el cierre; consenso de ventas ≈ 1.070 M y BPA de 0,71 [21][24]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Baird 351 (Comprar), Truist 240 (Mantener), Roth 260 (Neutral); objetivo medio 285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AEP y Google: compra de energía a 20 años de una central de Bloom de 702 MW en Wyoming; hito en dic-2026 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confirma a Bloom en Project Jupiter (hasta 2,45 GW); LS Electric, pedido de 139 M [9][17]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24/25-sep-2026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mayor de Oracle en Jupiter; reafirmado al día siguiente; gasoducto a feb-2027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en el S&amp;P 500 el 21-sep 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Hunterbrook y demandas colectivas (compras del 27-feb-2025 al 8-jul-2026); sin decisión con fecha [6][14]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Brookfield amplía el marco a 25.000 M (financiación, no ventas comprometidas)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M de ventas en 12 meses, ninguna compra; planes 10b5-1 del consejero delegado e Immelt 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 y convertible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 de Oracle ejercido (2,15 M de acciones) y folleto de reventa; convertible 2030 en las acciones [3][6]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Veredicto global: no cambia.</w:t>
      </w:r>
      <w:r>
        <w:t xml:space="preserve"> </w:t>
      </w:r>
      <w:r>
        <w:t xml:space="preserve">No hay colocación, ampliación ni decisión judicial con fecha pendiente; los resultados del 22-oct no aplazan nada (regla 11). La caída de octubre es de mercado, con noticias de negocio positivas. La señal la decide la valoración, no las noticias.</w:t>
      </w:r>
    </w:p>
    <w:bookmarkEnd w:id="30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Alertas del motor: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Múltiplo de hoy (12,9x) &gt; 2 × su mediana de 3 años (2,7x).</w:t>
      </w:r>
      <w:r>
        <w:t xml:space="preserve"> </w:t>
      </w:r>
      <w:r>
        <w:t xml:space="preserve">El objetivo supone que no vuelve a la media; en el backtest neutral, 0 de 7 casos así batieron al Nasdaq-100. Se explica en parte porque el negocio ha cambiado (de +10 % a +100 % de crecimiento), pero el bajista (5,8x) sigue el doble de su mediana: puede caer más.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Exceso sobre la guía de 18,6 pp.</w:t>
      </w:r>
      <w:r>
        <w:t xml:space="preserve"> </w:t>
      </w:r>
      <w:r>
        <w:t xml:space="preserve">El recorte por la guía no actúa; aquí manda el tope del 60 % y las ventas del analista. No cambia la señal.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Dos clientes suman el 65 % de las ventas del 1S26 (uno, el 73 % del 2T26).</w:t>
      </w:r>
      <w:r>
        <w:t xml:space="preserve"> </w:t>
      </w:r>
      <w:r>
        <w:t xml:space="preserve">Es el riesgo central: un retraso en Oracle (Project Jupiter) o un cambio en Brookfield mueve un trimestre entero. Por eso las probabilidades 35/50/15.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Riesgo de la IA (valoración explícita):</w:t>
      </w:r>
      <w:r>
        <w:t xml:space="preserve"> </w:t>
      </w:r>
      <w:r>
        <w:t xml:space="preserve">la IA</w:t>
      </w:r>
      <w:r>
        <w:t xml:space="preserve"> </w:t>
      </w:r>
      <w:r>
        <w:rPr>
          <w:bCs/>
          <w:b/>
        </w:rPr>
        <w:t xml:space="preserve">favorece</w:t>
      </w:r>
      <w:r>
        <w:t xml:space="preserve"> </w:t>
      </w:r>
      <w:r>
        <w:t xml:space="preserve">el negocio hoy: es casi toda la demanda nueva, y la falta de red hace que el plazo valga más que el precio por kW. Pero eso convierte a Bloom en una apuesta apalancada al ciclo de inversión en centros de datos: un frenazo del gasto en IA, modelos más eficientes que pidan menos energía (como el susto de DeepSeek o Kimi) o una red que se ponga al día dejarían a Bloom con capacidad de sobra y sin la prima de plazo. El propio consejero delegado admitió incertidumbre sobre el ritmo del gasto [9]. No hay amenaza de sustitución por la IA.</w:t>
      </w:r>
      <w:r>
        <w:t xml:space="preserve"> </w:t>
      </w:r>
      <w:r>
        <w:rPr>
          <w:bCs/>
          <w:b/>
        </w:rPr>
        <w:t xml:space="preserve">Efecto en la tesis:</w:t>
      </w:r>
      <w:r>
        <w:t xml:space="preserve"> </w:t>
      </w:r>
      <w:r>
        <w:t xml:space="preserve">sube el bajista (por eso 35 %), no el base.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Competencia:</w:t>
      </w:r>
      <w:r>
        <w:t xml:space="preserve"> </w:t>
      </w:r>
      <w:r>
        <w:t xml:space="preserve">turbinas de gas (más baratas por kW cuando se liberen las colas, 2028-2030), motores de Caterpillar y Wärtsilä (rápidos), y a largo plazo la red y los reactores modulares.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Escandio y China:</w:t>
      </w:r>
      <w:r>
        <w:t xml:space="preserve"> </w:t>
      </w:r>
      <w:r>
        <w:t xml:space="preserve">suministro concentrado; Bloom dice no depender de China, Hunterbrook dice lo contrario. Una restricción de exportación sería un golpe directo a la producción.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Contabilidad y gobierno:</w:t>
      </w:r>
      <w:r>
        <w:t xml:space="preserve"> </w:t>
      </w:r>
      <w:r>
        <w:t xml:space="preserve">ventas a sociedades conjuntas con Brookfield, warrant de Oracle como menos ingresos, demandas colectivas, 165 M de ventas de directivos.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Ejecución a escala:</w:t>
      </w:r>
      <w:r>
        <w:t xml:space="preserve"> </w:t>
      </w:r>
      <w:r>
        <w:t xml:space="preserve">doblar la fábrica, instalar cientos de MW por cliente y el margen de instalación todavía negativo; las garantías acumuladas se cuadruplican.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Volatilidad:</w:t>
      </w:r>
      <w:r>
        <w:t xml:space="preserve"> </w:t>
      </w:r>
      <w:r>
        <w:t xml:space="preserve">beta ≈ 3,8; caídas de un mes del 32-43 % ya vistas este año.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Señales de venta concretas (tesis rota):</w:t>
      </w:r>
      <w:r>
        <w:t xml:space="preserve"> </w:t>
      </w:r>
      <w:r>
        <w:t xml:space="preserve">dos trimestres seguidos con el crecimiento muy por debajo de la guía; cancelación o reducción de Oracle o de AEP-Google; restricción del escandio; reexpresión de cuentas o un hallazgo del regulador.</w:t>
      </w:r>
    </w:p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22-oct-2026:</w:t>
      </w:r>
      <w:r>
        <w:t xml:space="preserve"> </w:t>
      </w:r>
      <w:r>
        <w:t xml:space="preserve">resultados del 3T26 (consenso de 1.070 M y BPA de 0,71) y, quizá, primera señal sobre 2027 [24].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4T26:</w:t>
      </w:r>
      <w:r>
        <w:t xml:space="preserve"> </w:t>
      </w:r>
      <w:r>
        <w:t xml:space="preserve">Fremont a 2 GW anuales [4]; hito de compra de energía de Google en la central de AEP en Wyoming (dic-2026) [13].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Feb-2027:</w:t>
      </w:r>
      <w:r>
        <w:t xml:space="preserve"> </w:t>
      </w:r>
      <w:r>
        <w:t xml:space="preserve">gasoducto de Project Jupiter (Oracle) y resultados del 4T26, con la guía de 2027 [16].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2027-2028:</w:t>
      </w:r>
      <w:r>
        <w:t xml:space="preserve"> </w:t>
      </w:r>
      <w:r>
        <w:t xml:space="preserve">construcción de la central de 702 MW de Wyoming; nuevos pedidos con el marco de 25.000 M de Brookfield [11][13].</w:t>
      </w:r>
    </w:p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entra:</w:t>
      </w:r>
      <w:r>
        <w:t xml:space="preserve"> </w:t>
      </w:r>
      <w:r>
        <w:t xml:space="preserve">la señal es Vender o no comprar (ponderada −15,5 %) y además no pasa el filtro de valoración (40,4 veces el beneficio bruto frente al máximo de 35).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Pasaría a Comprar</w:t>
      </w:r>
      <w:r>
        <w:t xml:space="preserve"> </w:t>
      </w:r>
      <w:r>
        <w:t xml:space="preserve">por debajo de 178,10 USD con las cifras de este informe (si la puntuación y las demás condiciones se mantienen), o con ventas y guía de 2027 claramente por encima del consenso que sostuvieran el múltiplo. Con la volatilidad de la acción, 178 USD queda a una caída de un mes normal (−20 %): merece vigilarla tras los resultados del 22-oct.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Frente a la cartera:</w:t>
      </w:r>
      <w:r>
        <w:t xml:space="preserve"> </w:t>
      </w:r>
      <w:r>
        <w:t xml:space="preserve">en el sector de interés del usuario (energía y electricidad para centros de datos), Bloom es la opción de más crecimiento y más riesgo, frente a industriales ya rentables y más baratos como nVent, Quanta o GE Vernova (informes growth del 14-15 oct). Si llegara a Comprar, sería con peso bajo (3,5 %, el mínimo del bolsillo growth y nunca menos de 1.000 EUR), entera y de una vez, por el bajista del −59 % (G6).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+91 % en 12 meses, CAGR de 2 años del 53 %, aceleración de +105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del 8,9 % (3),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 8 señales;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del 32 % (2), regla del 40 de 111 (5),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(5); dilución del 8,3 %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Bloom Energy, 8-K del 28-jul-2026, ex. 99.1: resultados del 2T26 y guía de 2026 (SEC).</w:t>
      </w:r>
      <w:r>
        <w:t xml:space="preserve"> </w:t>
      </w:r>
      <w:r>
        <w:t xml:space="preserve">[2] Bloom Energy, 8-K del 28-abr-2026, ex. 99.1: resultados del 1T26 (SEC).</w:t>
      </w:r>
      <w:r>
        <w:t xml:space="preserve"> </w:t>
      </w:r>
      <w:r>
        <w:t xml:space="preserve">[3] Bloom Energy, 10-Q y 10-Q/A del 2T26 (28 y 29-jul-2026): clientes, convertibles, warrant de Oracle (SEC).</w:t>
      </w:r>
      <w:r>
        <w:t xml:space="preserve"> </w:t>
      </w:r>
      <w:r>
        <w:t xml:space="preserve">[4] SEC companyfacts XBRL (CIK 1664703), trimestres de 2023-2026; 10-K de 2025 (9-feb-2026): capacidad de Fremont.</w:t>
      </w:r>
      <w:r>
        <w:t xml:space="preserve"> </w:t>
      </w:r>
      <w:r>
        <w:t xml:space="preserve">[5] Bloom Energy, 8-K del 27-feb-2025, ex. 99.1: guía de 2025.</w:t>
      </w:r>
      <w:r>
        <w:t xml:space="preserve"> </w:t>
      </w:r>
      <w:r>
        <w:t xml:space="preserve">[6] Bloom Energy, 8-K del 13-abr-2026 (warrant de Oracle) y del 9-jul-2026 (respuesta a Hunterbrook).</w:t>
      </w:r>
      <w:r>
        <w:t xml:space="preserve"> </w:t>
      </w:r>
      <w:r>
        <w:t xml:space="preserve">[7] Yahoo Finance, precios de BE y SPY;</w:t>
      </w:r>
      <w:r>
        <w:t xml:space="preserve"> </w:t>
      </w:r>
      <w:r>
        <w:rPr>
          <w:rStyle w:val="VerbatimChar"/>
        </w:rPr>
        <w:t xml:space="preserve">movimiento.mjs</w:t>
      </w:r>
      <w:r>
        <w:t xml:space="preserve"> </w:t>
      </w:r>
      <w:r>
        <w:t xml:space="preserve">y cálculo propio, 16-oct-2026.</w:t>
      </w:r>
      <w:r>
        <w:t xml:space="preserve"> </w:t>
      </w:r>
      <w:r>
        <w:t xml:space="preserve">[8] StockAnalysis, previsiones y objetivos de BE, 18-oct-2026.</w:t>
      </w:r>
      <w:r>
        <w:t xml:space="preserve"> </w:t>
      </w:r>
      <w:r>
        <w:t xml:space="preserve">[9] 24/7 Wall St., «Bloom Energy Got Good News From Oracle and Fell Anyway», 15-oct-2026.</w:t>
      </w:r>
      <w:r>
        <w:t xml:space="preserve"> </w:t>
      </w:r>
      <w:r>
        <w:t xml:space="preserve">[10] Trefis, «What Is Driving The Move In Bloom Energy Stock?», 13-oct-2026.</w:t>
      </w:r>
      <w:r>
        <w:t xml:space="preserve"> </w:t>
      </w:r>
      <w:r>
        <w:t xml:space="preserve">[11] Business Wire, Brookfield y Bloom amplían la alianza a 25.000 M, 30-jun-2026.</w:t>
      </w:r>
      <w:r>
        <w:t xml:space="preserve"> </w:t>
      </w:r>
      <w:r>
        <w:t xml:space="preserve">[12] MarketScreener y Stockopedia, Oracle hasta 2,8 GW, 13-14-abr-2026.</w:t>
      </w:r>
      <w:r>
        <w:t xml:space="preserve"> </w:t>
      </w:r>
      <w:r>
        <w:t xml:space="preserve">[13] POWER magazine, central de AEP para Google con Bloom (702 MW), 15-oct-2026; Stockopedia, AEP 2.650 M, ene-2026.</w:t>
      </w:r>
      <w:r>
        <w:t xml:space="preserve"> </w:t>
      </w:r>
      <w:r>
        <w:t xml:space="preserve">[14] The Motley Fool, «Why Bloom Energy Stock Crashed in July», 11-ago-2026; Seeking Alpha y Barchart (Hunterbrook); avisos de demandas colectivas.</w:t>
      </w:r>
      <w:r>
        <w:t xml:space="preserve"> </w:t>
      </w:r>
      <w:r>
        <w:t xml:space="preserve">[15] S&amp;P Dow Jones Indices, altas en el S&amp;P 500, 4-sep-2026.</w:t>
      </w:r>
      <w:r>
        <w:t xml:space="preserve"> </w:t>
      </w:r>
      <w:r>
        <w:t xml:space="preserve">[16] TradingNews y MarketBeat, fuerza mayor de Oracle y rebote, 24-25-sep-2026.</w:t>
      </w:r>
      <w:r>
        <w:t xml:space="preserve"> </w:t>
      </w:r>
      <w:r>
        <w:t xml:space="preserve">[17] Slicast, caída del 13-oct-2026; KED Global vía Slicast (LS Electric).</w:t>
      </w:r>
      <w:r>
        <w:t xml:space="preserve"> </w:t>
      </w:r>
      <w:r>
        <w:t xml:space="preserve">[18] Investing.com, transcripción de la conferencia del 2T26, 28-jul-2026.</w:t>
      </w:r>
      <w:r>
        <w:t xml:space="preserve"> </w:t>
      </w:r>
      <w:r>
        <w:t xml:space="preserve">[19] SEC, Form 4 de directivos y consejeros, oct-2025 a oct-2026 (suma propia).</w:t>
      </w:r>
      <w:r>
        <w:t xml:space="preserve"> </w:t>
      </w:r>
      <w:r>
        <w:t xml:space="preserve">[20] StockTwits, $BE, 14-17-oct-2026.</w:t>
      </w:r>
      <w:r>
        <w:t xml:space="preserve"> </w:t>
      </w:r>
      <w:r>
        <w:t xml:space="preserve">[21] Yahoo Finance y Zacks (consenso del 3T26, 4T26 y 2027) y Simply Wall St (2028), oct-2026.</w:t>
      </w:r>
      <w:r>
        <w:t xml:space="preserve"> </w:t>
      </w:r>
      <w:r>
        <w:t xml:space="preserve">[22] Datacentres.com Research (19-ago-2026), Cleanview, Rabobank (may-2026) y MarketsandMarkets.</w:t>
      </w:r>
      <w:r>
        <w:t xml:space="preserve"> </w:t>
      </w:r>
      <w:r>
        <w:t xml:space="preserve">[23] Benzinga, sentimiento y posiciones cortas de BE, sep-2026.</w:t>
      </w:r>
      <w:r>
        <w:t xml:space="preserve"> </w:t>
      </w:r>
      <w:r>
        <w:t xml:space="preserve">[24] Bloom Energy, fecha de resultados del 3T26 (22-oct-2026), nota del 12-oct-2026.</w:t>
      </w:r>
      <w:r>
        <w:t xml:space="preserve"> </w:t>
      </w:r>
      <w:r>
        <w:t xml:space="preserve">[25] Seeking Alpha, The Motley Fool, TIKR e Investing.com ES (artículos y foros), 2026.</w:t>
      </w:r>
      <w:r>
        <w:t xml:space="preserve"> </w:t>
      </w:r>
      <w:r>
        <w:t xml:space="preserve">[26] Bloom Energy, 8-K del 4-nov-2025 (convertible 2030), 19-dic-2025 (crédito), 26-mar-2026 (director financiero) y 17/22-jun-2026 (acciones por objetivos del consejero delegado).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2026-10-18T16:25:27Z</dcterms:created>
  <dcterms:modified xsi:type="dcterms:W3CDTF">2026-10-18T16:25:27Z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