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5923042e25bfd752fcb6f2f585a52cc54663a4"/>
    <w:p>
      <w:pPr>
        <w:pStyle w:val="Heading1"/>
      </w:pPr>
      <w:r>
        <w:t xml:space="preserve">Fervo Energy (FRVO): análisis growth, 18-oct-2026</w:t>
      </w:r>
    </w:p>
    <w:p>
      <w:pPr>
        <w:pStyle w:val="FirstParagraph"/>
      </w:pPr>
      <w:r>
        <w:rPr>
          <w:bCs/>
          <w:b/>
        </w:rPr>
        <w:t xml:space="preserve">Señal: Vender (no comprar; no está en cartera)</w:t>
      </w:r>
      <w:r>
        <w:t xml:space="preserve"> </w:t>
      </w:r>
      <w:r>
        <w:t xml:space="preserve">· Puntuación 29,8/100 · Señales de cambio de tendencia 1/8</w:t>
      </w:r>
      <w:r>
        <w:t xml:space="preserve"> </w:t>
      </w:r>
      <w:r>
        <w:t xml:space="preserve">Precio 9,68 USD (cierre del 16-oct) · Objetivo 12 m 1,6 USD (ponderada −83,5 %, base −83,2 %, bajista −83,3 %, alcista −83,1 %) · Compra hasta 1,5 USD</w:t>
      </w:r>
      <w:r>
        <w:t xml:space="preserve"> </w:t>
      </w:r>
      <w:r>
        <w:t xml:space="preserve">Peso orientativo: no entra</w:t>
      </w:r>
    </w:p>
    <w:p>
      <w:pPr>
        <w:pStyle w:val="BlockText"/>
      </w:pPr>
      <w:r>
        <w:rPr>
          <w:bCs/>
          <w:b/>
        </w:rPr>
        <w:t xml:space="preserve">Lectura en una línea.</w:t>
      </w:r>
      <w:r>
        <w:t xml:space="preserve"> </w:t>
      </w:r>
      <w:r>
        <w:t xml:space="preserve">El método growth no sabe valorar una empresa casi sin ventas: con 0,3 M USD de ventas en 12 meses, la proyección mecánica no tiene de dónde crecer y el objetivo se queda en la caja que quedará tras un año de inversión. La señal «Vender» dice «el método no puede justificar este precio», no «la empresa no vale nada». Incluso con el supuesto más generoso razonable (sección 9) la señal sería Mantener, sin compra. Además hay dos hechos pendientes: el fin del bloqueo el 9-nov y la respuesta al informe bajista de Morpheus.</w:t>
      </w:r>
    </w:p>
    <w:bookmarkStart w:id="20" w:name="la-tesis-en-cinco-líneas"/>
    <w:p>
      <w:pPr>
        <w:pStyle w:val="Heading2"/>
      </w:pPr>
      <w:r>
        <w:t xml:space="preserve">1. La tesis en cinco líneas</w:t>
      </w:r>
    </w:p>
    <w:p>
      <w:pPr>
        <w:numPr>
          <w:ilvl w:val="0"/>
          <w:numId w:val="1001"/>
        </w:numPr>
        <w:pStyle w:val="Compact"/>
      </w:pPr>
      <w:r>
        <w:t xml:space="preserve">Fervo aplica a la geotermia lo que el petróleo de esquisto aprendió en perforación horizontal y fracturación: pozos de 3.000-6.000 metros en roca caliente seca, con agua en circuito. Así consigue electricidad firme, las 24 horas y sin emisiones, en sitios sin acuífero natural [2][4].</w:t>
      </w:r>
    </w:p>
    <w:p>
      <w:pPr>
        <w:numPr>
          <w:ilvl w:val="0"/>
          <w:numId w:val="1001"/>
        </w:numPr>
        <w:pStyle w:val="Compact"/>
      </w:pPr>
      <w:r>
        <w:t xml:space="preserve">Ya funciona a escala comercial: el GeoBlock 1 de Cape Station (Utah, 33 MW netos) llegó a la operación comercial el 30-sep-2026, un día antes de lo contratado. Tiene 1.054 MW de contratos vinculantes (Google 396 MW, SCE, Clean Power Alliance, Shell) y unos 11.900 M USD de cartera [6][8][20].</w:t>
      </w:r>
    </w:p>
    <w:p>
      <w:pPr>
        <w:numPr>
          <w:ilvl w:val="0"/>
          <w:numId w:val="1001"/>
        </w:numPr>
        <w:pStyle w:val="Compact"/>
      </w:pPr>
      <w:r>
        <w:t xml:space="preserve">Pero ventas casi no hay todavía (0,312 M USD en 12 meses), la quema de caja va a más (FCF de 12 meses de −733 M; capex de ~1.300 M en 2026) y el coste por kW (~7.000 USD) aún tiene que bajar a 5.500 en la Fase II [1][2].</w:t>
      </w:r>
    </w:p>
    <w:p>
      <w:pPr>
        <w:numPr>
          <w:ilvl w:val="0"/>
          <w:numId w:val="1001"/>
        </w:numPr>
        <w:pStyle w:val="Compact"/>
      </w:pPr>
      <w:r>
        <w:t xml:space="preserve">La acción ha caído un 77 % desde su máximo (42,50 USD, 21-may) por un precio de salida exigente, un recorte de transmisión en 2027 que se conoció tras la OPV, un capex creciente, un informe bajista sin respuesta y el bloqueo que vence el 9-nov (sección 10 bis).</w:t>
      </w:r>
    </w:p>
    <w:p>
      <w:pPr>
        <w:numPr>
          <w:ilvl w:val="0"/>
          <w:numId w:val="1001"/>
        </w:numPr>
        <w:pStyle w:val="Compact"/>
      </w:pPr>
      <w:r>
        <w:t xml:space="preserve">Para el método no hay compra posible hasta que haya ventas medibles: el objetivo mecánico equivale a la caja neta. Sigue en el radar como candidata para cuando el GeoBlock 2-3 y el primer año de ventas den una base (resultados del 4T26 y del 1T27).</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vende:</w:t>
      </w:r>
      <w:r>
        <w:t xml:space="preserve"> </w:t>
      </w:r>
      <w:r>
        <w:t xml:space="preserve">electricidad firme y limpia mediante contratos de compraventa (PPA) a 15-20 años con distribuidoras (SCE, Clean Power Alliance, Desert Community Energy), una petrolera (Shell) y grandes tecnológicas (Google). Además vende los créditos fiscales de la ley de inversión (IRA/OBBB), por separado [2][4].</w:t>
      </w:r>
    </w:p>
    <w:p>
      <w:pPr>
        <w:numPr>
          <w:ilvl w:val="0"/>
          <w:numId w:val="1002"/>
        </w:numPr>
        <w:pStyle w:val="Compact"/>
      </w:pPr>
      <w:r>
        <w:rPr>
          <w:bCs/>
          <w:b/>
        </w:rPr>
        <w:t xml:space="preserve">Qué tiene de nuevo:</w:t>
      </w:r>
      <w:r>
        <w:t xml:space="preserve"> </w:t>
      </w:r>
      <w:r>
        <w:t xml:space="preserve">geotermia mejorada (EGS) con pozos horizontales emparejados (inyector y productor) y fracturación por etapas, con proveedores del petróleo (Helmerich &amp; Payne, Liberty, Vallourec, turbinas Turboden y Baker Hughes). El pozo Sawtooth 7 llegó a casi 5.950 metros medidos a 238 °C en 21 días, récord de la empresa [3].</w:t>
      </w:r>
    </w:p>
    <w:p>
      <w:pPr>
        <w:numPr>
          <w:ilvl w:val="0"/>
          <w:numId w:val="1002"/>
        </w:numPr>
        <w:pStyle w:val="Compact"/>
      </w:pPr>
      <w:r>
        <w:rPr>
          <w:bCs/>
          <w:b/>
        </w:rPr>
        <w:t xml:space="preserve">Diseño modular:</w:t>
      </w:r>
      <w:r>
        <w:t xml:space="preserve"> </w:t>
      </w:r>
      <w:r>
        <w:t xml:space="preserve">GeoBlocks de 33 MW (Fase I) y 50 MW (Fase II). Cape Station: ~100 MW en la Fase I (2026-27), 400 MW en la Fase II (2028) y un potencial de ~4,3 GW en el emplazamiento. Objetivo de 1,1 GW instalados en 2030 [3][4].</w:t>
      </w:r>
    </w:p>
    <w:p>
      <w:pPr>
        <w:numPr>
          <w:ilvl w:val="0"/>
          <w:numId w:val="1002"/>
        </w:numPr>
        <w:pStyle w:val="Compact"/>
      </w:pPr>
      <w:r>
        <w:rPr>
          <w:bCs/>
          <w:b/>
        </w:rPr>
        <w:t xml:space="preserve">Contratos:</w:t>
      </w:r>
      <w:r>
        <w:t xml:space="preserve"> </w:t>
      </w:r>
      <w:r>
        <w:t xml:space="preserve">Google firmó 396 MW (4 tramos de 99 MW desde el 3T28, 15 años, con garantía de Alphabet) y tiene una opción de ~600 MW más antes de junio de 2030, posiblemente «detrás del contador» para un centro de datos en Utah según la ley SB 132 [20].</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Periodo</w:t>
            </w:r>
          </w:p>
        </w:tc>
        <w:tc>
          <w:tcPr/>
          <w:p>
            <w:pPr>
              <w:pStyle w:val="Compact"/>
              <w:jc w:val="left"/>
            </w:pPr>
            <w:r>
              <w:t xml:space="preserve">Ventas (M USD)</w:t>
            </w:r>
          </w:p>
        </w:tc>
        <w:tc>
          <w:tcPr/>
          <w:p>
            <w:pPr>
              <w:pStyle w:val="Compact"/>
              <w:jc w:val="left"/>
            </w:pPr>
            <w:r>
              <w:t xml:space="preserve">Comentario</w:t>
            </w:r>
          </w:p>
        </w:tc>
      </w:tr>
      <w:tr>
        <w:tc>
          <w:tcPr/>
          <w:p>
            <w:pPr>
              <w:pStyle w:val="Compact"/>
              <w:jc w:val="left"/>
            </w:pPr>
            <w:r>
              <w:t xml:space="preserve">2024</w:t>
            </w:r>
          </w:p>
        </w:tc>
        <w:tc>
          <w:tcPr/>
          <w:p>
            <w:pPr>
              <w:pStyle w:val="Compact"/>
              <w:jc w:val="left"/>
            </w:pPr>
            <w:r>
              <w:t xml:space="preserve">0,199</w:t>
            </w:r>
          </w:p>
        </w:tc>
        <w:tc>
          <w:tcPr/>
          <w:p>
            <w:pPr>
              <w:pStyle w:val="Compact"/>
              <w:jc w:val="left"/>
            </w:pPr>
            <w:r>
              <w:t xml:space="preserve">Piloto de Project Red (Nevada) y cuotas accesorias</w:t>
            </w:r>
          </w:p>
        </w:tc>
      </w:tr>
      <w:tr>
        <w:tc>
          <w:tcPr/>
          <w:p>
            <w:pPr>
              <w:pStyle w:val="Compact"/>
              <w:jc w:val="left"/>
            </w:pPr>
            <w:r>
              <w:t xml:space="preserve">2025</w:t>
            </w:r>
          </w:p>
        </w:tc>
        <w:tc>
          <w:tcPr/>
          <w:p>
            <w:pPr>
              <w:pStyle w:val="Compact"/>
              <w:jc w:val="left"/>
            </w:pPr>
            <w:r>
              <w:t xml:space="preserve">0,138</w:t>
            </w:r>
          </w:p>
        </w:tc>
        <w:tc>
          <w:tcPr/>
          <w:p>
            <w:pPr>
              <w:pStyle w:val="Compact"/>
              <w:jc w:val="left"/>
            </w:pPr>
            <w:r>
              <w:t xml:space="preserve">1S25: 0; 2S25: 0,138</w:t>
            </w:r>
          </w:p>
        </w:tc>
      </w:tr>
      <w:tr>
        <w:tc>
          <w:tcPr/>
          <w:p>
            <w:pPr>
              <w:pStyle w:val="Compact"/>
              <w:jc w:val="left"/>
            </w:pPr>
            <w:r>
              <w:t xml:space="preserve">1T26</w:t>
            </w:r>
          </w:p>
        </w:tc>
        <w:tc>
          <w:tcPr/>
          <w:p>
            <w:pPr>
              <w:pStyle w:val="Compact"/>
              <w:jc w:val="left"/>
            </w:pPr>
            <w:r>
              <w:t xml:space="preserve">0,061</w:t>
            </w:r>
          </w:p>
        </w:tc>
        <w:tc>
          <w:tcPr/>
          <w:p>
            <w:pPr>
              <w:pStyle w:val="Compact"/>
            </w:pPr>
          </w:p>
        </w:tc>
      </w:tr>
      <w:tr>
        <w:tc>
          <w:tcPr/>
          <w:p>
            <w:pPr>
              <w:pStyle w:val="Compact"/>
              <w:jc w:val="left"/>
            </w:pPr>
            <w:r>
              <w:t xml:space="preserve">2T26</w:t>
            </w:r>
          </w:p>
        </w:tc>
        <w:tc>
          <w:tcPr/>
          <w:p>
            <w:pPr>
              <w:pStyle w:val="Compact"/>
              <w:jc w:val="left"/>
            </w:pPr>
            <w:r>
              <w:t xml:space="preserve">0,113</w:t>
            </w:r>
          </w:p>
        </w:tc>
        <w:tc>
          <w:tcPr/>
          <w:p>
            <w:pPr>
              <w:pStyle w:val="Compact"/>
              <w:jc w:val="left"/>
            </w:pPr>
            <w:r>
              <w:t xml:space="preserve">2T25: 0</w:t>
            </w:r>
          </w:p>
        </w:tc>
      </w:tr>
      <w:tr>
        <w:tc>
          <w:tcPr/>
          <w:p>
            <w:pPr>
              <w:pStyle w:val="Compact"/>
              <w:jc w:val="left"/>
            </w:pPr>
            <w:r>
              <w:t xml:space="preserve">12 m a jun-26</w:t>
            </w:r>
          </w:p>
        </w:tc>
        <w:tc>
          <w:tcPr/>
          <w:p>
            <w:pPr>
              <w:pStyle w:val="Compact"/>
              <w:jc w:val="left"/>
            </w:pPr>
            <w:r>
              <w:t xml:space="preserve">0,312</w:t>
            </w:r>
          </w:p>
        </w:tc>
        <w:tc>
          <w:tcPr/>
          <w:p>
            <w:pPr>
              <w:pStyle w:val="Compact"/>
              <w:jc w:val="left"/>
            </w:pPr>
            <w:r>
              <w:t xml:space="preserve">Lo que mide el motor</w:t>
            </w:r>
          </w:p>
        </w:tc>
      </w:tr>
      <w:tr>
        <w:tc>
          <w:tcPr/>
          <w:p>
            <w:pPr>
              <w:pStyle w:val="Compact"/>
              <w:jc w:val="left"/>
            </w:pPr>
            <w:r>
              <w:t xml:space="preserve">4T26 (dirección)</w:t>
            </w:r>
          </w:p>
        </w:tc>
        <w:tc>
          <w:tcPr/>
          <w:p>
            <w:pPr>
              <w:pStyle w:val="Compact"/>
              <w:jc w:val="left"/>
            </w:pPr>
            <w:r>
              <w:t xml:space="preserve">«unos pocos millones»</w:t>
            </w:r>
          </w:p>
        </w:tc>
        <w:tc>
          <w:tcPr/>
          <w:p>
            <w:pPr>
              <w:pStyle w:val="Compact"/>
              <w:jc w:val="left"/>
            </w:pPr>
            <w:r>
              <w:t xml:space="preserve">Primer trimestre con el GeoBlock 1 en operación comercial</w:t>
            </w:r>
          </w:p>
        </w:tc>
      </w:tr>
      <w:tr>
        <w:tc>
          <w:tcPr/>
          <w:p>
            <w:pPr>
              <w:pStyle w:val="Compact"/>
              <w:jc w:val="left"/>
            </w:pPr>
            <w:r>
              <w:t xml:space="preserve">2027 (dirección, «no es guía formal»)</w:t>
            </w:r>
          </w:p>
        </w:tc>
        <w:tc>
          <w:tcPr/>
          <w:p>
            <w:pPr>
              <w:pStyle w:val="Compact"/>
              <w:jc w:val="left"/>
            </w:pPr>
            <w:r>
              <w:t xml:space="preserve">60-80</w:t>
            </w:r>
          </w:p>
        </w:tc>
        <w:tc>
          <w:tcPr/>
          <w:p>
            <w:pPr>
              <w:pStyle w:val="Compact"/>
              <w:jc w:val="left"/>
            </w:pPr>
            <w:r>
              <w:t xml:space="preserve">Recortado por la transmisión; consenso 72 M</w:t>
            </w:r>
          </w:p>
        </w:tc>
      </w:tr>
      <w:tr>
        <w:tc>
          <w:tcPr/>
          <w:p>
            <w:pPr>
              <w:pStyle w:val="Compact"/>
              <w:jc w:val="left"/>
            </w:pPr>
            <w:r>
              <w:t xml:space="preserve">2028 (consenso)</w:t>
            </w:r>
          </w:p>
        </w:tc>
        <w:tc>
          <w:tcPr/>
          <w:p>
            <w:pPr>
              <w:pStyle w:val="Compact"/>
              <w:jc w:val="left"/>
            </w:pPr>
            <w:r>
              <w:t xml:space="preserve">211</w:t>
            </w:r>
          </w:p>
        </w:tc>
        <w:tc>
          <w:tcPr/>
          <w:p>
            <w:pPr>
              <w:pStyle w:val="Compact"/>
              <w:jc w:val="left"/>
            </w:pPr>
            <w:r>
              <w:t xml:space="preserve">Entra la Fase II</w:t>
            </w:r>
          </w:p>
        </w:tc>
      </w:tr>
    </w:tbl>
    <w:p>
      <w:pPr>
        <w:pStyle w:val="BodyText"/>
      </w:pPr>
      <w:r>
        <w:t xml:space="preserve">Fuentes: [1][2][3][16].</w:t>
      </w:r>
    </w:p>
    <w:p>
      <w:pPr>
        <w:numPr>
          <w:ilvl w:val="0"/>
          <w:numId w:val="1003"/>
        </w:numPr>
        <w:pStyle w:val="Compact"/>
      </w:pPr>
      <w:r>
        <w:rPr>
          <w:bCs/>
          <w:b/>
        </w:rPr>
        <w:t xml:space="preserve">Crecimiento interanual: no medible.</w:t>
      </w:r>
      <w:r>
        <w:t xml:space="preserve"> </w:t>
      </w:r>
      <w:r>
        <w:t xml:space="preserve">Se compara con trimestres a cero, así que cualquier porcentaje sale infinito. Además son ventas del piloto, no del negocio. En</w:t>
      </w:r>
      <w:r>
        <w:t xml:space="preserve"> </w:t>
      </w:r>
      <w:r>
        <w:rPr>
          <w:rStyle w:val="VerbatimChar"/>
        </w:rPr>
        <w:t xml:space="preserve">datos.json</w:t>
      </w:r>
      <w:r>
        <w:t xml:space="preserve"> </w:t>
      </w:r>
      <w:r>
        <w:t xml:space="preserve">van en null y el bloque A puntúa 0 de 25 (sección 14).</w:t>
      </w:r>
    </w:p>
    <w:p>
      <w:pPr>
        <w:numPr>
          <w:ilvl w:val="0"/>
          <w:numId w:val="1003"/>
        </w:numPr>
        <w:pStyle w:val="Compact"/>
      </w:pPr>
      <w:r>
        <w:rPr>
          <w:bCs/>
          <w:b/>
        </w:rPr>
        <w:t xml:space="preserve">Sin guía formal</w:t>
      </w:r>
      <w:r>
        <w:t xml:space="preserve"> </w:t>
      </w:r>
      <w:r>
        <w:t xml:space="preserve">(aviso del motor, que no se puede corregir porque la empresa no la da): las cifras de 2027 son orientativas y ya vienen recortadas. Sin retención (NRR) aplicable.</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w:t>
      </w:r>
      <w:r>
        <w:t xml:space="preserve"> </w:t>
      </w:r>
      <w:r>
        <w:t xml:space="preserve">~10.000 M USD/año en 2028 de energía firme y limpia nueva contratable en el oeste de EE. UU. Es una estimación propia: una rampa hacia los ~70.000 M USD/año que Rystad calcula para 2035 si la geotermia mejorada cubre el hueco de capacidad firme, con precios de 100-130 USD/MWh [4]. Con 0,3 M de ventas, la penetración es nula con cualquier cifra (5 de 5 en el método).</w:t>
      </w:r>
    </w:p>
    <w:p>
      <w:pPr>
        <w:numPr>
          <w:ilvl w:val="0"/>
          <w:numId w:val="1004"/>
        </w:numPr>
        <w:pStyle w:val="Compact"/>
      </w:pPr>
      <w:r>
        <w:rPr>
          <w:bCs/>
          <w:b/>
        </w:rPr>
        <w:t xml:space="preserve">Rivales:</w:t>
      </w:r>
      <w:r>
        <w:t xml:space="preserve"> </w:t>
      </w:r>
      <w:r>
        <w:t xml:space="preserve">en geotermia convencional, Ormat, Calpine (The Geysers) y Berkshire Hathaway Energy, con experiencia pero limitados a acuíferos naturales. En geotermia avanzada, Eavor (circuito cerrado), Sage Geosystems, Quaise, Mazama, Zanskar, XGS y AltaRock, casi todos en fase piloto. En energía firme para centros de datos, nuclear (incluidos los reactores pequeños), gas con captura de carbono y solar o eólica con baterías [4].</w:t>
      </w:r>
    </w:p>
    <w:p>
      <w:pPr>
        <w:numPr>
          <w:ilvl w:val="0"/>
          <w:numId w:val="1004"/>
        </w:numPr>
        <w:pStyle w:val="Compact"/>
      </w:pPr>
      <w:r>
        <w:rPr>
          <w:bCs/>
          <w:b/>
        </w:rPr>
        <w:t xml:space="preserve">Por qué gana (si gana):</w:t>
      </w:r>
      <w:r>
        <w:t xml:space="preserve"> </w:t>
      </w:r>
      <w:r>
        <w:t xml:space="preserve">es la única con una central EGS greenfield en operación comercial, con 650.000 acres de terrenos y contratos con compradores solventes. Tecnología 4/5 (adelantada, pero con alternativas y sin probar su duración: declive térmico) y posición 4/5 (líder en EGS, pequeña frente al total de la energía firme).</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Objetivos a la baja: Baird 50→35, Jefferies 41→34, BofA 36→30; solo Bernstein reitera 47 [5][9][10]</w:t>
            </w:r>
          </w:p>
        </w:tc>
      </w:tr>
      <w:tr>
        <w:tc>
          <w:tcPr/>
          <w:p>
            <w:pPr>
              <w:pStyle w:val="Compact"/>
              <w:jc w:val="left"/>
            </w:pPr>
            <w:r>
              <w:t xml:space="preserve">2. Precio sobre la media de 200</w:t>
            </w:r>
          </w:p>
        </w:tc>
        <w:tc>
          <w:tcPr/>
          <w:p>
            <w:pPr>
              <w:pStyle w:val="Compact"/>
              <w:jc w:val="left"/>
            </w:pPr>
            <w:r>
              <w:t xml:space="preserve">No</w:t>
            </w:r>
          </w:p>
        </w:tc>
        <w:tc>
          <w:tcPr/>
          <w:p>
            <w:pPr>
              <w:pStyle w:val="Compact"/>
              <w:jc w:val="left"/>
            </w:pPr>
            <w:r>
              <w:t xml:space="preserve">Sin 200 sesiones de historia; 9,68 frente a una media de 50 de 16,4 [5][7]</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−73,5 % desde el primer cierre, −64 % sobre el precio de la oferta [7]</w:t>
            </w:r>
          </w:p>
        </w:tc>
      </w:tr>
      <w:tr>
        <w:tc>
          <w:tcPr/>
          <w:p>
            <w:pPr>
              <w:pStyle w:val="Compact"/>
              <w:jc w:val="left"/>
            </w:pPr>
            <w:r>
              <w:t xml:space="preserve">4. Mejora del múltiplo ≥ 20 %</w:t>
            </w:r>
          </w:p>
        </w:tc>
        <w:tc>
          <w:tcPr/>
          <w:p>
            <w:pPr>
              <w:pStyle w:val="Compact"/>
              <w:jc w:val="left"/>
            </w:pPr>
            <w:r>
              <w:t xml:space="preserve">No</w:t>
            </w:r>
          </w:p>
        </w:tc>
        <w:tc>
          <w:tcPr/>
          <w:p>
            <w:pPr>
              <w:pStyle w:val="Compact"/>
              <w:jc w:val="left"/>
            </w:pPr>
            <w:r>
              <w:t xml:space="preserve">En su mínimo desde la salida a bolsa [7]</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Primeras ventas comerciales, pero la pérdida operativa crece (2T26 −28,7 M frente a −10,3 M) [1]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Informe bajista de Morpheus, bufetes, Stocktwits «bajista» [11][12][15]</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Sin compras de directivos; el PPA de Google no es capital [13]</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COD de los GeoBlocks 2-3 el 1-ene-2027, jornada en Cape del 19-nov, contrato detrás del contador antes de fin de año [3][6][14]</w:t>
            </w:r>
          </w:p>
        </w:tc>
      </w:tr>
    </w:tbl>
    <w:p>
      <w:pPr>
        <w:pStyle w:val="BodyText"/>
      </w:pPr>
      <w:r>
        <w:rPr>
          <w:bCs/>
          <w:b/>
        </w:rPr>
        <w:t xml:space="preserve">Euforia:</w:t>
      </w:r>
      <w:r>
        <w:t xml:space="preserve"> </w:t>
      </w:r>
      <w:r>
        <w:t xml:space="preserve">no (−73,5 % desde la salida a bolsa).</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de hoy: −353 %</w:t>
      </w:r>
      <w:r>
        <w:t xml:space="preserve"> </w:t>
      </w:r>
      <w:r>
        <w:t xml:space="preserve">(1S26: ventas 0,174 M frente a 0,788 M de operación y mantenimiento). Una central geotérmica madura deja ~75-80 % antes de amortizaciones, pero eso Fervo aún no lo ha demostrado. El filtro de EV/beneficio bruto no se puede calcular: sale infinito.</w:t>
      </w:r>
    </w:p>
    <w:p>
      <w:pPr>
        <w:numPr>
          <w:ilvl w:val="0"/>
          <w:numId w:val="1005"/>
        </w:numPr>
        <w:pStyle w:val="Compact"/>
      </w:pPr>
      <w:r>
        <w:rPr>
          <w:bCs/>
          <w:b/>
        </w:rPr>
        <w:t xml:space="preserve">Regla del 40:</w:t>
      </w:r>
      <w:r>
        <w:t xml:space="preserve"> </w:t>
      </w:r>
      <w:r>
        <w:t xml:space="preserve">sin sentido (margen FCF de −235.000 %).</w:t>
      </w:r>
      <w:r>
        <w:t xml:space="preserve"> </w:t>
      </w:r>
      <w:r>
        <w:rPr>
          <w:bCs/>
          <w:b/>
        </w:rPr>
        <w:t xml:space="preserve">FCF de 12 meses: −733,4 M</w:t>
      </w:r>
      <w:r>
        <w:t xml:space="preserve"> </w:t>
      </w:r>
      <w:r>
        <w:t xml:space="preserve">(FCO −81,8 M; capex −651,6 M) [1][2].</w:t>
      </w:r>
    </w:p>
    <w:p>
      <w:pPr>
        <w:numPr>
          <w:ilvl w:val="0"/>
          <w:numId w:val="1005"/>
        </w:numPr>
        <w:pStyle w:val="Compact"/>
      </w:pPr>
      <w:r>
        <w:rPr>
          <w:bCs/>
          <w:b/>
        </w:rPr>
        <w:t xml:space="preserve">Camino a la rentabilidad: lejos.</w:t>
      </w:r>
      <w:r>
        <w:t xml:space="preserve"> </w:t>
      </w:r>
      <w:r>
        <w:t xml:space="preserve">El consenso espera pérdidas netas de −92 M en 2027 y −95 M en 2028 [16]. La economía del proyecto depende del coste por kW (7.000 USD hoy, 5.500 en la Fase II, 3.000 a largo plazo) y del precio de los contratos. El folleto habla de 100-130 USD/MWh para la energía firme, pero Morpheus sostiene que los 658 MW iniciales se firmaron a 83-99 USD/MWh, un dato que no se ha podido verificar [2][11].</w:t>
      </w:r>
    </w:p>
    <w:p>
      <w:pPr>
        <w:numPr>
          <w:ilvl w:val="0"/>
          <w:numId w:val="1005"/>
        </w:numPr>
        <w:pStyle w:val="Compact"/>
      </w:pPr>
      <w:r>
        <w:rPr>
          <w:bCs/>
          <w:b/>
        </w:rPr>
        <w:t xml:space="preserve">Apalancamiento operativo:</w:t>
      </w:r>
      <w:r>
        <w:t xml:space="preserve"> </w:t>
      </w:r>
      <w:r>
        <w:t xml:space="preserve">los gastos generales pasaron de 9,5 M a 27,4 M en un año (2T), por la plantilla y el paso a cotizada [2].</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de 2.106 M</w:t>
      </w:r>
      <w:r>
        <w:t xml:space="preserve"> </w:t>
      </w:r>
      <w:r>
        <w:t xml:space="preserve">a 30-jun, frente a 231 M de deuda (Granite, deuda de proyecto sin recurso de 421 M de límite, al SOFR + 3 % y con vencimiento en 2031; Mercuria, 30 M). Además, 187 M de participaciones minoritarias rescatables en Cape Phase I, que se cuentan como deuda [1].</w:t>
      </w:r>
    </w:p>
    <w:p>
      <w:pPr>
        <w:numPr>
          <w:ilvl w:val="0"/>
          <w:numId w:val="1006"/>
        </w:numPr>
        <w:pStyle w:val="Compact"/>
      </w:pPr>
      <w:r>
        <w:rPr>
          <w:bCs/>
          <w:b/>
        </w:rPr>
        <w:t xml:space="preserve">Pista: 34,5 meses</w:t>
      </w:r>
      <w:r>
        <w:t xml:space="preserve"> </w:t>
      </w:r>
      <w:r>
        <w:t xml:space="preserve">con la quema pasada (3 de 5 puntos). Con la quema de los 12 meses siguientes (capex de 850-900 M solo en el 2S26 y ~2.200 M de la Fase II hasta 2028), la pista sería de unos 18 meses con la caja de junio si no hubiera más deuda de proyecto. La dirección dice que la caja basta para al menos 12 meses, pero que el crecimiento depende de financiación externa [1]. La caja de septiembre rondará los 1.650-1.750 M (estimación).</w:t>
      </w:r>
    </w:p>
    <w:p>
      <w:pPr>
        <w:numPr>
          <w:ilvl w:val="0"/>
          <w:numId w:val="1006"/>
        </w:numPr>
        <w:pStyle w:val="Compact"/>
      </w:pPr>
      <w:r>
        <w:rPr>
          <w:bCs/>
          <w:b/>
        </w:rPr>
        <w:t xml:space="preserve">Dilución: +81 % en 12 meses</w:t>
      </w:r>
      <w:r>
        <w:t xml:space="preserve"> </w:t>
      </w:r>
      <w:r>
        <w:t xml:space="preserve">(de ~181 M a 327 M de acciones totalmente diluidas, por la OPV y la serie E).</w:t>
      </w:r>
      <w:r>
        <w:t xml:space="preserve"> </w:t>
      </w:r>
      <w:r>
        <w:rPr>
          <w:bCs/>
          <w:b/>
        </w:rPr>
        <w:t xml:space="preserve">Pagos en acciones del 3.980 % de las ventas (alerta en rojo, &gt; 15 %)</w:t>
      </w:r>
      <w:r>
        <w:t xml:space="preserve">: son ~12,4 M al año sobre unas ventas casi nulas. La cifra dice más de las ventas que de los pagos. Es probable que haya más capital: en el expediente de la SEC hasta el 1-oct no hay ninguna ampliación después de la OPV, pero la cartera de 2028-2030 no está financiada [13].</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3/5.</w:t>
      </w:r>
      <w:r>
        <w:t xml:space="preserve"> </w:t>
      </w:r>
      <w:r>
        <w:t xml:space="preserve">Cumplió el COD del GeoBlock 1 (y antes de plazo) y bate récords de perforación. En contra: tres meses después de la OPV desveló el recorte de transmisión de 2027 y retrasó la primera potencia de los GeoBlocks 2-3 a «principios de 2027» (el folleto hablaba de ~100 MW a principios de 2027). Solo lleva dos trimestres como cotizada [3][6].</w:t>
      </w:r>
    </w:p>
    <w:p>
      <w:pPr>
        <w:numPr>
          <w:ilvl w:val="0"/>
          <w:numId w:val="1007"/>
        </w:numPr>
        <w:pStyle w:val="Compact"/>
      </w:pPr>
      <w:r>
        <w:rPr>
          <w:bCs/>
          <w:b/>
        </w:rPr>
        <w:t xml:space="preserve">Dirección 3/5.</w:t>
      </w:r>
      <w:r>
        <w:t xml:space="preserve"> </w:t>
      </w:r>
      <w:r>
        <w:t xml:space="preserve">Los fundadores, Tim Latimer (consejero delegado y presidente) y Jack Norbeck (director técnico), controlan ~53 % del voto con acciones B de 40 votos y ~3 % del capital, y no han vendido. Pero no han respondido en público a Morpheus y el folleto no destacaba el riesgo de transmisión, que ya investigan varios bufetes [11][12][19].</w:t>
      </w:r>
    </w:p>
    <w:bookmarkEnd w:id="27"/>
    <w:bookmarkStart w:id="28" w:name="valoración"/>
    <w:p>
      <w:pPr>
        <w:pStyle w:val="Heading2"/>
      </w:pPr>
      <w:r>
        <w:t xml:space="preserve">9. Valoración</w:t>
      </w:r>
    </w:p>
    <w:p>
      <w:pPr>
        <w:pStyle w:val="FirstParagraph"/>
      </w:pPr>
      <w:r>
        <w:rPr>
          <w:bCs/>
          <w:b/>
        </w:rPr>
        <w:t xml:space="preserve">Lo que dice el método (v11, decide):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jun-28 (M USD)</w:t>
            </w:r>
          </w:p>
        </w:tc>
        <w:tc>
          <w:tcPr/>
          <w:p>
            <w:pPr>
              <w:pStyle w:val="Compact"/>
              <w:jc w:val="left"/>
            </w:pPr>
            <w:r>
              <w:t xml:space="preserve">Múltiplo EV/ventas</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 (35 %)</w:t>
            </w:r>
          </w:p>
        </w:tc>
        <w:tc>
          <w:tcPr/>
          <w:p>
            <w:pPr>
              <w:pStyle w:val="Compact"/>
              <w:jc w:val="left"/>
            </w:pPr>
            <w:r>
              <w:t xml:space="preserve">0</w:t>
            </w:r>
          </w:p>
        </w:tc>
        <w:tc>
          <w:tcPr/>
          <w:p>
            <w:pPr>
              <w:pStyle w:val="Compact"/>
              <w:jc w:val="left"/>
            </w:pPr>
            <w:r>
              <w:t xml:space="preserve">17,8</w:t>
            </w:r>
          </w:p>
        </w:tc>
        <w:tc>
          <w:tcPr/>
          <w:p>
            <w:pPr>
              <w:pStyle w:val="Compact"/>
              <w:jc w:val="left"/>
            </w:pPr>
            <w:r>
              <w:t xml:space="preserve">1,6</w:t>
            </w:r>
          </w:p>
        </w:tc>
        <w:tc>
          <w:tcPr/>
          <w:p>
            <w:pPr>
              <w:pStyle w:val="Compact"/>
              <w:jc w:val="left"/>
            </w:pPr>
            <w:r>
              <w:t xml:space="preserve">−83,3 %</w:t>
            </w:r>
          </w:p>
        </w:tc>
      </w:tr>
      <w:tr>
        <w:tc>
          <w:tcPr/>
          <w:p>
            <w:pPr>
              <w:pStyle w:val="Compact"/>
              <w:jc w:val="left"/>
            </w:pPr>
            <w:r>
              <w:t xml:space="preserve">Base (50 %)</w:t>
            </w:r>
          </w:p>
        </w:tc>
        <w:tc>
          <w:tcPr/>
          <w:p>
            <w:pPr>
              <w:pStyle w:val="Compact"/>
              <w:jc w:val="left"/>
            </w:pPr>
            <w:r>
              <w:t xml:space="preserve">0</w:t>
            </w:r>
          </w:p>
        </w:tc>
        <w:tc>
          <w:tcPr/>
          <w:p>
            <w:pPr>
              <w:pStyle w:val="Compact"/>
              <w:jc w:val="left"/>
            </w:pPr>
            <w:r>
              <w:t xml:space="preserve">29,6</w:t>
            </w:r>
          </w:p>
        </w:tc>
        <w:tc>
          <w:tcPr/>
          <w:p>
            <w:pPr>
              <w:pStyle w:val="Compact"/>
              <w:jc w:val="left"/>
            </w:pPr>
            <w:r>
              <w:t xml:space="preserve">1,6</w:t>
            </w:r>
          </w:p>
        </w:tc>
        <w:tc>
          <w:tcPr/>
          <w:p>
            <w:pPr>
              <w:pStyle w:val="Compact"/>
              <w:jc w:val="left"/>
            </w:pPr>
            <w:r>
              <w:t xml:space="preserve">−83,2 %</w:t>
            </w:r>
          </w:p>
        </w:tc>
      </w:tr>
      <w:tr>
        <w:tc>
          <w:tcPr/>
          <w:p>
            <w:pPr>
              <w:pStyle w:val="Compact"/>
              <w:jc w:val="left"/>
            </w:pPr>
            <w:r>
              <w:t xml:space="preserve">Alcista (15 %)</w:t>
            </w:r>
          </w:p>
        </w:tc>
        <w:tc>
          <w:tcPr/>
          <w:p>
            <w:pPr>
              <w:pStyle w:val="Compact"/>
              <w:jc w:val="left"/>
            </w:pPr>
            <w:r>
              <w:t xml:space="preserve">0</w:t>
            </w:r>
          </w:p>
        </w:tc>
        <w:tc>
          <w:tcPr/>
          <w:p>
            <w:pPr>
              <w:pStyle w:val="Compact"/>
              <w:jc w:val="left"/>
            </w:pPr>
            <w:r>
              <w:t xml:space="preserve">38,5</w:t>
            </w:r>
          </w:p>
        </w:tc>
        <w:tc>
          <w:tcPr/>
          <w:p>
            <w:pPr>
              <w:pStyle w:val="Compact"/>
              <w:jc w:val="left"/>
            </w:pPr>
            <w:r>
              <w:t xml:space="preserve">1,6</w:t>
            </w:r>
          </w:p>
        </w:tc>
        <w:tc>
          <w:tcPr/>
          <w:p>
            <w:pPr>
              <w:pStyle w:val="Compact"/>
              <w:jc w:val="left"/>
            </w:pPr>
            <w:r>
              <w:t xml:space="preserve">−83,1 %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1,6</w:t>
            </w:r>
          </w:p>
        </w:tc>
        <w:tc>
          <w:tcPr/>
          <w:p>
            <w:pPr>
              <w:pStyle w:val="Compact"/>
              <w:jc w:val="left"/>
            </w:pPr>
            <w:r>
              <w:rPr>
                <w:bCs/>
                <w:b/>
              </w:rPr>
              <w:t xml:space="preserve">−83,5 %</w:t>
            </w:r>
          </w:p>
        </w:tc>
      </w:tr>
    </w:tbl>
    <w:p>
      <w:pPr>
        <w:numPr>
          <w:ilvl w:val="0"/>
          <w:numId w:val="1008"/>
        </w:numPr>
        <w:pStyle w:val="Compact"/>
      </w:pPr>
      <w:r>
        <w:rPr>
          <w:bCs/>
          <w:b/>
        </w:rPr>
        <w:t xml:space="preserve">Por qué sale así.</w:t>
      </w:r>
      <w:r>
        <w:t xml:space="preserve"> </w:t>
      </w:r>
      <w:r>
        <w:t xml:space="preserve">Con el crecimiento sin medir, la proyección mecánica parte de 0 % sobre 0,3 M (el motor redondea las ventas a 0). V11 toma en cada escenario la menor entre la mecánica y la del analista (60/90/130 M), así que manda la mecánica. El múltiplo (42,3x las ventas de los 12 meses siguientes, ~35 M, rebajado un 30 % por desaceleración) se aplica a casi nada. El precio queda en (caja − un año de quema − deuda) ÷ acciones con la dilución pasada (+81 %): unos 955 M ÷ 593 M de acciones = 1,6 USD. El «compra hasta» de 1,5 USD no es un precio de compra real: es lo mismo dicho en otra cifra.</w:t>
      </w:r>
    </w:p>
    <w:p>
      <w:pPr>
        <w:numPr>
          <w:ilvl w:val="0"/>
          <w:numId w:val="1008"/>
        </w:numPr>
        <w:pStyle w:val="Compact"/>
      </w:pPr>
      <w:r>
        <w:rPr>
          <w:bCs/>
          <w:b/>
        </w:rPr>
        <w:t xml:space="preserve">G3 de la robustez</w:t>
      </w:r>
      <w:r>
        <w:t xml:space="preserve"> </w:t>
      </w:r>
      <w:r>
        <w:t xml:space="preserve">(«ventas del analista en otra unidad»): es un falso aviso. La comparación con una mecánica de 0 no tiene sentido; las 90 M sí son ventas.</w:t>
      </w:r>
    </w:p>
    <w:p>
      <w:pPr>
        <w:numPr>
          <w:ilvl w:val="0"/>
          <w:numId w:val="1008"/>
        </w:numPr>
        <w:pStyle w:val="Compact"/>
      </w:pPr>
      <w:r>
        <w:rPr>
          <w:bCs/>
          <w:b/>
        </w:rPr>
        <w:t xml:space="preserve">Contraste, no decide: el caso más generoso razonable.</w:t>
      </w:r>
      <w:r>
        <w:t xml:space="preserve"> </w:t>
      </w:r>
      <w:r>
        <w:t xml:space="preserve">Si se toman como «ventas de hoy» las de los 12 meses siguientes (35 M) con crecimiento medido, margen bruto maduro del 75 % y sin dilución nueva, el motor da 64,8 puntos, EV/ventas NTM de 16,5x, base +9,1 %, ponderada −1,4 % y bajista −37,9 % →</w:t>
      </w:r>
      <w:r>
        <w:t xml:space="preserve"> </w:t>
      </w:r>
      <w:r>
        <w:rPr>
          <w:bCs/>
          <w:b/>
        </w:rPr>
        <w:t xml:space="preserve">Mantener, compra hasta 9,1 USD</w:t>
      </w:r>
      <w:r>
        <w:t xml:space="preserve">. Aun inventando una base de ventas, no hay Comprar a 9,68 (variante B en</w:t>
      </w:r>
      <w:r>
        <w:t xml:space="preserve"> </w:t>
      </w:r>
      <w:r>
        <w:rPr>
          <w:rStyle w:val="VerbatimChar"/>
        </w:rPr>
        <w:t xml:space="preserve">notas/variantes/</w:t>
      </w:r>
      <w:r>
        <w:t xml:space="preserve">). Con la quema de los 12 meses siguientes (~1.400 M), el objetivo mecánico baja a 0,5 USD (variante C). Con el bloque A al máximo, 54,8 puntos y la misma señal (variante A).</w:t>
      </w:r>
    </w:p>
    <w:p>
      <w:pPr>
        <w:numPr>
          <w:ilvl w:val="0"/>
          <w:numId w:val="1008"/>
        </w:numPr>
        <w:pStyle w:val="Compact"/>
      </w:pPr>
      <w:r>
        <w:rPr>
          <w:bCs/>
          <w:b/>
        </w:rPr>
        <w:t xml:space="preserve">Consenso:</w:t>
      </w:r>
      <w:r>
        <w:t xml:space="preserve"> </w:t>
      </w:r>
      <w:r>
        <w:t xml:space="preserve">objetivo medio de 40,87 USD (+322 %), con 16 de 18 analistas en compra. Las ventas de consenso para la ventana jul-27 a jun-28 rondan los ~141 M (media simple de 2027 y 2028; exagera, porque 2028 carga la Fase II al final). BofA valora por suma de partes de los proyectos (múltiplo de comparables 12,8x, coste de capital del 13 %) [10][16].</w:t>
      </w:r>
    </w:p>
    <w:p>
      <w:pPr>
        <w:numPr>
          <w:ilvl w:val="0"/>
          <w:numId w:val="1008"/>
        </w:numPr>
        <w:pStyle w:val="Compact"/>
      </w:pPr>
      <w:r>
        <w:rPr>
          <w:bCs/>
          <w:b/>
        </w:rPr>
        <w:t xml:space="preserve">DCF inverso:</w:t>
      </w:r>
      <w:r>
        <w:t xml:space="preserve"> </w:t>
      </w:r>
      <w:r>
        <w:t xml:space="preserve">no tiene sentido con ventas casi nulas. Contraste propio: el valor de empresa (1.481 M) es casi igual a lo invertido en planta (activo total 3.535 M − caja 2.117 M ≈ 1.420 M). El precio de hoy paga lo construido y casi nada por los 1.054 MW contratados. Si la tecnología funciona como dice la empresa, el precio parece bajo; si Morpheus acierta con el declive térmico, ni siquiera lo construido vale su coste.</w:t>
      </w:r>
    </w:p>
    <w:p>
      <w:pPr>
        <w:pStyle w:val="FirstParagraph"/>
      </w:pPr>
      <w:r>
        <w:rPr>
          <w:bCs/>
          <w:b/>
        </w:rPr>
        <w:t xml:space="preserve">Qué dice el método cuando casi no hay ventas.</w:t>
      </w:r>
      <w:r>
        <w:t xml:space="preserve"> </w:t>
      </w:r>
      <w:r>
        <w:t xml:space="preserve">El backtest ya lo avisaba: «biotecnológicas sin ventas, que el método no sabe valorar» (CRISPR e Intellia en 2019 se le escaparon, metodo.md §6). La regla growth mide la tendencia de unas ventas que existen. Sin ellas, el bloque A da 0, el filtro de beneficio bruto no se puede calcular y el objetivo se reduce a la caja neta. La señal correcta es «no comprar con este método». Para valorar Fervo haría falta un modo de proyectos, una suma de partes por MW contratado con su coste por kW y su probabilidad, como hace BofA. Esa propuesta queda para el diario. No se puede usar sin backtest.</w:t>
      </w:r>
    </w:p>
    <w:bookmarkEnd w:id="28"/>
    <w:bookmarkStart w:id="29" w:name="foros-y-sentimiento"/>
    <w:p>
      <w:pPr>
        <w:pStyle w:val="Heading2"/>
      </w:pPr>
      <w:r>
        <w:t xml:space="preserve">10. Foros y sentimiento</w:t>
      </w:r>
    </w:p>
    <w:p>
      <w:pPr>
        <w:numPr>
          <w:ilvl w:val="0"/>
          <w:numId w:val="1009"/>
        </w:numPr>
        <w:pStyle w:val="Compact"/>
      </w:pPr>
      <w:r>
        <w:rPr>
          <w:bCs/>
          <w:b/>
        </w:rPr>
        <w:t xml:space="preserve">Stocktwits:</w:t>
      </w:r>
      <w:r>
        <w:t xml:space="preserve"> </w:t>
      </w:r>
      <w:r>
        <w:t xml:space="preserve">etiqueta «bajista» (33) el 16-oct. Muchos mensajes de particulares defienden el valor («el mercado ya digirió el informe corto», la tesis bajista está tras un muro de pago, hay 2.100 M de caja), pero el volumen del 16-oct (20,8 M de acciones, 3,9 veces la media) dice que venden más de los que compran [15].</w:t>
      </w:r>
    </w:p>
    <w:p>
      <w:pPr>
        <w:numPr>
          <w:ilvl w:val="0"/>
          <w:numId w:val="1009"/>
        </w:numPr>
        <w:pStyle w:val="Compact"/>
      </w:pPr>
      <w:r>
        <w:rPr>
          <w:bCs/>
          <w:b/>
        </w:rPr>
        <w:t xml:space="preserve">Reddit (r/stocks, r/investing):</w:t>
      </w:r>
      <w:r>
        <w:t xml:space="preserve"> </w:t>
      </w:r>
      <w:r>
        <w:t xml:space="preserve">no se encontraron hilos recientes con tracción en las búsquedas (Reddit bloquea la consulta automática). La conversación está en Stocktwits y en las webs de bufetes.</w:t>
      </w:r>
    </w:p>
    <w:p>
      <w:pPr>
        <w:numPr>
          <w:ilvl w:val="0"/>
          <w:numId w:val="1009"/>
        </w:numPr>
        <w:pStyle w:val="Compact"/>
      </w:pPr>
      <w:r>
        <w:rPr>
          <w:bCs/>
          <w:b/>
        </w:rPr>
        <w:t xml:space="preserve">Seeking Alpha:</w:t>
      </w:r>
      <w:r>
        <w:t xml:space="preserve"> </w:t>
      </w:r>
      <w:r>
        <w:t xml:space="preserve">dividido. «Remains Unattractive Even After A 44 % Correction» (bajista por valoración) frente a «Google Deal Might Be The Proof Bears Needed» (alcista, sep-2026). Simply Wall St tiene narrativas de 46 USD [9].</w:t>
      </w:r>
    </w:p>
    <w:p>
      <w:pPr>
        <w:numPr>
          <w:ilvl w:val="0"/>
          <w:numId w:val="1009"/>
        </w:numPr>
        <w:pStyle w:val="Compact"/>
      </w:pPr>
      <w:r>
        <w:rPr>
          <w:bCs/>
          <w:b/>
        </w:rPr>
        <w:t xml:space="preserve">Castellano (Investing.com ES, Rankia):</w:t>
      </w:r>
      <w:r>
        <w:t xml:space="preserve"> </w:t>
      </w:r>
      <w:r>
        <w:t xml:space="preserve">sin hilos propios encontrados. Solo noticias traducidas de la OPV y del informe de Morpheus.</w:t>
      </w:r>
    </w:p>
    <w:p>
      <w:pPr>
        <w:numPr>
          <w:ilvl w:val="0"/>
          <w:numId w:val="1009"/>
        </w:numPr>
        <w:pStyle w:val="Compact"/>
      </w:pPr>
      <w:r>
        <w:rPr>
          <w:bCs/>
          <w:b/>
        </w:rPr>
        <w:t xml:space="preserve">Contraste:</w:t>
      </w:r>
      <w:r>
        <w:t xml:space="preserve"> </w:t>
      </w:r>
      <w:r>
        <w:t xml:space="preserve">el sentimiento no está eufórico, está roto. Para el método, la reversión del sentimiento ya ha pasado (señal 6 en «no»). Lo que falta saber es si los datos de Cape desmienten o confirman a Morpheus.</w:t>
      </w:r>
    </w:p>
    <w:bookmarkEnd w:id="29"/>
    <w:bookmarkStart w:id="30" w:name="bis.-precio-y-noticias-antes-de-decidir"/>
    <w:p>
      <w:pPr>
        <w:pStyle w:val="Heading2"/>
      </w:pPr>
      <w:r>
        <w:t xml:space="preserve">10 bis. Precio y noticias antes de decidir</w:t>
      </w:r>
    </w:p>
    <w:p>
      <w:pPr>
        <w:pStyle w:val="FirstParagraph"/>
      </w:pPr>
      <w:r>
        <w:rPr>
          <w:bCs/>
          <w:b/>
        </w:rPr>
        <w:t xml:space="preserve">Movimiento</w:t>
      </w:r>
      <w:r>
        <w:t xml:space="preserve"> </w:t>
      </w:r>
      <w:r>
        <w:t xml:space="preserve">(</w:t>
      </w:r>
      <w:r>
        <w:rPr>
          <w:rStyle w:val="VerbatimChar"/>
        </w:rPr>
        <w:t xml:space="preserve">movimiento.mjs FRVO</w:t>
      </w:r>
      <w:r>
        <w:t xml:space="preserve">, 16-oct): 1 m −41,9 %; 3 m −62,0 %; 6 y 12 m sin datos (cotiza desde el 13-may); −77,2 % desde el máximo de 52 semanas y el histórico (42,50); +0 % sobre el mínimo (9,68); volatilidad de 60 días del 126 %; mayor caída de un mes −46,2 % (29-jul). Avisos</w:t>
      </w:r>
      <w:r>
        <w:t xml:space="preserve"> </w:t>
      </w:r>
      <w:r>
        <w:rPr>
          <w:bCs/>
          <w:b/>
        </w:rPr>
        <w:t xml:space="preserve">P3</w:t>
      </w:r>
      <w:r>
        <w:t xml:space="preserve"> </w:t>
      </w:r>
      <w:r>
        <w:t xml:space="preserve">(caída fuerte) y</w:t>
      </w:r>
      <w:r>
        <w:t xml:space="preserve"> </w:t>
      </w:r>
      <w:r>
        <w:rPr>
          <w:bCs/>
          <w:b/>
        </w:rPr>
        <w:t xml:space="preserve">P4</w:t>
      </w:r>
      <w:r>
        <w:t xml:space="preserve"> </w:t>
      </w:r>
      <w:r>
        <w:t xml:space="preserve">(en mínimos). Tendencia bajista: cinco cierres mensuales seguidos a la baja y una media de 50 sesiones de 16,2.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Periodo</w:t>
            </w:r>
          </w:p>
        </w:tc>
        <w:tc>
          <w:tcPr/>
          <w:p>
            <w:pPr>
              <w:pStyle w:val="Compact"/>
              <w:jc w:val="left"/>
            </w:pPr>
            <w:r>
              <w:t xml:space="preserve">Variación</w:t>
            </w:r>
          </w:p>
        </w:tc>
        <w:tc>
          <w:tcPr/>
          <w:p>
            <w:pPr>
              <w:pStyle w:val="Compact"/>
              <w:jc w:val="left"/>
            </w:pPr>
            <w:r>
              <w:t xml:space="preserve">Causa</w:t>
            </w:r>
          </w:p>
        </w:tc>
        <w:tc>
          <w:tcPr/>
          <w:p>
            <w:pPr>
              <w:pStyle w:val="Compact"/>
              <w:jc w:val="left"/>
            </w:pPr>
            <w:r>
              <w:t xml:space="preserve">Veredicto</w:t>
            </w:r>
          </w:p>
        </w:tc>
      </w:tr>
      <w:tr>
        <w:tc>
          <w:tcPr/>
          <w:p>
            <w:pPr>
              <w:pStyle w:val="Compact"/>
              <w:jc w:val="left"/>
            </w:pPr>
            <w:r>
              <w:t xml:space="preserve">jun-2026</w:t>
            </w:r>
          </w:p>
        </w:tc>
        <w:tc>
          <w:tcPr/>
          <w:p>
            <w:pPr>
              <w:pStyle w:val="Compact"/>
              <w:jc w:val="left"/>
            </w:pPr>
            <w:r>
              <w:t xml:space="preserve">−20,3 %</w:t>
            </w:r>
          </w:p>
        </w:tc>
        <w:tc>
          <w:tcPr/>
          <w:p>
            <w:pPr>
              <w:pStyle w:val="Compact"/>
              <w:jc w:val="left"/>
            </w:pPr>
            <w:r>
              <w:t xml:space="preserve">Normalización tras la OPV (de 38,9 a 29,2 USD) y primeros resultados como cotizada (1T: 0,06 M de ventas, −31,8 M; −9,4 % el 23-jun) [2][7][17]</w:t>
            </w:r>
          </w:p>
        </w:tc>
        <w:tc>
          <w:tcPr/>
          <w:p>
            <w:pPr>
              <w:pStyle w:val="Compact"/>
              <w:jc w:val="left"/>
            </w:pPr>
            <w:r>
              <w:t xml:space="preserve">no cambia</w:t>
            </w:r>
          </w:p>
        </w:tc>
      </w:tr>
      <w:tr>
        <w:tc>
          <w:tcPr/>
          <w:p>
            <w:pPr>
              <w:pStyle w:val="Compact"/>
              <w:jc w:val="left"/>
            </w:pPr>
            <w:r>
              <w:t xml:space="preserve">jul-2026</w:t>
            </w:r>
          </w:p>
        </w:tc>
        <w:tc>
          <w:tcPr/>
          <w:p>
            <w:pPr>
              <w:pStyle w:val="Compact"/>
              <w:jc w:val="left"/>
            </w:pPr>
            <w:r>
              <w:t xml:space="preserve">−22,9 %</w:t>
            </w:r>
          </w:p>
        </w:tc>
        <w:tc>
          <w:tcPr/>
          <w:p>
            <w:pPr>
              <w:pStyle w:val="Compact"/>
              <w:jc w:val="left"/>
            </w:pPr>
            <w:r>
              <w:t xml:space="preserve">Corrección de valoración (−14,6 % el 7-jul); Jefferies avisa de restricciones de transmisión (20-jul); −12 % y −19 % el 28-29-jul y +31 % el 30-jul sin noticia encontrada (flotante pequeño) [9][18]</w:t>
            </w:r>
          </w:p>
        </w:tc>
        <w:tc>
          <w:tcPr/>
          <w:p>
            <w:pPr>
              <w:pStyle w:val="Compact"/>
              <w:jc w:val="left"/>
            </w:pPr>
            <w:r>
              <w:t xml:space="preserve">no cambia</w:t>
            </w:r>
          </w:p>
        </w:tc>
      </w:tr>
      <w:tr>
        <w:tc>
          <w:tcPr/>
          <w:p>
            <w:pPr>
              <w:pStyle w:val="Compact"/>
              <w:jc w:val="left"/>
            </w:pPr>
            <w:r>
              <w:t xml:space="preserve">ago-2026</w:t>
            </w:r>
          </w:p>
        </w:tc>
        <w:tc>
          <w:tcPr/>
          <w:p>
            <w:pPr>
              <w:pStyle w:val="Compact"/>
              <w:jc w:val="left"/>
            </w:pPr>
            <w:r>
              <w:t xml:space="preserve">−31,8 %</w:t>
            </w:r>
          </w:p>
        </w:tc>
        <w:tc>
          <w:tcPr/>
          <w:p>
            <w:pPr>
              <w:pStyle w:val="Compact"/>
              <w:jc w:val="left"/>
            </w:pPr>
            <w:r>
              <w:t xml:space="preserve">Resultados del 2T (12-ago, −16,6 %): recorte de transmisión, ventas de 2027 de 60-80 M, GeoBlocks 2-3 a principios de 2027, capex +110 %; Baird 50→35 [3][10]</w:t>
            </w:r>
          </w:p>
        </w:tc>
        <w:tc>
          <w:tcPr/>
          <w:p>
            <w:pPr>
              <w:pStyle w:val="Compact"/>
              <w:jc w:val="left"/>
            </w:pPr>
            <w:r>
              <w:t xml:space="preserve">no cambia</w:t>
            </w:r>
          </w:p>
        </w:tc>
      </w:tr>
      <w:tr>
        <w:tc>
          <w:tcPr/>
          <w:p>
            <w:pPr>
              <w:pStyle w:val="Compact"/>
              <w:jc w:val="left"/>
            </w:pPr>
            <w:r>
              <w:t xml:space="preserve">sep-oct-2026</w:t>
            </w:r>
          </w:p>
        </w:tc>
        <w:tc>
          <w:tcPr/>
          <w:p>
            <w:pPr>
              <w:pStyle w:val="Compact"/>
              <w:jc w:val="left"/>
            </w:pPr>
            <w:r>
              <w:t xml:space="preserve">−41,9 %</w:t>
            </w:r>
          </w:p>
        </w:tc>
        <w:tc>
          <w:tcPr/>
          <w:p>
            <w:pPr>
              <w:pStyle w:val="Compact"/>
              <w:jc w:val="left"/>
            </w:pPr>
            <w:r>
              <w:t xml:space="preserve">Pese al PPA de Google (+28 % el 1-sep) y al COD: BofA 36→30 por el calendario de Cape, informe de Morpheus (6-oct), bufetes, venta del sector de IA tras el IPC (14-15-oct) y ventas antes del fin del bloqueo [5][6][10][11][12]</w:t>
            </w:r>
          </w:p>
        </w:tc>
        <w:tc>
          <w:tcPr/>
          <w:p>
            <w:pPr>
              <w:pStyle w:val="Compact"/>
              <w:jc w:val="left"/>
            </w:pPr>
            <w:r>
              <w:rPr>
                <w:bCs/>
                <w:b/>
              </w:rPr>
              <w:t xml:space="preserve">retrasa</w:t>
            </w:r>
            <w:r>
              <w:t xml:space="preserve"> </w:t>
            </w:r>
            <w:r>
              <w:t xml:space="preserve">hasta el 9-nov y la respuesta a Morpheus</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Fecha</w:t>
            </w:r>
          </w:p>
        </w:tc>
        <w:tc>
          <w:tcPr/>
          <w:p>
            <w:pPr>
              <w:pStyle w:val="Compact"/>
              <w:jc w:val="left"/>
            </w:pPr>
            <w:r>
              <w:t xml:space="preserve">Tipo</w:t>
            </w:r>
          </w:p>
        </w:tc>
        <w:tc>
          <w:tcPr/>
          <w:p>
            <w:pPr>
              <w:pStyle w:val="Compact"/>
              <w:jc w:val="left"/>
            </w:pPr>
            <w:r>
              <w:t xml:space="preserve">Hecho</w:t>
            </w:r>
          </w:p>
        </w:tc>
        <w:tc>
          <w:tcPr/>
          <w:p>
            <w:pPr>
              <w:pStyle w:val="Compact"/>
              <w:jc w:val="left"/>
            </w:pPr>
            <w:r>
              <w:t xml:space="preserve">Veredicto</w:t>
            </w:r>
          </w:p>
        </w:tc>
      </w:tr>
      <w:tr>
        <w:tc>
          <w:tcPr/>
          <w:p>
            <w:pPr>
              <w:pStyle w:val="Compact"/>
              <w:jc w:val="left"/>
            </w:pPr>
            <w:r>
              <w:t xml:space="preserve">12-may</w:t>
            </w:r>
          </w:p>
        </w:tc>
        <w:tc>
          <w:tcPr/>
          <w:p>
            <w:pPr>
              <w:pStyle w:val="Compact"/>
              <w:jc w:val="left"/>
            </w:pPr>
            <w:r>
              <w:t xml:space="preserve">Ampliación</w:t>
            </w:r>
          </w:p>
        </w:tc>
        <w:tc>
          <w:tcPr/>
          <w:p>
            <w:pPr>
              <w:pStyle w:val="Compact"/>
              <w:jc w:val="left"/>
            </w:pPr>
            <w:r>
              <w:t xml:space="preserve">OPV ampliada: 80,5 M acciones a 27 USD, 2.200 M brutos [1][19]</w:t>
            </w:r>
          </w:p>
        </w:tc>
        <w:tc>
          <w:tcPr/>
          <w:p>
            <w:pPr>
              <w:pStyle w:val="Compact"/>
              <w:jc w:val="left"/>
            </w:pPr>
            <w:r>
              <w:t xml:space="preserve">no cambia</w:t>
            </w:r>
          </w:p>
        </w:tc>
      </w:tr>
      <w:tr>
        <w:tc>
          <w:tcPr/>
          <w:p>
            <w:pPr>
              <w:pStyle w:val="Compact"/>
              <w:jc w:val="left"/>
            </w:pPr>
            <w:r>
              <w:t xml:space="preserve">12-ago</w:t>
            </w:r>
          </w:p>
        </w:tc>
        <w:tc>
          <w:tcPr/>
          <w:p>
            <w:pPr>
              <w:pStyle w:val="Compact"/>
              <w:jc w:val="left"/>
            </w:pPr>
            <w:r>
              <w:t xml:space="preserve">Resultados</w:t>
            </w:r>
          </w:p>
        </w:tc>
        <w:tc>
          <w:tcPr/>
          <w:p>
            <w:pPr>
              <w:pStyle w:val="Compact"/>
              <w:jc w:val="left"/>
            </w:pPr>
            <w:r>
              <w:t xml:space="preserve">2T26: recorte de transmisión en 2027, capex 226,5 M, 1,1 GW en 2030 [2][3]</w:t>
            </w:r>
          </w:p>
        </w:tc>
        <w:tc>
          <w:tcPr/>
          <w:p>
            <w:pPr>
              <w:pStyle w:val="Compact"/>
              <w:jc w:val="left"/>
            </w:pPr>
            <w:r>
              <w:t xml:space="preserve">no cambia</w:t>
            </w:r>
          </w:p>
        </w:tc>
      </w:tr>
      <w:tr>
        <w:tc>
          <w:tcPr/>
          <w:p>
            <w:pPr>
              <w:pStyle w:val="Compact"/>
              <w:jc w:val="left"/>
            </w:pPr>
            <w:r>
              <w:t xml:space="preserve">1-sep</w:t>
            </w:r>
          </w:p>
        </w:tc>
        <w:tc>
          <w:tcPr/>
          <w:p>
            <w:pPr>
              <w:pStyle w:val="Compact"/>
              <w:jc w:val="left"/>
            </w:pPr>
            <w:r>
              <w:t xml:space="preserve">Resultados</w:t>
            </w:r>
          </w:p>
        </w:tc>
        <w:tc>
          <w:tcPr/>
          <w:p>
            <w:pPr>
              <w:pStyle w:val="Compact"/>
              <w:jc w:val="left"/>
            </w:pPr>
            <w:r>
              <w:t xml:space="preserve">PPA de Google de 396 MW (opción de 600 MW más); 1.054 MW vinculantes [20]</w:t>
            </w:r>
          </w:p>
        </w:tc>
        <w:tc>
          <w:tcPr/>
          <w:p>
            <w:pPr>
              <w:pStyle w:val="Compact"/>
              <w:jc w:val="left"/>
            </w:pPr>
            <w:r>
              <w:t xml:space="preserve">no cambia</w:t>
            </w:r>
          </w:p>
        </w:tc>
      </w:tr>
      <w:tr>
        <w:tc>
          <w:tcPr/>
          <w:p>
            <w:pPr>
              <w:pStyle w:val="Compact"/>
              <w:jc w:val="left"/>
            </w:pPr>
            <w:r>
              <w:t xml:space="preserve">25-sep</w:t>
            </w:r>
          </w:p>
        </w:tc>
        <w:tc>
          <w:tcPr/>
          <w:p>
            <w:pPr>
              <w:pStyle w:val="Compact"/>
              <w:jc w:val="left"/>
            </w:pPr>
            <w:r>
              <w:t xml:space="preserve">Recomendación</w:t>
            </w:r>
          </w:p>
        </w:tc>
        <w:tc>
          <w:tcPr/>
          <w:p>
            <w:pPr>
              <w:pStyle w:val="Compact"/>
              <w:jc w:val="left"/>
            </w:pPr>
            <w:r>
              <w:t xml:space="preserve">BofA 36→30, Wolfe Outperform 29, Johnson Rice 35, Bernstein 47 [5][10]</w:t>
            </w:r>
          </w:p>
        </w:tc>
        <w:tc>
          <w:tcPr/>
          <w:p>
            <w:pPr>
              <w:pStyle w:val="Compact"/>
              <w:jc w:val="left"/>
            </w:pPr>
            <w:r>
              <w:t xml:space="preserve">no cambia</w:t>
            </w:r>
          </w:p>
        </w:tc>
      </w:tr>
      <w:tr>
        <w:tc>
          <w:tcPr/>
          <w:p>
            <w:pPr>
              <w:pStyle w:val="Compact"/>
              <w:jc w:val="left"/>
            </w:pPr>
            <w:r>
              <w:t xml:space="preserve">1-oct</w:t>
            </w:r>
          </w:p>
        </w:tc>
        <w:tc>
          <w:tcPr/>
          <w:p>
            <w:pPr>
              <w:pStyle w:val="Compact"/>
              <w:jc w:val="left"/>
            </w:pPr>
            <w:r>
              <w:t xml:space="preserve">Resultados</w:t>
            </w:r>
          </w:p>
        </w:tc>
        <w:tc>
          <w:tcPr/>
          <w:p>
            <w:pPr>
              <w:pStyle w:val="Compact"/>
              <w:jc w:val="left"/>
            </w:pPr>
            <w:r>
              <w:t xml:space="preserve">COD del GeoBlock 1 (33 MW), GeoBlocks 2-3 el 1-ene-2027 [6]</w:t>
            </w:r>
          </w:p>
        </w:tc>
        <w:tc>
          <w:tcPr/>
          <w:p>
            <w:pPr>
              <w:pStyle w:val="Compact"/>
              <w:jc w:val="left"/>
            </w:pPr>
            <w:r>
              <w:t xml:space="preserve">no cambia</w:t>
            </w:r>
          </w:p>
        </w:tc>
      </w:tr>
      <w:tr>
        <w:tc>
          <w:tcPr/>
          <w:p>
            <w:pPr>
              <w:pStyle w:val="Compact"/>
              <w:jc w:val="left"/>
            </w:pPr>
            <w:r>
              <w:t xml:space="preserve">6-oct</w:t>
            </w:r>
          </w:p>
        </w:tc>
        <w:tc>
          <w:tcPr/>
          <w:p>
            <w:pPr>
              <w:pStyle w:val="Compact"/>
              <w:jc w:val="left"/>
            </w:pPr>
            <w:r>
              <w:t xml:space="preserve">Rumor con fundamento</w:t>
            </w:r>
          </w:p>
        </w:tc>
        <w:tc>
          <w:tcPr/>
          <w:p>
            <w:pPr>
              <w:pStyle w:val="Compact"/>
              <w:jc w:val="left"/>
            </w:pPr>
            <w:r>
              <w:t xml:space="preserve">Morpheus Research: declive térmico, agua, sismos, coste por kW, transmisión, posibles penalizaciones; sin respuesta de Fervo [11][21]</w:t>
            </w:r>
          </w:p>
        </w:tc>
        <w:tc>
          <w:tcPr/>
          <w:p>
            <w:pPr>
              <w:pStyle w:val="Compact"/>
              <w:jc w:val="left"/>
            </w:pPr>
            <w:r>
              <w:rPr>
                <w:bCs/>
                <w:b/>
              </w:rPr>
              <w:t xml:space="preserve">retrasa</w:t>
            </w:r>
            <w:r>
              <w:t xml:space="preserve"> </w:t>
            </w:r>
            <w:r>
              <w:t xml:space="preserve">hasta datos de Cape (3T o 19-nov)</w:t>
            </w:r>
          </w:p>
        </w:tc>
      </w:tr>
      <w:tr>
        <w:tc>
          <w:tcPr/>
          <w:p>
            <w:pPr>
              <w:pStyle w:val="Compact"/>
              <w:jc w:val="left"/>
            </w:pPr>
            <w:r>
              <w:t xml:space="preserve">8-12-oct</w:t>
            </w:r>
          </w:p>
        </w:tc>
        <w:tc>
          <w:tcPr/>
          <w:p>
            <w:pPr>
              <w:pStyle w:val="Compact"/>
              <w:jc w:val="left"/>
            </w:pPr>
            <w:r>
              <w:t xml:space="preserve">Demanda</w:t>
            </w:r>
          </w:p>
        </w:tc>
        <w:tc>
          <w:tcPr/>
          <w:p>
            <w:pPr>
              <w:pStyle w:val="Compact"/>
              <w:jc w:val="left"/>
            </w:pPr>
            <w:r>
              <w:t xml:space="preserve">Cuatro bufetes investigan la OPV; sin demanda presentada que se haya podido confirmar [12]</w:t>
            </w:r>
          </w:p>
        </w:tc>
        <w:tc>
          <w:tcPr/>
          <w:p>
            <w:pPr>
              <w:pStyle w:val="Compact"/>
              <w:jc w:val="left"/>
            </w:pPr>
            <w:r>
              <w:t xml:space="preserve">no cambia</w:t>
            </w:r>
          </w:p>
        </w:tc>
      </w:tr>
      <w:tr>
        <w:tc>
          <w:tcPr/>
          <w:p>
            <w:pPr>
              <w:pStyle w:val="Compact"/>
              <w:jc w:val="left"/>
            </w:pPr>
            <w:r>
              <w:t xml:space="preserve">9-nov</w:t>
            </w:r>
          </w:p>
        </w:tc>
        <w:tc>
          <w:tcPr/>
          <w:p>
            <w:pPr>
              <w:pStyle w:val="Compact"/>
              <w:jc w:val="left"/>
            </w:pPr>
            <w:r>
              <w:t xml:space="preserve">Accionista de referencia</w:t>
            </w:r>
          </w:p>
        </w:tc>
        <w:tc>
          <w:tcPr/>
          <w:p>
            <w:pPr>
              <w:pStyle w:val="Compact"/>
              <w:jc w:val="left"/>
            </w:pPr>
            <w:r>
              <w:t xml:space="preserve">Fin del bloqueo: hasta 205 M acciones libres (2,5 veces el flotante); Devon, Capricorn, DCVC, Breakthrough, Centaurus [19]</w:t>
            </w:r>
          </w:p>
        </w:tc>
        <w:tc>
          <w:tcPr/>
          <w:p>
            <w:pPr>
              <w:pStyle w:val="Compact"/>
              <w:jc w:val="left"/>
            </w:pPr>
            <w:r>
              <w:rPr>
                <w:bCs/>
                <w:b/>
              </w:rPr>
              <w:t xml:space="preserve">retrasa</w:t>
            </w:r>
            <w:r>
              <w:t xml:space="preserve"> </w:t>
            </w:r>
            <w:r>
              <w:t xml:space="preserve">hasta pasado el 9-nov</w:t>
            </w:r>
          </w:p>
        </w:tc>
      </w:tr>
      <w:tr>
        <w:tc>
          <w:tcPr/>
          <w:p>
            <w:pPr>
              <w:pStyle w:val="Compact"/>
              <w:jc w:val="left"/>
            </w:pPr>
            <w:r>
              <w:t xml:space="preserve">~11-nov (estimada)</w:t>
            </w:r>
          </w:p>
        </w:tc>
        <w:tc>
          <w:tcPr/>
          <w:p>
            <w:pPr>
              <w:pStyle w:val="Compact"/>
              <w:jc w:val="left"/>
            </w:pPr>
            <w:r>
              <w:t xml:space="preserve">Resultados</w:t>
            </w:r>
          </w:p>
        </w:tc>
        <w:tc>
          <w:tcPr/>
          <w:p>
            <w:pPr>
              <w:pStyle w:val="Compact"/>
              <w:jc w:val="left"/>
            </w:pPr>
            <w:r>
              <w:t xml:space="preserve">3T26: primeras ventas, caja tras el capex, guía de 2027 [14]</w:t>
            </w:r>
          </w:p>
        </w:tc>
        <w:tc>
          <w:tcPr/>
          <w:p>
            <w:pPr>
              <w:pStyle w:val="Compact"/>
              <w:jc w:val="left"/>
            </w:pPr>
            <w:r>
              <w:t xml:space="preserve">no cambia</w:t>
            </w:r>
          </w:p>
        </w:tc>
      </w:tr>
    </w:tbl>
    <w:p>
      <w:pPr>
        <w:pStyle w:val="BodyText"/>
      </w:pPr>
      <w:r>
        <w:rPr>
          <w:bCs/>
          <w:b/>
        </w:rPr>
        <w:t xml:space="preserve">Veredicto global: retrasa.</w:t>
      </w:r>
      <w:r>
        <w:t xml:space="preserve"> </w:t>
      </w:r>
      <w:r>
        <w:t xml:space="preserve">Las condiciones son que pase el fin del bloqueo (9-nov) y que Fervo responda con datos de producción y temperatura de Cape (3T o jornada del 19-nov). La causa de la caída está recogida en la tesis: valoración de salida, transmisión de 2027, capex, informe corto y bloqueo. No hay fraude probado ni recorte de guía formal, así que no es «descarta». Pero la señal del método es «no comprar» de todas formas.</w:t>
      </w:r>
    </w:p>
    <w:p>
      <w:pPr>
        <w:pStyle w:val="BodyText"/>
      </w:pPr>
      <w:r>
        <w:rPr>
          <w:bCs/>
          <w:b/>
        </w:rPr>
        <w:t xml:space="preserve">Sobre las causas que se piden explicar:</w:t>
      </w:r>
      <w:r>
        <w:t xml:space="preserve"> </w:t>
      </w:r>
      <w:r>
        <w:t xml:space="preserve">-</w:t>
      </w:r>
      <w:r>
        <w:t xml:space="preserve"> </w:t>
      </w:r>
      <w:r>
        <w:rPr>
          <w:bCs/>
          <w:b/>
        </w:rPr>
        <w:t xml:space="preserve">Retrasos:</w:t>
      </w:r>
      <w:r>
        <w:t xml:space="preserve"> </w:t>
      </w:r>
      <w:r>
        <w:t xml:space="preserve">el GeoBlock 1 llegó a tiempo. Lo que se retrasó fue la rampa de la Fase I: los GeoBlocks 2-3 pasaron de «~100 MW a principios de 2027» (folleto) a «primera potencia a principios de 2027» (2T). A eso se suma el recorte de la línea de transmisión de 2027, que la empresa atribuye a que el operador conecta otro activo a la misma línea.</w:t>
      </w:r>
      <w:r>
        <w:t xml:space="preserve"> </w:t>
      </w:r>
      <w:r>
        <w:t xml:space="preserve">-</w:t>
      </w:r>
      <w:r>
        <w:t xml:space="preserve"> </w:t>
      </w:r>
      <w:r>
        <w:rPr>
          <w:bCs/>
          <w:b/>
        </w:rPr>
        <w:t xml:space="preserve">Costes de perforación:</w:t>
      </w:r>
      <w:r>
        <w:t xml:space="preserve"> </w:t>
      </w:r>
      <w:r>
        <w:t xml:space="preserve">la perforación es cada vez más rápida (21 días por pozo), pero el coste total sigue en ~7.000 USD/kW. La Fase II exige bajar a 5.500. Morpheus sostiene que el coste subió de 5.000 a 7.000 USD/kW en dos años y que la terminación (fracturación) cuesta ~3.000 USD/kW por sí sola. El capex del 2T se duplicó.</w:t>
      </w:r>
      <w:r>
        <w:t xml:space="preserve"> </w:t>
      </w:r>
      <w:r>
        <w:t xml:space="preserve">-</w:t>
      </w:r>
      <w:r>
        <w:t xml:space="preserve"> </w:t>
      </w:r>
      <w:r>
        <w:rPr>
          <w:bCs/>
          <w:b/>
        </w:rPr>
        <w:t xml:space="preserve">Ampliaciones:</w:t>
      </w:r>
      <w:r>
        <w:t xml:space="preserve"> </w:t>
      </w:r>
      <w:r>
        <w:t xml:space="preserve">la única fue la OPV (+81 % de acciones totalmente diluidas en 12 meses, con las preferentes). No ha habido otra, pero el mercado descuenta que hará falta capital para la Fase II y el plan de 1,1 GW.</w:t>
      </w:r>
      <w:r>
        <w:t xml:space="preserve"> </w:t>
      </w:r>
      <w:r>
        <w:t xml:space="preserve">-</w:t>
      </w:r>
      <w:r>
        <w:t xml:space="preserve"> </w:t>
      </w:r>
      <w:r>
        <w:rPr>
          <w:bCs/>
          <w:b/>
        </w:rPr>
        <w:t xml:space="preserve">Fin del bloqueo:</w:t>
      </w:r>
      <w:r>
        <w:t xml:space="preserve"> </w:t>
      </w:r>
      <w:r>
        <w:t xml:space="preserve">todavía no ha llegado. Vence el 8-nov (domingo), así que en la práctica el 9-nov. Las ventas antes de esa fecha y el volumen récord del 16-oct son típicos de la anticipación. Lo que se libera son 205 M acciones de fondos de capital riesgo que entraron muy por debajo de 27 USD.</w:t>
      </w:r>
    </w:p>
    <w:bookmarkEnd w:id="30"/>
    <w:bookmarkStart w:id="31" w:name="riesgos-y-qué-rompería-la-tesis"/>
    <w:p>
      <w:pPr>
        <w:pStyle w:val="Heading2"/>
      </w:pPr>
      <w:r>
        <w:t xml:space="preserve">11. Riesgos y qué rompería la tesis</w:t>
      </w:r>
    </w:p>
    <w:p>
      <w:pPr>
        <w:numPr>
          <w:ilvl w:val="0"/>
          <w:numId w:val="1010"/>
        </w:numPr>
        <w:pStyle w:val="Compact"/>
      </w:pPr>
      <w:r>
        <w:rPr>
          <w:bCs/>
          <w:b/>
        </w:rPr>
        <w:t xml:space="preserve">Riesgo de la IA (valoración explícita): la favorece en la demanda y la expone en el ciclo.</w:t>
      </w:r>
      <w:r>
        <w:t xml:space="preserve"> </w:t>
      </w:r>
      <w:r>
        <w:t xml:space="preserve">La mitad de las negociaciones son con grandes tecnológicas y el contrato de Google es para centros de datos: la IA es el principal motor de demanda de energía firme a 100-130 USD/MWh. Si el gasto en IA frena (modelos más eficientes, ventas del sector como la del 14-15-oct), Fervo cae con él aunque sus contratos firmados no cambien. La IA no amenaza el producto (los electrones no se sustituyen con software) y puede ayudar en la modelización del subsuelo. Efecto en la tesis: neutro en la señal, positivo en el largo plazo, y una fuente más de volatilidad.</w:t>
      </w:r>
    </w:p>
    <w:p>
      <w:pPr>
        <w:numPr>
          <w:ilvl w:val="0"/>
          <w:numId w:val="1010"/>
        </w:numPr>
        <w:pStyle w:val="Compact"/>
      </w:pPr>
      <w:r>
        <w:rPr>
          <w:bCs/>
          <w:b/>
        </w:rPr>
        <w:t xml:space="preserve">Tecnológico y geológico:</w:t>
      </w:r>
      <w:r>
        <w:t xml:space="preserve"> </w:t>
      </w:r>
      <w:r>
        <w:t xml:space="preserve">declive térmico, pérdida de agua y sismicidad (las acusaciones de Morpheus). Si se confirman, los contratos tienen penalizaciones por retraso y pueden resolverse si el factor de capacidad baja del 80 % durante dos años.</w:t>
      </w:r>
    </w:p>
    <w:p>
      <w:pPr>
        <w:numPr>
          <w:ilvl w:val="0"/>
          <w:numId w:val="1010"/>
        </w:numPr>
        <w:pStyle w:val="Compact"/>
      </w:pPr>
      <w:r>
        <w:rPr>
          <w:bCs/>
          <w:b/>
        </w:rPr>
        <w:t xml:space="preserve">Transmisión:</w:t>
      </w:r>
      <w:r>
        <w:t xml:space="preserve"> </w:t>
      </w:r>
      <w:r>
        <w:t xml:space="preserve">290 MW de derechos de interconexión frente a 384 MW contratados con SCE y CPA en la Fase II, y el recorte de 2027.</w:t>
      </w:r>
    </w:p>
    <w:p>
      <w:pPr>
        <w:numPr>
          <w:ilvl w:val="0"/>
          <w:numId w:val="1010"/>
        </w:numPr>
        <w:pStyle w:val="Compact"/>
      </w:pPr>
      <w:r>
        <w:rPr>
          <w:bCs/>
          <w:b/>
        </w:rPr>
        <w:t xml:space="preserve">Capital y dilución:</w:t>
      </w:r>
      <w:r>
        <w:t xml:space="preserve"> </w:t>
      </w:r>
      <w:r>
        <w:t xml:space="preserve">pista de unos 18 meses con la quema de los próximos 12 sin nueva deuda de proyecto; dilución pasada del +81 %.</w:t>
      </w:r>
    </w:p>
    <w:p>
      <w:pPr>
        <w:numPr>
          <w:ilvl w:val="0"/>
          <w:numId w:val="1010"/>
        </w:numPr>
        <w:pStyle w:val="Compact"/>
      </w:pPr>
      <w:r>
        <w:rPr>
          <w:bCs/>
          <w:b/>
        </w:rPr>
        <w:t xml:space="preserve">Concentración (alerta):</w:t>
      </w:r>
      <w:r>
        <w:t xml:space="preserve"> </w:t>
      </w:r>
      <w:r>
        <w:t xml:space="preserve">tres clientes, el 74 % de la cartera contratada; y un único emplazamiento (Cape Station).</w:t>
      </w:r>
    </w:p>
    <w:p>
      <w:pPr>
        <w:numPr>
          <w:ilvl w:val="0"/>
          <w:numId w:val="1010"/>
        </w:numPr>
        <w:pStyle w:val="Compact"/>
      </w:pPr>
      <w:r>
        <w:rPr>
          <w:bCs/>
          <w:b/>
        </w:rPr>
        <w:t xml:space="preserve">Pagos en acciones (alerta):</w:t>
      </w:r>
      <w:r>
        <w:t xml:space="preserve"> </w:t>
      </w:r>
      <w:r>
        <w:t xml:space="preserve">el 3.980 % de las ventas. Con ventas reales en 2027 serán ~15 %; se vigila.</w:t>
      </w:r>
    </w:p>
    <w:p>
      <w:pPr>
        <w:numPr>
          <w:ilvl w:val="0"/>
          <w:numId w:val="1010"/>
        </w:numPr>
        <w:pStyle w:val="Compact"/>
      </w:pPr>
      <w:r>
        <w:rPr>
          <w:bCs/>
          <w:b/>
        </w:rPr>
        <w:t xml:space="preserve">Sin guía anual (alerta):</w:t>
      </w:r>
      <w:r>
        <w:t xml:space="preserve"> </w:t>
      </w:r>
      <w:r>
        <w:t xml:space="preserve">la proyección no se puede contrastar con la empresa.</w:t>
      </w:r>
    </w:p>
    <w:p>
      <w:pPr>
        <w:numPr>
          <w:ilvl w:val="0"/>
          <w:numId w:val="1010"/>
        </w:numPr>
        <w:pStyle w:val="Compact"/>
      </w:pPr>
      <w:r>
        <w:rPr>
          <w:bCs/>
          <w:b/>
        </w:rPr>
        <w:t xml:space="preserve">Gobierno:</w:t>
      </w:r>
      <w:r>
        <w:t xml:space="preserve"> </w:t>
      </w:r>
      <w:r>
        <w:t xml:space="preserve">doble clase de acciones (fundadores con el 53 % del voto) y posible demanda colectiva por la OPV.</w:t>
      </w:r>
    </w:p>
    <w:p>
      <w:pPr>
        <w:numPr>
          <w:ilvl w:val="0"/>
          <w:numId w:val="1010"/>
        </w:numPr>
        <w:pStyle w:val="Compact"/>
      </w:pPr>
      <w:r>
        <w:rPr>
          <w:bCs/>
          <w:b/>
        </w:rPr>
        <w:t xml:space="preserve">Qué rompería la tesis industrial:</w:t>
      </w:r>
      <w:r>
        <w:t xml:space="preserve"> </w:t>
      </w:r>
      <w:r>
        <w:t xml:space="preserve">temperatura de producción de Cape cayendo más de lo previsto en los datos del 3T o el 4T; un retraso del COD de los GeoBlocks 2-3 más allá del 1-ene-2027 (según Morpheus, 180 días de retraso dan derecho a resolver los contratos); una colocación grande de accionistas previos con descuento; o un recorte de la cifra de ventas de 2027 por debajo de 60 M.</w:t>
      </w:r>
    </w:p>
    <w:bookmarkEnd w:id="31"/>
    <w:bookmarkStart w:id="32" w:name="catalizadores-con-fecha"/>
    <w:p>
      <w:pPr>
        <w:pStyle w:val="Heading2"/>
      </w:pPr>
      <w:r>
        <w:t xml:space="preserve">12. Catalizadores con fecha</w:t>
      </w:r>
    </w:p>
    <w:p>
      <w:pPr>
        <w:numPr>
          <w:ilvl w:val="0"/>
          <w:numId w:val="1011"/>
        </w:numPr>
        <w:pStyle w:val="Compact"/>
      </w:pPr>
      <w:r>
        <w:rPr>
          <w:bCs/>
          <w:b/>
        </w:rPr>
        <w:t xml:space="preserve">9-nov-2026:</w:t>
      </w:r>
      <w:r>
        <w:t xml:space="preserve"> </w:t>
      </w:r>
      <w:r>
        <w:t xml:space="preserve">fin del bloqueo (205 M acciones).</w:t>
      </w:r>
    </w:p>
    <w:p>
      <w:pPr>
        <w:numPr>
          <w:ilvl w:val="0"/>
          <w:numId w:val="1011"/>
        </w:numPr>
        <w:pStyle w:val="Compact"/>
      </w:pPr>
      <w:r>
        <w:rPr>
          <w:bCs/>
          <w:b/>
        </w:rPr>
        <w:t xml:space="preserve">~11-16-nov-2026:</w:t>
      </w:r>
      <w:r>
        <w:t xml:space="preserve"> </w:t>
      </w:r>
      <w:r>
        <w:t xml:space="preserve">resultados del 3T (fecha sin anunciar), con las primeras ventas comerciales y la caja.</w:t>
      </w:r>
    </w:p>
    <w:p>
      <w:pPr>
        <w:numPr>
          <w:ilvl w:val="0"/>
          <w:numId w:val="1011"/>
        </w:numPr>
        <w:pStyle w:val="Compact"/>
      </w:pPr>
      <w:r>
        <w:rPr>
          <w:bCs/>
          <w:b/>
        </w:rPr>
        <w:t xml:space="preserve">19-nov-2026:</w:t>
      </w:r>
      <w:r>
        <w:t xml:space="preserve"> </w:t>
      </w:r>
      <w:r>
        <w:t xml:space="preserve">jornada para inversores en Cape Station.</w:t>
      </w:r>
    </w:p>
    <w:p>
      <w:pPr>
        <w:numPr>
          <w:ilvl w:val="0"/>
          <w:numId w:val="1011"/>
        </w:numPr>
        <w:pStyle w:val="Compact"/>
      </w:pPr>
      <w:r>
        <w:rPr>
          <w:bCs/>
          <w:b/>
        </w:rPr>
        <w:t xml:space="preserve">Antes de fin de 2026:</w:t>
      </w:r>
      <w:r>
        <w:t xml:space="preserve"> </w:t>
      </w:r>
      <w:r>
        <w:t xml:space="preserve">contrato «detrás del contador» anunciado por la dirección.</w:t>
      </w:r>
    </w:p>
    <w:p>
      <w:pPr>
        <w:numPr>
          <w:ilvl w:val="0"/>
          <w:numId w:val="1011"/>
        </w:numPr>
        <w:pStyle w:val="Compact"/>
      </w:pPr>
      <w:r>
        <w:rPr>
          <w:bCs/>
          <w:b/>
        </w:rPr>
        <w:t xml:space="preserve">1-ene-2027:</w:t>
      </w:r>
      <w:r>
        <w:t xml:space="preserve"> </w:t>
      </w:r>
      <w:r>
        <w:t xml:space="preserve">COD contractual de los GeoBlocks 2-3 (~66 MW).</w:t>
      </w:r>
    </w:p>
    <w:p>
      <w:pPr>
        <w:numPr>
          <w:ilvl w:val="0"/>
          <w:numId w:val="1011"/>
        </w:numPr>
        <w:pStyle w:val="Compact"/>
      </w:pPr>
      <w:r>
        <w:rPr>
          <w:bCs/>
          <w:b/>
        </w:rPr>
        <w:t xml:space="preserve">2028:</w:t>
      </w:r>
      <w:r>
        <w:t xml:space="preserve"> </w:t>
      </w:r>
      <w:r>
        <w:t xml:space="preserve">Fase II (400 MW), con Google desde el 3T28.</w:t>
      </w:r>
    </w:p>
    <w:bookmarkEnd w:id="32"/>
    <w:bookmarkStart w:id="33" w:name="encaje-en-cartera"/>
    <w:p>
      <w:pPr>
        <w:pStyle w:val="Heading2"/>
      </w:pPr>
      <w:r>
        <w:t xml:space="preserve">13. Encaje en cartera</w:t>
      </w:r>
    </w:p>
    <w:p>
      <w:pPr>
        <w:pStyle w:val="FirstParagraph"/>
      </w:pPr>
      <w:r>
        <w:rPr>
          <w:bCs/>
          <w:b/>
        </w:rPr>
        <w:t xml:space="preserve">No entra.</w:t>
      </w:r>
      <w:r>
        <w:t xml:space="preserve"> </w:t>
      </w:r>
      <w:r>
        <w:t xml:space="preserve">El método da «Vender», y el caso más generoso, Mantener sin compra. El bolsillo growth no tiene huecos para empresas sin ventas medibles. No compite con la cartera value (no pasa ningún requisito value: sin beneficio, sin ROIC). En el tema que interesa al usuario (energía para centros de datos), las growth analizadas con ventas reales (GE Vernova, Siemens Energy, Cameco, Quanta, nVent) se pueden medir. Fervo es la apuesta binaria del grupo. Se revisa con los resultados del 4T26 o del 1T27, cuando haya un trimestre con los tres GeoBlocks vendiendo. Si se hiciera, sería compra entera, sin tramos, y no antes del 9-nov.</w:t>
      </w:r>
    </w:p>
    <w:bookmarkEnd w:id="33"/>
    <w:bookmarkStart w:id="34"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Por qué</w:t>
            </w:r>
          </w:p>
        </w:tc>
      </w:tr>
      <w:tr>
        <w:tc>
          <w:tcPr/>
          <w:p>
            <w:pPr>
              <w:pStyle w:val="Compact"/>
              <w:jc w:val="left"/>
            </w:pPr>
            <w:r>
              <w:t xml:space="preserve">A. Crecimiento</w:t>
            </w:r>
          </w:p>
        </w:tc>
        <w:tc>
          <w:tcPr/>
          <w:p>
            <w:pPr>
              <w:pStyle w:val="Compact"/>
              <w:jc w:val="left"/>
            </w:pPr>
            <w:r>
              <w:t xml:space="preserve">0</w:t>
            </w:r>
          </w:p>
        </w:tc>
        <w:tc>
          <w:tcPr/>
          <w:p>
            <w:pPr>
              <w:pStyle w:val="Compact"/>
              <w:jc w:val="left"/>
            </w:pPr>
            <w:r>
              <w:t xml:space="preserve">25</w:t>
            </w:r>
          </w:p>
        </w:tc>
        <w:tc>
          <w:tcPr/>
          <w:p>
            <w:pPr>
              <w:pStyle w:val="Compact"/>
              <w:jc w:val="left"/>
            </w:pPr>
            <w:r>
              <w:t xml:space="preserve">Ventas casi nulas: crecimiento no medible (null)</w:t>
            </w:r>
          </w:p>
        </w:tc>
      </w:tr>
      <w:tr>
        <w:tc>
          <w:tcPr/>
          <w:p>
            <w:pPr>
              <w:pStyle w:val="Compact"/>
              <w:jc w:val="left"/>
            </w:pPr>
            <w:r>
              <w:t xml:space="preserve">B. Mercado y tecnología</w:t>
            </w:r>
          </w:p>
        </w:tc>
        <w:tc>
          <w:tcPr/>
          <w:p>
            <w:pPr>
              <w:pStyle w:val="Compact"/>
              <w:jc w:val="left"/>
            </w:pPr>
            <w:r>
              <w:t xml:space="preserve">17,3</w:t>
            </w:r>
          </w:p>
        </w:tc>
        <w:tc>
          <w:tcPr/>
          <w:p>
            <w:pPr>
              <w:pStyle w:val="Compact"/>
              <w:jc w:val="left"/>
            </w:pPr>
            <w:r>
              <w:t xml:space="preserve">20</w:t>
            </w:r>
          </w:p>
        </w:tc>
        <w:tc>
          <w:tcPr/>
          <w:p>
            <w:pPr>
              <w:pStyle w:val="Compact"/>
              <w:jc w:val="left"/>
            </w:pPr>
            <w:r>
              <w:t xml:space="preserve">Penetración ~0 % (5), tecnología 4, posición 4</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de 8 señales (catalizador)</w:t>
            </w:r>
          </w:p>
        </w:tc>
      </w:tr>
      <w:tr>
        <w:tc>
          <w:tcPr/>
          <w:p>
            <w:pPr>
              <w:pStyle w:val="Compact"/>
              <w:jc w:val="left"/>
            </w:pPr>
            <w:r>
              <w:t xml:space="preserve">D. Economía unitaria</w:t>
            </w:r>
          </w:p>
        </w:tc>
        <w:tc>
          <w:tcPr/>
          <w:p>
            <w:pPr>
              <w:pStyle w:val="Compact"/>
              <w:jc w:val="left"/>
            </w:pPr>
            <w:r>
              <w:t xml:space="preserve">1</w:t>
            </w:r>
          </w:p>
        </w:tc>
        <w:tc>
          <w:tcPr/>
          <w:p>
            <w:pPr>
              <w:pStyle w:val="Compact"/>
              <w:jc w:val="left"/>
            </w:pPr>
            <w:r>
              <w:t xml:space="preserve">15</w:t>
            </w:r>
          </w:p>
        </w:tc>
        <w:tc>
          <w:tcPr/>
          <w:p>
            <w:pPr>
              <w:pStyle w:val="Compact"/>
              <w:jc w:val="left"/>
            </w:pPr>
            <w:r>
              <w:t xml:space="preserve">Margen bruto negativo, regla del 40 sin sentido, rentabilidad lejos</w:t>
            </w:r>
          </w:p>
        </w:tc>
      </w:tr>
      <w:tr>
        <w:tc>
          <w:tcPr/>
          <w:p>
            <w:pPr>
              <w:pStyle w:val="Compact"/>
              <w:jc w:val="left"/>
            </w:pPr>
            <w:r>
              <w:t xml:space="preserve">E. Caja y dilución</w:t>
            </w:r>
          </w:p>
        </w:tc>
        <w:tc>
          <w:tcPr/>
          <w:p>
            <w:pPr>
              <w:pStyle w:val="Compact"/>
              <w:jc w:val="left"/>
            </w:pPr>
            <w:r>
              <w:t xml:space="preserve">3</w:t>
            </w:r>
          </w:p>
        </w:tc>
        <w:tc>
          <w:tcPr/>
          <w:p>
            <w:pPr>
              <w:pStyle w:val="Compact"/>
              <w:jc w:val="left"/>
            </w:pPr>
            <w:r>
              <w:t xml:space="preserve">10</w:t>
            </w:r>
          </w:p>
        </w:tc>
        <w:tc>
          <w:tcPr/>
          <w:p>
            <w:pPr>
              <w:pStyle w:val="Compact"/>
              <w:jc w:val="left"/>
            </w:pPr>
            <w:r>
              <w:t xml:space="preserve">Pista de 34,5 meses (3), dilución del 81 % (0)</w:t>
            </w:r>
          </w:p>
        </w:tc>
      </w:tr>
      <w:tr>
        <w:tc>
          <w:tcPr/>
          <w:p>
            <w:pPr>
              <w:pStyle w:val="Compact"/>
              <w:jc w:val="left"/>
            </w:pPr>
            <w:r>
              <w:t xml:space="preserve">F. Ejecución y dirección</w:t>
            </w:r>
          </w:p>
        </w:tc>
        <w:tc>
          <w:tcPr/>
          <w:p>
            <w:pPr>
              <w:pStyle w:val="Compact"/>
              <w:jc w:val="left"/>
            </w:pPr>
            <w:r>
              <w:t xml:space="preserve">6</w:t>
            </w:r>
          </w:p>
        </w:tc>
        <w:tc>
          <w:tcPr/>
          <w:p>
            <w:pPr>
              <w:pStyle w:val="Compact"/>
              <w:jc w:val="left"/>
            </w:pPr>
            <w:r>
              <w:t xml:space="preserve">10</w:t>
            </w:r>
          </w:p>
        </w:tc>
        <w:tc>
          <w:tcPr/>
          <w:p>
            <w:pPr>
              <w:pStyle w:val="Compact"/>
              <w:jc w:val="left"/>
            </w:pPr>
            <w:r>
              <w:t xml:space="preserve">Historial 3, dirección 3</w:t>
            </w:r>
          </w:p>
        </w:tc>
      </w:tr>
      <w:tr>
        <w:tc>
          <w:tcPr/>
          <w:p>
            <w:pPr>
              <w:pStyle w:val="Compact"/>
              <w:jc w:val="left"/>
            </w:pPr>
            <w:r>
              <w:rPr>
                <w:bCs/>
                <w:b/>
              </w:rPr>
              <w:t xml:space="preserve">Total</w:t>
            </w:r>
          </w:p>
        </w:tc>
        <w:tc>
          <w:tcPr/>
          <w:p>
            <w:pPr>
              <w:pStyle w:val="Compact"/>
              <w:jc w:val="left"/>
            </w:pPr>
            <w:r>
              <w:rPr>
                <w:bCs/>
                <w:b/>
              </w:rPr>
              <w:t xml:space="preserve">29,8</w:t>
            </w:r>
          </w:p>
        </w:tc>
        <w:tc>
          <w:tcPr/>
          <w:p>
            <w:pPr>
              <w:pStyle w:val="Compact"/>
              <w:jc w:val="left"/>
            </w:pPr>
            <w:r>
              <w:rPr>
                <w:bCs/>
                <w:b/>
              </w:rPr>
              <w:t xml:space="preserve">100</w:t>
            </w:r>
          </w:p>
        </w:tc>
        <w:tc>
          <w:tcPr/>
          <w:p>
            <w:pPr>
              <w:pStyle w:val="Compact"/>
              <w:jc w:val="left"/>
            </w:pPr>
            <w:r>
              <w:t xml:space="preserve">Vender: puntuación &lt; 50</w:t>
            </w:r>
          </w:p>
        </w:tc>
      </w:tr>
    </w:tbl>
    <w:p>
      <w:pPr>
        <w:pStyle w:val="BodyText"/>
      </w:pPr>
      <w:r>
        <w:rPr>
          <w:bCs/>
          <w:b/>
        </w:rPr>
        <w:t xml:space="preserve">Robustez</w:t>
      </w:r>
      <w:r>
        <w:t xml:space="preserve"> </w:t>
      </w:r>
      <w:r>
        <w:t xml:space="preserve">(</w:t>
      </w:r>
      <w:r>
        <w:rPr>
          <w:rStyle w:val="VerbatimChar"/>
        </w:rPr>
        <w:t xml:space="preserve">robustez-growth.mjs --precios</w:t>
      </w:r>
      <w:r>
        <w:t xml:space="preserve">, 16-oct, 9,68 USD):</w:t>
      </w:r>
      <w:r>
        <w:t xml:space="preserve"> </w:t>
      </w:r>
      <w:r>
        <w:rPr>
          <w:bCs/>
          <w:b/>
        </w:rPr>
        <w:t xml:space="preserve">SÓLIDA, señal robusta Vender</w:t>
      </w:r>
      <w:r>
        <w:t xml:space="preserve">. v11, v7, pesos 25/50/25 y 35/50/15 y el precio de hoy dan lo mismo (−83,5 %). Avisos: G3 (falso, sección 9), G4 (sin guía), G6 (bajista −83 %), G10 (retrasa: bloqueo y Morpheus), P3 y P4 (caída y mínimos, explicados en la sección 10 bis).</w:t>
      </w:r>
    </w:p>
    <w:bookmarkEnd w:id="34"/>
    <w:bookmarkStart w:id="35" w:name="fuentes"/>
    <w:p>
      <w:pPr>
        <w:pStyle w:val="Heading2"/>
      </w:pPr>
      <w:r>
        <w:t xml:space="preserve">Fuentes</w:t>
      </w:r>
    </w:p>
    <w:p>
      <w:pPr>
        <w:pStyle w:val="FirstParagraph"/>
      </w:pPr>
      <w:r>
        <w:t xml:space="preserve">[1] Fervo Energy, 10-Q del 2T 2026 (SEC, 13-ago-2026).</w:t>
      </w:r>
      <w:r>
        <w:t xml:space="preserve"> </w:t>
      </w:r>
      <w:r>
        <w:t xml:space="preserve">[2] Fervo Energy, nota de resultados del 2T 2026 (8-K, 12-ago-2026), folleto 424B4 (14-may-2026) y resultados del 1T (22-jun-2026).</w:t>
      </w:r>
      <w:r>
        <w:t xml:space="preserve"> </w:t>
      </w:r>
      <w:r>
        <w:t xml:space="preserve">[3] Transcripción de la llamada del 2T 2026 (Investing.com, 12-ago-2026).</w:t>
      </w:r>
      <w:r>
        <w:t xml:space="preserve"> </w:t>
      </w:r>
      <w:r>
        <w:t xml:space="preserve">[4] Folleto 424B4 (SEC): mercado según Rystad, contratos, acuerdo marco con Google, derechos de interconexión, competidores.</w:t>
      </w:r>
      <w:r>
        <w:t xml:space="preserve"> </w:t>
      </w:r>
      <w:r>
        <w:t xml:space="preserve">[5] MarketBeat (13, 15 y 16-oct-2026): precio, volumen, medias, analistas, fin del bloqueo.</w:t>
      </w:r>
      <w:r>
        <w:t xml:space="preserve"> </w:t>
      </w:r>
      <w:r>
        <w:t xml:space="preserve">[6] Fervo, nota de prensa del 1-oct-2026 (8-K): COD del GeoBlock 1.</w:t>
      </w:r>
      <w:r>
        <w:t xml:space="preserve"> </w:t>
      </w:r>
      <w:r>
        <w:t xml:space="preserve">[7] Yahoo Finance, cierres diarios de FRVO del 13-may al 16-oct-2026 (</w:t>
      </w:r>
      <w:r>
        <w:rPr>
          <w:rStyle w:val="VerbatimChar"/>
        </w:rPr>
        <w:t xml:space="preserve">herramientas/movimiento.mjs</w:t>
      </w:r>
      <w:r>
        <w:t xml:space="preserve">).</w:t>
      </w:r>
      <w:r>
        <w:t xml:space="preserve"> </w:t>
      </w:r>
      <w:r>
        <w:t xml:space="preserve">[8] Zacks vía TradingView (29-sep-2026) y Yahoo Finance (5-oct-2026): 1.054 MW y 11.900 M USD de cartera.</w:t>
      </w:r>
      <w:r>
        <w:t xml:space="preserve"> </w:t>
      </w:r>
      <w:r>
        <w:t xml:space="preserve">[9] Quiver Quant y Simply Wall St (7-8-jul-2026); Yahoo Finance (29-sep-2026); Seeking Alpha (títulos).</w:t>
      </w:r>
      <w:r>
        <w:t xml:space="preserve"> </w:t>
      </w:r>
      <w:r>
        <w:t xml:space="preserve">[10] Investing.com (25-sep-2026): BofA; Benzinga (Baird, 13-ago).</w:t>
      </w:r>
      <w:r>
        <w:t xml:space="preserve"> </w:t>
      </w:r>
      <w:r>
        <w:t xml:space="preserve">[11] Hagens Berman (PR Newswire, 9-oct-2026) y Phalanx Research (6-oct-2026), resúmenes del informe de Morpheus Research; TipRanks (15-oct-2026).</w:t>
      </w:r>
      <w:r>
        <w:t xml:space="preserve"> </w:t>
      </w:r>
      <w:r>
        <w:t xml:space="preserve">[12] Kirby McInerney (GlobeNewswire, 12-oct), Howard G. Smith (Business Wire, 8-oct), Bronstein, Gewirtz &amp; Grossman (9-oct).</w:t>
      </w:r>
      <w:r>
        <w:t xml:space="preserve"> </w:t>
      </w:r>
      <w:r>
        <w:t xml:space="preserve">[13] SEC EDGAR, expediente de Fervo Energy (CIK 1853868) hasta el 1-oct-2026.</w:t>
      </w:r>
      <w:r>
        <w:t xml:space="preserve"> </w:t>
      </w:r>
      <w:r>
        <w:t xml:space="preserve">[14] therighttrader.com (fecha estimada del 3T); Barchart; Quiver Quant (jornada del 19-nov).</w:t>
      </w:r>
      <w:r>
        <w:t xml:space="preserve"> </w:t>
      </w:r>
      <w:r>
        <w:t xml:space="preserve">[15] Stocktwits FRVO (15-16-oct-2026); StocksToTrade (27-sep-2026).</w:t>
      </w:r>
      <w:r>
        <w:t xml:space="preserve"> </w:t>
      </w:r>
      <w:r>
        <w:t xml:space="preserve">[16] Simply Wall St (consenso 2027-2028, oct-2026); StockAnalysis; William Blair (inicio de cobertura).</w:t>
      </w:r>
      <w:r>
        <w:t xml:space="preserve"> </w:t>
      </w:r>
      <w:r>
        <w:t xml:space="preserve">[17] Fervo, 8-K del 22-jun-2026 y del 10-jun-2026.</w:t>
      </w:r>
      <w:r>
        <w:t xml:space="preserve"> </w:t>
      </w:r>
      <w:r>
        <w:t xml:space="preserve">[18] Jefferies (20-jul-2026), vía prensa.</w:t>
      </w:r>
      <w:r>
        <w:t xml:space="preserve"> </w:t>
      </w:r>
      <w:r>
        <w:t xml:space="preserve">[19] Folleto 424B4: bloqueo, accionistas principales, acciones de clase B; Barchart e IPO Scoop (precio de la OPV).</w:t>
      </w:r>
      <w:r>
        <w:t xml:space="preserve"> </w:t>
      </w:r>
      <w:r>
        <w:t xml:space="preserve">[20] Fervo, 8-K del 1-sep-2026 (PPA con Google); Bloomberg vía EnergyConnects (1-sep-2026).</w:t>
      </w:r>
      <w:r>
        <w:t xml:space="preserve"> </w:t>
      </w:r>
      <w:r>
        <w:t xml:space="preserve">[21] Alegaciones de Morpheus sobre costes, contratos y transmisión (no verificadas; sin respuesta de Fervo encontrada).</w:t>
      </w:r>
      <w:r>
        <w:t xml:space="preserve"> </w:t>
      </w:r>
      <w:r>
        <w:t xml:space="preserve">[22] Ormat Technologies: EV/ventas de 7,4x (Yahoo Finance) y 8,3x (ROIC.ai).</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2026-10-18T16:28:47Z</dcterms:created>
  <dcterms:modified xsi:type="dcterms:W3CDTF">2026-10-18T16:28:47Z</dcterms:modified>
</cp:coreProperties>
</file>

<file path=docProps/custom.xml><?xml version="1.0" encoding="utf-8"?>
<Properties xmlns="http://schemas.openxmlformats.org/officeDocument/2006/custom-properties" xmlns:vt="http://schemas.openxmlformats.org/officeDocument/2006/docPropsVTypes"/>
</file>